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11.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12.xml" ContentType="application/vnd.openxmlformats-officedocument.drawingml.chart+xml"/>
  <Override PartName="/word/drawings/drawing2.xml" ContentType="application/vnd.openxmlformats-officedocument.drawingml.chartshapes+xml"/>
  <Override PartName="/word/charts/chart13.xml" ContentType="application/vnd.openxmlformats-officedocument.drawingml.chart+xml"/>
  <Override PartName="/word/drawings/drawing3.xml" ContentType="application/vnd.openxmlformats-officedocument.drawingml.chartshapes+xml"/>
  <Override PartName="/word/charts/chart14.xml" ContentType="application/vnd.openxmlformats-officedocument.drawingml.chart+xml"/>
  <Override PartName="/word/charts/chart15.xml" ContentType="application/vnd.openxmlformats-officedocument.drawingml.chart+xml"/>
  <Override PartName="/word/footer3.xml" ContentType="application/vnd.openxmlformats-officedocument.wordprocessingml.footer+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21EA1C" w14:textId="2898297F" w:rsidR="0022373F" w:rsidRDefault="00022F4C" w:rsidP="0022373F">
      <w:r>
        <w:rPr>
          <w:noProof/>
          <w:lang w:eastAsia="en-GB"/>
        </w:rPr>
        <w:drawing>
          <wp:anchor distT="0" distB="0" distL="114300" distR="114300" simplePos="0" relativeHeight="251662336" behindDoc="1" locked="0" layoutInCell="1" allowOverlap="1" wp14:anchorId="38C7F849" wp14:editId="7D20FF8B">
            <wp:simplePos x="0" y="0"/>
            <wp:positionH relativeFrom="column">
              <wp:posOffset>932760</wp:posOffset>
            </wp:positionH>
            <wp:positionV relativeFrom="paragraph">
              <wp:posOffset>-1305229</wp:posOffset>
            </wp:positionV>
            <wp:extent cx="7543800" cy="10681970"/>
            <wp:effectExtent l="0" t="0" r="0" b="0"/>
            <wp:wrapNone/>
            <wp:docPr id="59" name="Picture 59" descr="c1-b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1-bg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43800" cy="10681970"/>
                    </a:xfrm>
                    <a:prstGeom prst="rect">
                      <a:avLst/>
                    </a:prstGeom>
                    <a:noFill/>
                  </pic:spPr>
                </pic:pic>
              </a:graphicData>
            </a:graphic>
            <wp14:sizeRelH relativeFrom="page">
              <wp14:pctWidth>0</wp14:pctWidth>
            </wp14:sizeRelH>
            <wp14:sizeRelV relativeFrom="page">
              <wp14:pctHeight>0</wp14:pctHeight>
            </wp14:sizeRelV>
          </wp:anchor>
        </w:drawing>
      </w:r>
      <w:r w:rsidR="008B4E20">
        <w:rPr>
          <w:b/>
          <w:noProof/>
          <w:lang w:eastAsia="en-GB"/>
        </w:rPr>
        <w:drawing>
          <wp:inline distT="0" distB="0" distL="0" distR="0" wp14:anchorId="2D87DBBB" wp14:editId="3B9FD344">
            <wp:extent cx="1953376" cy="1122630"/>
            <wp:effectExtent l="0" t="0" r="0" b="1905"/>
            <wp:docPr id="53" name="Picture 53" descr="22441E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441EB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0355" cy="1126641"/>
                    </a:xfrm>
                    <a:prstGeom prst="rect">
                      <a:avLst/>
                    </a:prstGeom>
                    <a:noFill/>
                    <a:ln>
                      <a:noFill/>
                    </a:ln>
                  </pic:spPr>
                </pic:pic>
              </a:graphicData>
            </a:graphic>
          </wp:inline>
        </w:drawing>
      </w:r>
      <w:r w:rsidR="0022373F">
        <w:rPr>
          <w:noProof/>
          <w:lang w:eastAsia="en-GB"/>
        </w:rPr>
        <mc:AlternateContent>
          <mc:Choice Requires="wps">
            <w:drawing>
              <wp:anchor distT="45720" distB="45720" distL="114300" distR="114300" simplePos="0" relativeHeight="251659264" behindDoc="0" locked="0" layoutInCell="1" allowOverlap="1" wp14:anchorId="3E1F21F1" wp14:editId="4B65F85C">
                <wp:simplePos x="0" y="0"/>
                <wp:positionH relativeFrom="page">
                  <wp:posOffset>404038</wp:posOffset>
                </wp:positionH>
                <wp:positionV relativeFrom="paragraph">
                  <wp:posOffset>2029652</wp:posOffset>
                </wp:positionV>
                <wp:extent cx="4773930" cy="3550920"/>
                <wp:effectExtent l="0" t="0" r="0" b="0"/>
                <wp:wrapSquare wrapText="bothSides"/>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3930" cy="3550920"/>
                        </a:xfrm>
                        <a:prstGeom prst="rect">
                          <a:avLst/>
                        </a:prstGeom>
                        <a:noFill/>
                        <a:ln w="9525">
                          <a:noFill/>
                          <a:miter lim="800000"/>
                          <a:headEnd/>
                          <a:tailEnd/>
                        </a:ln>
                      </wps:spPr>
                      <wps:txbx>
                        <w:txbxContent>
                          <w:p w14:paraId="5404B6A6" w14:textId="77777777" w:rsidR="004A78DF" w:rsidRPr="00B80739" w:rsidRDefault="004A78DF" w:rsidP="0022373F">
                            <w:pPr>
                              <w:spacing w:line="240" w:lineRule="auto"/>
                              <w:ind w:left="720" w:hanging="360"/>
                              <w:jc w:val="center"/>
                              <w:rPr>
                                <w:rFonts w:ascii="Times New Roman" w:hAnsi="Times New Roman" w:cs="Times New Roman"/>
                                <w:b/>
                                <w:color w:val="000000" w:themeColor="text1"/>
                                <w:sz w:val="92"/>
                                <w:szCs w:val="92"/>
                              </w:rPr>
                            </w:pPr>
                            <w:r w:rsidRPr="00B80739">
                              <w:rPr>
                                <w:rFonts w:ascii="Times New Roman" w:hAnsi="Times New Roman" w:cs="Times New Roman"/>
                                <w:b/>
                                <w:color w:val="000000" w:themeColor="text1"/>
                                <w:sz w:val="92"/>
                                <w:szCs w:val="92"/>
                              </w:rPr>
                              <w:t>The mental health and wellbeing of teachers in England</w:t>
                            </w:r>
                          </w:p>
                          <w:p w14:paraId="53DFCF73" w14:textId="77777777" w:rsidR="004A78DF" w:rsidRPr="0025765D" w:rsidRDefault="004A78DF" w:rsidP="0022373F">
                            <w:pPr>
                              <w:spacing w:line="240" w:lineRule="auto"/>
                              <w:contextualSpacing/>
                              <w:rPr>
                                <w:color w:val="000000" w:themeColor="text1"/>
                                <w:sz w:val="108"/>
                                <w:szCs w:val="10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1F21F1" id="_x0000_t202" coordsize="21600,21600" o:spt="202" path="m,l,21600r21600,l21600,xe">
                <v:stroke joinstyle="miter"/>
                <v:path gradientshapeok="t" o:connecttype="rect"/>
              </v:shapetype>
              <v:shape id="Text Box 2" o:spid="_x0000_s1026" type="#_x0000_t202" style="position:absolute;margin-left:31.8pt;margin-top:159.8pt;width:375.9pt;height:279.6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EeGDAIAAPQDAAAOAAAAZHJzL2Uyb0RvYy54bWysU9tuGyEQfa/Uf0C817u+bByvjKM0aapK&#10;6UVK+gGYZb2owFDA3nW/vgPrOFb7VpUHBMzMmTlnhvXNYDQ5SB8UWEank5ISaQU0yu4Y/f788O6a&#10;khC5bbgGKxk9ykBvNm/frHtXyxl0oBvpCYLYUPeO0S5GVxdFEJ00PEzASYvGFrzhEa9+VzSe94hu&#10;dDEry6uiB984D0KGgK/3o5FuMn7bShG/tm2QkWhGsbaYd5/3bdqLzZrXO89dp8SpDP4PVRiuLCY9&#10;Q93zyMneq7+gjBIeArRxIsAU0LZKyMwB2UzLP9g8ddzJzAXFCe4sU/h/sOLL4ZsnqmG0uqLEcoM9&#10;epZDJO9hILMkT+9CjV5PDv3igM/Y5kw1uEcQPwKxcNdxu5O33kPfSd5gedMUWVyEjjghgWz7z9Bg&#10;Gr6PkIGG1pukHapBEB3bdDy3JpUi8HGxXM5XczQJtM2rqlzNcvMKXr+EOx/iRwmGpAOjHnuf4fnh&#10;McRUDq9fXFI2Cw9K69x/bUnP6KqaVTngwmJUxPHUyjB6XaY1Dkxi+cE2OThypcczJtD2RDsxHTnH&#10;YTugY9JiC80RBfAwjiF+Gzx04H9R0uMIMhp+7rmXlOhPFkVcTReLNLP5sqiWyJj4S8v20sKtQChG&#10;IyXj8S7mOR+53qLYrcoyvFZyqhVHK6tz+gZpdi/v2ev1s25+AwAA//8DAFBLAwQUAAYACAAAACEA&#10;5Gjift4AAAAKAQAADwAAAGRycy9kb3ducmV2LnhtbEyPwU7DMAyG70h7h8hI3FhStpWuNJ0QiCuI&#10;bSBxyxqvrdY4VZOt5e0xJ7j9lj/9/lxsJteJCw6h9aQhmSsQSJW3LdUa9ruX2wxEiIas6Tyhhm8M&#10;sClnV4XJrR/pHS/bWAsuoZAbDU2MfS5lqBp0Jsx9j8S7ox+ciTwOtbSDGbncdfJOqVQ60xJfaEyP&#10;Tw1Wp+3Zafh4PX59LtVb/exW/egnJcmtpdY319PjA4iIU/yD4Vef1aFkp4M/kw2i05AuUiY1LJI1&#10;BwayZLUEceBwn2Ugy0L+f6H8AQAA//8DAFBLAQItABQABgAIAAAAIQC2gziS/gAAAOEBAAATAAAA&#10;AAAAAAAAAAAAAAAAAABbQ29udGVudF9UeXBlc10ueG1sUEsBAi0AFAAGAAgAAAAhADj9If/WAAAA&#10;lAEAAAsAAAAAAAAAAAAAAAAALwEAAF9yZWxzLy5yZWxzUEsBAi0AFAAGAAgAAAAhAMi8R4YMAgAA&#10;9AMAAA4AAAAAAAAAAAAAAAAALgIAAGRycy9lMm9Eb2MueG1sUEsBAi0AFAAGAAgAAAAhAORo4n7e&#10;AAAACgEAAA8AAAAAAAAAAAAAAAAAZgQAAGRycy9kb3ducmV2LnhtbFBLBQYAAAAABAAEAPMAAABx&#10;BQAAAAA=&#10;" filled="f" stroked="f">
                <v:textbox>
                  <w:txbxContent>
                    <w:p w14:paraId="5404B6A6" w14:textId="77777777" w:rsidR="004A78DF" w:rsidRPr="00B80739" w:rsidRDefault="004A78DF" w:rsidP="0022373F">
                      <w:pPr>
                        <w:spacing w:line="240" w:lineRule="auto"/>
                        <w:ind w:left="720" w:hanging="360"/>
                        <w:jc w:val="center"/>
                        <w:rPr>
                          <w:rFonts w:ascii="Times New Roman" w:hAnsi="Times New Roman" w:cs="Times New Roman"/>
                          <w:b/>
                          <w:color w:val="000000" w:themeColor="text1"/>
                          <w:sz w:val="92"/>
                          <w:szCs w:val="92"/>
                        </w:rPr>
                      </w:pPr>
                      <w:r w:rsidRPr="00B80739">
                        <w:rPr>
                          <w:rFonts w:ascii="Times New Roman" w:hAnsi="Times New Roman" w:cs="Times New Roman"/>
                          <w:b/>
                          <w:color w:val="000000" w:themeColor="text1"/>
                          <w:sz w:val="92"/>
                          <w:szCs w:val="92"/>
                        </w:rPr>
                        <w:t>The mental health and wellbeing of teachers in England</w:t>
                      </w:r>
                    </w:p>
                    <w:p w14:paraId="53DFCF73" w14:textId="77777777" w:rsidR="004A78DF" w:rsidRPr="0025765D" w:rsidRDefault="004A78DF" w:rsidP="0022373F">
                      <w:pPr>
                        <w:spacing w:line="240" w:lineRule="auto"/>
                        <w:contextualSpacing/>
                        <w:rPr>
                          <w:color w:val="000000" w:themeColor="text1"/>
                          <w:sz w:val="108"/>
                          <w:szCs w:val="108"/>
                        </w:rPr>
                      </w:pPr>
                    </w:p>
                  </w:txbxContent>
                </v:textbox>
                <w10:wrap type="square" anchorx="page"/>
              </v:shape>
            </w:pict>
          </mc:Fallback>
        </mc:AlternateContent>
      </w:r>
      <w:r w:rsidR="0022373F">
        <w:rPr>
          <w:noProof/>
          <w:lang w:eastAsia="en-GB"/>
        </w:rPr>
        <mc:AlternateContent>
          <mc:Choice Requires="wps">
            <w:drawing>
              <wp:anchor distT="45720" distB="45720" distL="114300" distR="114300" simplePos="0" relativeHeight="251663360" behindDoc="0" locked="0" layoutInCell="1" allowOverlap="1" wp14:anchorId="21F5CB26" wp14:editId="2ADB4565">
                <wp:simplePos x="0" y="0"/>
                <wp:positionH relativeFrom="margin">
                  <wp:posOffset>-382905</wp:posOffset>
                </wp:positionH>
                <wp:positionV relativeFrom="paragraph">
                  <wp:posOffset>5836920</wp:posOffset>
                </wp:positionV>
                <wp:extent cx="4826635" cy="124396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635" cy="1243965"/>
                        </a:xfrm>
                        <a:prstGeom prst="rect">
                          <a:avLst/>
                        </a:prstGeom>
                        <a:noFill/>
                        <a:ln w="9525">
                          <a:noFill/>
                          <a:miter lim="800000"/>
                          <a:headEnd/>
                          <a:tailEnd/>
                        </a:ln>
                      </wps:spPr>
                      <wps:txbx>
                        <w:txbxContent>
                          <w:p w14:paraId="4C26641D" w14:textId="77777777" w:rsidR="004A78DF" w:rsidRPr="00B80739" w:rsidRDefault="004A78DF" w:rsidP="0022373F">
                            <w:pPr>
                              <w:ind w:left="720" w:hanging="360"/>
                              <w:jc w:val="center"/>
                              <w:rPr>
                                <w:rFonts w:ascii="Times New Roman" w:hAnsi="Times New Roman" w:cs="Times New Roman"/>
                                <w:sz w:val="36"/>
                                <w:szCs w:val="36"/>
                              </w:rPr>
                            </w:pPr>
                            <w:r w:rsidRPr="00B80739">
                              <w:rPr>
                                <w:rFonts w:ascii="Times New Roman" w:hAnsi="Times New Roman" w:cs="Times New Roman"/>
                                <w:sz w:val="36"/>
                                <w:szCs w:val="36"/>
                              </w:rPr>
                              <w:t>John Jerrim (UCL Social Research Institute)</w:t>
                            </w:r>
                          </w:p>
                          <w:p w14:paraId="77DB979B" w14:textId="77777777" w:rsidR="004A78DF" w:rsidRPr="00B80739" w:rsidRDefault="004A78DF" w:rsidP="0022373F">
                            <w:pPr>
                              <w:ind w:left="720" w:hanging="360"/>
                              <w:jc w:val="center"/>
                              <w:rPr>
                                <w:rFonts w:ascii="Times New Roman" w:hAnsi="Times New Roman" w:cs="Times New Roman"/>
                                <w:sz w:val="36"/>
                                <w:szCs w:val="36"/>
                              </w:rPr>
                            </w:pPr>
                            <w:r w:rsidRPr="00B80739">
                              <w:rPr>
                                <w:rFonts w:ascii="Times New Roman" w:hAnsi="Times New Roman" w:cs="Times New Roman"/>
                                <w:sz w:val="36"/>
                                <w:szCs w:val="36"/>
                              </w:rPr>
                              <w:t>Sam Sims (UCL CEPEO)</w:t>
                            </w:r>
                          </w:p>
                          <w:p w14:paraId="3E5404CD" w14:textId="77777777" w:rsidR="004A78DF" w:rsidRPr="00B80739" w:rsidRDefault="004A78DF" w:rsidP="0022373F">
                            <w:pPr>
                              <w:ind w:left="720" w:hanging="360"/>
                              <w:jc w:val="center"/>
                              <w:rPr>
                                <w:rFonts w:ascii="Times New Roman" w:hAnsi="Times New Roman" w:cs="Times New Roman"/>
                                <w:sz w:val="36"/>
                                <w:szCs w:val="36"/>
                              </w:rPr>
                            </w:pPr>
                            <w:r w:rsidRPr="00B80739">
                              <w:rPr>
                                <w:rFonts w:ascii="Times New Roman" w:hAnsi="Times New Roman" w:cs="Times New Roman"/>
                                <w:sz w:val="36"/>
                                <w:szCs w:val="36"/>
                              </w:rPr>
                              <w:t xml:space="preserve">Rebecca Allen (Teacher </w:t>
                            </w:r>
                            <w:proofErr w:type="spellStart"/>
                            <w:r w:rsidRPr="00B80739">
                              <w:rPr>
                                <w:rFonts w:ascii="Times New Roman" w:hAnsi="Times New Roman" w:cs="Times New Roman"/>
                                <w:sz w:val="36"/>
                                <w:szCs w:val="36"/>
                              </w:rPr>
                              <w:t>Tapp</w:t>
                            </w:r>
                            <w:proofErr w:type="spellEnd"/>
                            <w:r w:rsidRPr="00B80739">
                              <w:rPr>
                                <w:rFonts w:ascii="Times New Roman" w:hAnsi="Times New Roman" w:cs="Times New Roman"/>
                                <w:sz w:val="36"/>
                                <w:szCs w:val="36"/>
                              </w:rPr>
                              <w:t>)</w:t>
                            </w:r>
                          </w:p>
                          <w:p w14:paraId="3849111A" w14:textId="77777777" w:rsidR="004A78DF" w:rsidRPr="00B80739" w:rsidRDefault="004A78DF" w:rsidP="0022373F">
                            <w:pPr>
                              <w:rPr>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F5CB26" id="_x0000_s1027" type="#_x0000_t202" style="position:absolute;margin-left:-30.15pt;margin-top:459.6pt;width:380.05pt;height:97.9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TEcEAIAAPwDAAAOAAAAZHJzL2Uyb0RvYy54bWysU11v2yAUfZ+0/4B4Xxy7SZpYIVXXrtOk&#10;7kNq9wMIxjEacBmQ2Nmv3wWnabS9TfODBVzuufece1jfDEaTg/RBgWW0nEwpkVZAo+yO0e/PD++W&#10;lITIbcM1WMnoUQZ6s3n7Zt27WlbQgW6kJwhiQ907RrsYXV0UQXTS8DABJy0GW/CGR9z6XdF43iO6&#10;0UU1nS6KHnzjPAgZAp7ej0G6yfhtK0X82rZBRqIZxd5i/vv836Z/sVnzeue565Q4tcH/oQvDlcWi&#10;Z6h7HjnZe/UXlFHCQ4A2TgSYAtpWCZk5IJty+gebp447mbmgOMGdZQr/D1Z8OXzzRDWMVuU1JZYb&#10;HNKzHCJ5DwOpkj69CzVee3J4MQ54jHPOXIN7BPEjEAt3Hbc7ees99J3kDfZXpsziInXECQlk23+G&#10;BsvwfYQMNLTeJPFQDoLoOKfjeTapFYGHs2W1WFzNKREYK6vZ1WoxzzV4/ZLufIgfJRiSFox6HH6G&#10;54fHEFM7vH65kqpZeFBaZwNoS3pGV/NqnhMuIkZF9KdWhtHlNH2jYxLLD7bJyZErPa6xgLYn2onp&#10;yDkO2yErnDVJkmyhOaIOHkY74vPBRQf+FyU9WpHR8HPPvaREf7Ko5aqczZJ382Y2v65w4y8j28sI&#10;twKhGI2UjMu7mP0+Ur5FzVuV1Xjt5NQyWiyLdHoOycOX+3zr9dFufgMAAP//AwBQSwMEFAAGAAgA&#10;AAAhAI6PgAvfAAAADAEAAA8AAABkcnMvZG93bnJldi54bWxMj8FOwzAQRO9I/IO1SNxaO4VGdYhT&#10;IRBXEAUqcXPjbRIRr6PYbcLfs5zguNqnmTfldva9OOMYu0AGsqUCgVQH11Fj4P3tabEBEZMlZ/tA&#10;aOAbI2yry4vSFi5M9IrnXWoEh1AsrIE2paGQMtYtehuXYUDi3zGM3iY+x0a60U4c7nu5UiqX3nbE&#10;Da0d8KHF+mt38gY+no+f+1v10jz69TCFWUnyWhpzfTXf34FIOKc/GH71WR0qdjqEE7koegOLXN0w&#10;akBnegWCiVxrHnNgNMvWGciqlP9HVD8AAAD//wMAUEsBAi0AFAAGAAgAAAAhALaDOJL+AAAA4QEA&#10;ABMAAAAAAAAAAAAAAAAAAAAAAFtDb250ZW50X1R5cGVzXS54bWxQSwECLQAUAAYACAAAACEAOP0h&#10;/9YAAACUAQAACwAAAAAAAAAAAAAAAAAvAQAAX3JlbHMvLnJlbHNQSwECLQAUAAYACAAAACEACoUx&#10;HBACAAD8AwAADgAAAAAAAAAAAAAAAAAuAgAAZHJzL2Uyb0RvYy54bWxQSwECLQAUAAYACAAAACEA&#10;jo+AC98AAAAMAQAADwAAAAAAAAAAAAAAAABqBAAAZHJzL2Rvd25yZXYueG1sUEsFBgAAAAAEAAQA&#10;8wAAAHYFAAAAAA==&#10;" filled="f" stroked="f">
                <v:textbox>
                  <w:txbxContent>
                    <w:p w14:paraId="4C26641D" w14:textId="77777777" w:rsidR="004A78DF" w:rsidRPr="00B80739" w:rsidRDefault="004A78DF" w:rsidP="0022373F">
                      <w:pPr>
                        <w:ind w:left="720" w:hanging="360"/>
                        <w:jc w:val="center"/>
                        <w:rPr>
                          <w:rFonts w:ascii="Times New Roman" w:hAnsi="Times New Roman" w:cs="Times New Roman"/>
                          <w:sz w:val="36"/>
                          <w:szCs w:val="36"/>
                        </w:rPr>
                      </w:pPr>
                      <w:r w:rsidRPr="00B80739">
                        <w:rPr>
                          <w:rFonts w:ascii="Times New Roman" w:hAnsi="Times New Roman" w:cs="Times New Roman"/>
                          <w:sz w:val="36"/>
                          <w:szCs w:val="36"/>
                        </w:rPr>
                        <w:t>John Jerrim (UCL Social Research Institute)</w:t>
                      </w:r>
                    </w:p>
                    <w:p w14:paraId="77DB979B" w14:textId="77777777" w:rsidR="004A78DF" w:rsidRPr="00B80739" w:rsidRDefault="004A78DF" w:rsidP="0022373F">
                      <w:pPr>
                        <w:ind w:left="720" w:hanging="360"/>
                        <w:jc w:val="center"/>
                        <w:rPr>
                          <w:rFonts w:ascii="Times New Roman" w:hAnsi="Times New Roman" w:cs="Times New Roman"/>
                          <w:sz w:val="36"/>
                          <w:szCs w:val="36"/>
                        </w:rPr>
                      </w:pPr>
                      <w:r w:rsidRPr="00B80739">
                        <w:rPr>
                          <w:rFonts w:ascii="Times New Roman" w:hAnsi="Times New Roman" w:cs="Times New Roman"/>
                          <w:sz w:val="36"/>
                          <w:szCs w:val="36"/>
                        </w:rPr>
                        <w:t>Sam Sims (UCL CEPEO)</w:t>
                      </w:r>
                    </w:p>
                    <w:p w14:paraId="3E5404CD" w14:textId="77777777" w:rsidR="004A78DF" w:rsidRPr="00B80739" w:rsidRDefault="004A78DF" w:rsidP="0022373F">
                      <w:pPr>
                        <w:ind w:left="720" w:hanging="360"/>
                        <w:jc w:val="center"/>
                        <w:rPr>
                          <w:rFonts w:ascii="Times New Roman" w:hAnsi="Times New Roman" w:cs="Times New Roman"/>
                          <w:sz w:val="36"/>
                          <w:szCs w:val="36"/>
                        </w:rPr>
                      </w:pPr>
                      <w:r w:rsidRPr="00B80739">
                        <w:rPr>
                          <w:rFonts w:ascii="Times New Roman" w:hAnsi="Times New Roman" w:cs="Times New Roman"/>
                          <w:sz w:val="36"/>
                          <w:szCs w:val="36"/>
                        </w:rPr>
                        <w:t xml:space="preserve">Rebecca Allen (Teacher </w:t>
                      </w:r>
                      <w:proofErr w:type="spellStart"/>
                      <w:r w:rsidRPr="00B80739">
                        <w:rPr>
                          <w:rFonts w:ascii="Times New Roman" w:hAnsi="Times New Roman" w:cs="Times New Roman"/>
                          <w:sz w:val="36"/>
                          <w:szCs w:val="36"/>
                        </w:rPr>
                        <w:t>Tapp</w:t>
                      </w:r>
                      <w:proofErr w:type="spellEnd"/>
                      <w:r w:rsidRPr="00B80739">
                        <w:rPr>
                          <w:rFonts w:ascii="Times New Roman" w:hAnsi="Times New Roman" w:cs="Times New Roman"/>
                          <w:sz w:val="36"/>
                          <w:szCs w:val="36"/>
                        </w:rPr>
                        <w:t>)</w:t>
                      </w:r>
                    </w:p>
                    <w:p w14:paraId="3849111A" w14:textId="77777777" w:rsidR="004A78DF" w:rsidRPr="00B80739" w:rsidRDefault="004A78DF" w:rsidP="0022373F">
                      <w:pPr>
                        <w:rPr>
                          <w:sz w:val="36"/>
                          <w:szCs w:val="36"/>
                        </w:rPr>
                      </w:pPr>
                    </w:p>
                  </w:txbxContent>
                </v:textbox>
                <w10:wrap type="square" anchorx="margin"/>
              </v:shape>
            </w:pict>
          </mc:Fallback>
        </mc:AlternateContent>
      </w:r>
      <w:r w:rsidR="0022373F">
        <w:rPr>
          <w:noProof/>
          <w:lang w:eastAsia="en-GB"/>
        </w:rPr>
        <w:drawing>
          <wp:anchor distT="0" distB="0" distL="114300" distR="114300" simplePos="0" relativeHeight="251661312" behindDoc="1" locked="0" layoutInCell="1" allowOverlap="1" wp14:anchorId="6A8CD398" wp14:editId="6823B4F2">
            <wp:simplePos x="0" y="0"/>
            <wp:positionH relativeFrom="column">
              <wp:posOffset>1748790</wp:posOffset>
            </wp:positionH>
            <wp:positionV relativeFrom="paragraph">
              <wp:posOffset>4669790</wp:posOffset>
            </wp:positionV>
            <wp:extent cx="4909185" cy="5083810"/>
            <wp:effectExtent l="0" t="0" r="5715" b="2540"/>
            <wp:wrapNone/>
            <wp:docPr id="58" name="Picture 58" descr="c1-b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1-bg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09185" cy="5083810"/>
                    </a:xfrm>
                    <a:prstGeom prst="rect">
                      <a:avLst/>
                    </a:prstGeom>
                    <a:noFill/>
                  </pic:spPr>
                </pic:pic>
              </a:graphicData>
            </a:graphic>
            <wp14:sizeRelH relativeFrom="page">
              <wp14:pctWidth>0</wp14:pctWidth>
            </wp14:sizeRelH>
            <wp14:sizeRelV relativeFrom="page">
              <wp14:pctHeight>0</wp14:pctHeight>
            </wp14:sizeRelV>
          </wp:anchor>
        </w:drawing>
      </w:r>
      <w:r w:rsidR="0022373F">
        <w:rPr>
          <w:noProof/>
          <w:lang w:eastAsia="en-GB"/>
        </w:rPr>
        <w:drawing>
          <wp:anchor distT="0" distB="0" distL="114300" distR="114300" simplePos="0" relativeHeight="251660288" behindDoc="1" locked="0" layoutInCell="1" allowOverlap="1" wp14:anchorId="379E6E92" wp14:editId="70DF5816">
            <wp:simplePos x="0" y="0"/>
            <wp:positionH relativeFrom="column">
              <wp:posOffset>4337050</wp:posOffset>
            </wp:positionH>
            <wp:positionV relativeFrom="paragraph">
              <wp:posOffset>9060180</wp:posOffset>
            </wp:positionV>
            <wp:extent cx="1911350" cy="506095"/>
            <wp:effectExtent l="0" t="0" r="0" b="0"/>
            <wp:wrapNone/>
            <wp:docPr id="57" name="Picture 57" descr="templatelab_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mplatelab_whi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11350" cy="506095"/>
                    </a:xfrm>
                    <a:prstGeom prst="rect">
                      <a:avLst/>
                    </a:prstGeom>
                    <a:noFill/>
                  </pic:spPr>
                </pic:pic>
              </a:graphicData>
            </a:graphic>
            <wp14:sizeRelH relativeFrom="page">
              <wp14:pctWidth>0</wp14:pctWidth>
            </wp14:sizeRelH>
            <wp14:sizeRelV relativeFrom="page">
              <wp14:pctHeight>0</wp14:pctHeight>
            </wp14:sizeRelV>
          </wp:anchor>
        </w:drawing>
      </w:r>
    </w:p>
    <w:p w14:paraId="20D8A9EC" w14:textId="6DF4B7D7" w:rsidR="0022373F" w:rsidRDefault="0022373F" w:rsidP="00C623A4">
      <w:pPr>
        <w:spacing w:after="120" w:line="257" w:lineRule="auto"/>
        <w:rPr>
          <w:rFonts w:ascii="Times New Roman" w:hAnsi="Times New Roman" w:cs="Times New Roman"/>
          <w:b/>
          <w:color w:val="000000" w:themeColor="text1"/>
          <w:sz w:val="36"/>
          <w:szCs w:val="36"/>
        </w:rPr>
      </w:pPr>
    </w:p>
    <w:p w14:paraId="2D482C98" w14:textId="10A0AB48" w:rsidR="0022373F" w:rsidRDefault="0022373F" w:rsidP="00C623A4">
      <w:pPr>
        <w:spacing w:after="120" w:line="257" w:lineRule="auto"/>
        <w:rPr>
          <w:rFonts w:ascii="Times New Roman" w:hAnsi="Times New Roman" w:cs="Times New Roman"/>
          <w:b/>
          <w:color w:val="000000" w:themeColor="text1"/>
          <w:sz w:val="36"/>
          <w:szCs w:val="36"/>
        </w:rPr>
      </w:pPr>
    </w:p>
    <w:p w14:paraId="3C050744" w14:textId="72C05845" w:rsidR="0022373F" w:rsidRDefault="0022373F" w:rsidP="00C623A4">
      <w:pPr>
        <w:spacing w:after="120" w:line="257" w:lineRule="auto"/>
        <w:rPr>
          <w:rFonts w:ascii="Times New Roman" w:hAnsi="Times New Roman" w:cs="Times New Roman"/>
          <w:b/>
          <w:color w:val="000000" w:themeColor="text1"/>
          <w:sz w:val="36"/>
          <w:szCs w:val="36"/>
        </w:rPr>
      </w:pPr>
    </w:p>
    <w:p w14:paraId="16EEDEA8" w14:textId="56AC2A3A" w:rsidR="0022373F" w:rsidRDefault="0022373F" w:rsidP="00C623A4">
      <w:pPr>
        <w:spacing w:after="120" w:line="257" w:lineRule="auto"/>
        <w:rPr>
          <w:rFonts w:ascii="Times New Roman" w:hAnsi="Times New Roman" w:cs="Times New Roman"/>
          <w:b/>
          <w:color w:val="000000" w:themeColor="text1"/>
          <w:sz w:val="36"/>
          <w:szCs w:val="36"/>
        </w:rPr>
      </w:pPr>
    </w:p>
    <w:p w14:paraId="69C9EB75" w14:textId="4903E03E" w:rsidR="0022373F" w:rsidRDefault="0022373F" w:rsidP="00C623A4">
      <w:pPr>
        <w:spacing w:after="120" w:line="257" w:lineRule="auto"/>
        <w:rPr>
          <w:rFonts w:ascii="Times New Roman" w:hAnsi="Times New Roman" w:cs="Times New Roman"/>
          <w:b/>
          <w:color w:val="000000" w:themeColor="text1"/>
          <w:sz w:val="36"/>
          <w:szCs w:val="36"/>
        </w:rPr>
      </w:pPr>
    </w:p>
    <w:p w14:paraId="05862AFE" w14:textId="10C0048A" w:rsidR="0022373F" w:rsidRDefault="0022373F" w:rsidP="00C623A4">
      <w:pPr>
        <w:spacing w:after="120" w:line="257" w:lineRule="auto"/>
        <w:rPr>
          <w:rFonts w:ascii="Times New Roman" w:hAnsi="Times New Roman" w:cs="Times New Roman"/>
          <w:b/>
          <w:color w:val="000000" w:themeColor="text1"/>
          <w:sz w:val="36"/>
          <w:szCs w:val="36"/>
        </w:rPr>
      </w:pPr>
    </w:p>
    <w:p w14:paraId="78A5A059" w14:textId="68B11B89" w:rsidR="0022373F" w:rsidRDefault="0022373F" w:rsidP="00C623A4">
      <w:pPr>
        <w:spacing w:after="120" w:line="257" w:lineRule="auto"/>
        <w:rPr>
          <w:rFonts w:ascii="Times New Roman" w:hAnsi="Times New Roman" w:cs="Times New Roman"/>
          <w:b/>
          <w:color w:val="000000" w:themeColor="text1"/>
          <w:sz w:val="36"/>
          <w:szCs w:val="36"/>
        </w:rPr>
      </w:pPr>
    </w:p>
    <w:p w14:paraId="6D7A3E65" w14:textId="1DB6F0A4" w:rsidR="0022373F" w:rsidRDefault="0022373F" w:rsidP="00C623A4">
      <w:pPr>
        <w:spacing w:after="120" w:line="257" w:lineRule="auto"/>
        <w:rPr>
          <w:rFonts w:ascii="Times New Roman" w:hAnsi="Times New Roman" w:cs="Times New Roman"/>
          <w:b/>
          <w:color w:val="000000" w:themeColor="text1"/>
          <w:sz w:val="36"/>
          <w:szCs w:val="36"/>
        </w:rPr>
      </w:pPr>
    </w:p>
    <w:p w14:paraId="7E27138B" w14:textId="09B86415" w:rsidR="0022373F" w:rsidRDefault="0022373F" w:rsidP="00C623A4">
      <w:pPr>
        <w:spacing w:after="120" w:line="257" w:lineRule="auto"/>
        <w:rPr>
          <w:rFonts w:ascii="Times New Roman" w:hAnsi="Times New Roman" w:cs="Times New Roman"/>
          <w:b/>
          <w:color w:val="000000" w:themeColor="text1"/>
          <w:sz w:val="36"/>
          <w:szCs w:val="36"/>
        </w:rPr>
      </w:pPr>
    </w:p>
    <w:p w14:paraId="390BEF19" w14:textId="7C83393F" w:rsidR="0022373F" w:rsidRDefault="0022373F" w:rsidP="00C623A4">
      <w:pPr>
        <w:spacing w:after="120" w:line="257" w:lineRule="auto"/>
        <w:rPr>
          <w:rFonts w:ascii="Times New Roman" w:hAnsi="Times New Roman" w:cs="Times New Roman"/>
          <w:b/>
          <w:color w:val="000000" w:themeColor="text1"/>
          <w:sz w:val="36"/>
          <w:szCs w:val="36"/>
        </w:rPr>
      </w:pPr>
    </w:p>
    <w:p w14:paraId="6F3E6BA1" w14:textId="3713DDB7" w:rsidR="0022373F" w:rsidRDefault="0022373F" w:rsidP="00C623A4">
      <w:pPr>
        <w:spacing w:after="120" w:line="257" w:lineRule="auto"/>
        <w:rPr>
          <w:rFonts w:ascii="Times New Roman" w:hAnsi="Times New Roman" w:cs="Times New Roman"/>
          <w:b/>
          <w:color w:val="000000" w:themeColor="text1"/>
          <w:sz w:val="36"/>
          <w:szCs w:val="36"/>
        </w:rPr>
      </w:pPr>
    </w:p>
    <w:p w14:paraId="5E850956" w14:textId="1AF61CB7" w:rsidR="0022373F" w:rsidRDefault="0022373F" w:rsidP="00C623A4">
      <w:pPr>
        <w:spacing w:after="120" w:line="257" w:lineRule="auto"/>
        <w:rPr>
          <w:rFonts w:ascii="Times New Roman" w:hAnsi="Times New Roman" w:cs="Times New Roman"/>
          <w:b/>
          <w:color w:val="000000" w:themeColor="text1"/>
          <w:sz w:val="36"/>
          <w:szCs w:val="36"/>
        </w:rPr>
      </w:pPr>
    </w:p>
    <w:p w14:paraId="7F335E36" w14:textId="40D23EA5" w:rsidR="0022373F" w:rsidRDefault="0022373F" w:rsidP="00C623A4">
      <w:pPr>
        <w:spacing w:after="120" w:line="257" w:lineRule="auto"/>
        <w:rPr>
          <w:rFonts w:ascii="Times New Roman" w:hAnsi="Times New Roman" w:cs="Times New Roman"/>
          <w:b/>
          <w:color w:val="000000" w:themeColor="text1"/>
          <w:sz w:val="36"/>
          <w:szCs w:val="36"/>
        </w:rPr>
      </w:pPr>
    </w:p>
    <w:p w14:paraId="5CBA1356" w14:textId="3D23A0DD" w:rsidR="0022373F" w:rsidRDefault="0022373F" w:rsidP="00C623A4">
      <w:pPr>
        <w:spacing w:after="120" w:line="257" w:lineRule="auto"/>
        <w:rPr>
          <w:rFonts w:ascii="Times New Roman" w:hAnsi="Times New Roman" w:cs="Times New Roman"/>
          <w:b/>
          <w:color w:val="000000" w:themeColor="text1"/>
          <w:sz w:val="36"/>
          <w:szCs w:val="36"/>
        </w:rPr>
      </w:pPr>
    </w:p>
    <w:p w14:paraId="26F0CF57" w14:textId="092FCFB9" w:rsidR="0022373F" w:rsidRDefault="0022373F" w:rsidP="00C623A4">
      <w:pPr>
        <w:spacing w:after="120" w:line="257" w:lineRule="auto"/>
        <w:rPr>
          <w:rFonts w:ascii="Times New Roman" w:hAnsi="Times New Roman" w:cs="Times New Roman"/>
          <w:b/>
          <w:color w:val="000000" w:themeColor="text1"/>
          <w:sz w:val="36"/>
          <w:szCs w:val="36"/>
        </w:rPr>
      </w:pPr>
    </w:p>
    <w:p w14:paraId="27304B94" w14:textId="4B308019" w:rsidR="0022373F" w:rsidRDefault="0022373F" w:rsidP="00C623A4">
      <w:pPr>
        <w:spacing w:after="120" w:line="257" w:lineRule="auto"/>
        <w:rPr>
          <w:rFonts w:ascii="Times New Roman" w:hAnsi="Times New Roman" w:cs="Times New Roman"/>
          <w:b/>
          <w:color w:val="000000" w:themeColor="text1"/>
          <w:sz w:val="36"/>
          <w:szCs w:val="36"/>
        </w:rPr>
      </w:pPr>
    </w:p>
    <w:p w14:paraId="1EAF2B0E" w14:textId="257F0B79" w:rsidR="0022373F" w:rsidRDefault="00022F4C" w:rsidP="00C623A4">
      <w:pPr>
        <w:spacing w:after="120" w:line="257" w:lineRule="auto"/>
        <w:rPr>
          <w:rFonts w:ascii="Times New Roman" w:hAnsi="Times New Roman" w:cs="Times New Roman"/>
          <w:b/>
          <w:color w:val="000000" w:themeColor="text1"/>
          <w:sz w:val="36"/>
          <w:szCs w:val="36"/>
        </w:rPr>
      </w:pPr>
      <w:r>
        <w:rPr>
          <w:b/>
          <w:noProof/>
          <w:color w:val="000000" w:themeColor="text1"/>
          <w:sz w:val="36"/>
          <w:szCs w:val="36"/>
          <w:lang w:eastAsia="en-GB"/>
        </w:rPr>
        <w:drawing>
          <wp:anchor distT="0" distB="0" distL="114300" distR="114300" simplePos="0" relativeHeight="251664384" behindDoc="1" locked="0" layoutInCell="1" allowOverlap="1" wp14:anchorId="0C0B6740" wp14:editId="0CE0007F">
            <wp:simplePos x="0" y="0"/>
            <wp:positionH relativeFrom="column">
              <wp:posOffset>-516835</wp:posOffset>
            </wp:positionH>
            <wp:positionV relativeFrom="paragraph">
              <wp:posOffset>252233</wp:posOffset>
            </wp:positionV>
            <wp:extent cx="2783205" cy="1637665"/>
            <wp:effectExtent l="0" t="0" r="0" b="635"/>
            <wp:wrapNone/>
            <wp:docPr id="39" name="Picture 39" descr="C:\Users\utnvjpj\AppData\Local\Microsoft\Windows\INetCache\Content.MSO\6B701DA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nvjpj\AppData\Local\Microsoft\Windows\INetCache\Content.MSO\6B701DA5.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83205" cy="16376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2CEE06" w14:textId="1E589938" w:rsidR="0022373F" w:rsidRDefault="0022373F" w:rsidP="00C623A4">
      <w:pPr>
        <w:spacing w:after="120" w:line="257" w:lineRule="auto"/>
        <w:rPr>
          <w:rFonts w:ascii="Times New Roman" w:hAnsi="Times New Roman" w:cs="Times New Roman"/>
          <w:b/>
          <w:color w:val="000000" w:themeColor="text1"/>
          <w:sz w:val="36"/>
          <w:szCs w:val="36"/>
        </w:rPr>
      </w:pPr>
    </w:p>
    <w:p w14:paraId="61226BE6" w14:textId="47F54AE4" w:rsidR="0022373F" w:rsidRDefault="0022373F" w:rsidP="00C623A4">
      <w:pPr>
        <w:spacing w:after="120" w:line="257" w:lineRule="auto"/>
        <w:rPr>
          <w:rFonts w:ascii="Times New Roman" w:hAnsi="Times New Roman" w:cs="Times New Roman"/>
          <w:b/>
          <w:color w:val="000000" w:themeColor="text1"/>
          <w:sz w:val="36"/>
          <w:szCs w:val="36"/>
        </w:rPr>
      </w:pPr>
    </w:p>
    <w:p w14:paraId="5AC20A4E" w14:textId="699C1FDB" w:rsidR="0022373F" w:rsidRDefault="0022373F" w:rsidP="00C623A4">
      <w:pPr>
        <w:spacing w:after="120" w:line="257" w:lineRule="auto"/>
        <w:rPr>
          <w:rFonts w:ascii="Times New Roman" w:hAnsi="Times New Roman" w:cs="Times New Roman"/>
          <w:b/>
          <w:color w:val="000000" w:themeColor="text1"/>
          <w:sz w:val="36"/>
          <w:szCs w:val="36"/>
        </w:rPr>
      </w:pPr>
    </w:p>
    <w:p w14:paraId="27529348" w14:textId="315CABBB" w:rsidR="0022373F" w:rsidRDefault="0022373F" w:rsidP="00C623A4">
      <w:pPr>
        <w:spacing w:after="120" w:line="257" w:lineRule="auto"/>
        <w:rPr>
          <w:rFonts w:ascii="Times New Roman" w:hAnsi="Times New Roman" w:cs="Times New Roman"/>
          <w:b/>
          <w:color w:val="000000" w:themeColor="text1"/>
          <w:sz w:val="36"/>
          <w:szCs w:val="36"/>
        </w:rPr>
      </w:pPr>
    </w:p>
    <w:p w14:paraId="027B022B" w14:textId="0A7F7A22" w:rsidR="002F08EC" w:rsidRDefault="002F08EC" w:rsidP="00DD0012">
      <w:pPr>
        <w:pStyle w:val="Heading1UCL"/>
      </w:pPr>
      <w:bookmarkStart w:id="0" w:name="_Toc67405999"/>
      <w:r>
        <w:lastRenderedPageBreak/>
        <w:t>Executive summary</w:t>
      </w:r>
      <w:bookmarkEnd w:id="0"/>
    </w:p>
    <w:p w14:paraId="577D3188" w14:textId="77777777" w:rsidR="00DD0012" w:rsidRDefault="00DD0012" w:rsidP="008B4E20">
      <w:pPr>
        <w:pStyle w:val="Heading1UCL"/>
      </w:pPr>
    </w:p>
    <w:p w14:paraId="440ECB17" w14:textId="77777777" w:rsidR="002F08EC" w:rsidRDefault="002F08EC" w:rsidP="00C623A4">
      <w:pPr>
        <w:spacing w:after="120" w:line="257" w:lineRule="auto"/>
        <w:jc w:val="both"/>
        <w:rPr>
          <w:rFonts w:ascii="Times New Roman" w:hAnsi="Times New Roman"/>
          <w:color w:val="000000"/>
          <w:sz w:val="24"/>
          <w:szCs w:val="24"/>
          <w:u w:val="single"/>
        </w:rPr>
      </w:pPr>
      <w:r>
        <w:rPr>
          <w:rFonts w:ascii="Times New Roman" w:hAnsi="Times New Roman"/>
          <w:color w:val="000000"/>
          <w:sz w:val="24"/>
          <w:szCs w:val="24"/>
          <w:u w:val="single"/>
        </w:rPr>
        <w:t>Background</w:t>
      </w:r>
    </w:p>
    <w:p w14:paraId="68F2CB2E" w14:textId="1639CE3E" w:rsidR="006C64AE" w:rsidRPr="003F7743" w:rsidRDefault="00CA0F4D" w:rsidP="00CA0F4D">
      <w:pPr>
        <w:jc w:val="both"/>
        <w:rPr>
          <w:rFonts w:ascii="Times New Roman" w:hAnsi="Times New Roman" w:cs="Times New Roman"/>
          <w:sz w:val="24"/>
          <w:szCs w:val="24"/>
        </w:rPr>
      </w:pPr>
      <w:r w:rsidRPr="00CA0F4D">
        <w:rPr>
          <w:rFonts w:ascii="Times New Roman" w:hAnsi="Times New Roman" w:cs="Times New Roman"/>
          <w:sz w:val="24"/>
          <w:szCs w:val="24"/>
        </w:rPr>
        <w:t>Over the last decade there has been renewed academic and public policy interest in wellbeing and mental health. This has coincided with a notable increase in reported mental health problems across the UK, including the proportion of individuals taking prescription medicines for illnesses such as anxiety and depression</w:t>
      </w:r>
      <w:r w:rsidRPr="00CA0F4D">
        <w:rPr>
          <w:rFonts w:ascii="Times New Roman" w:hAnsi="Times New Roman" w:cs="Times New Roman"/>
          <w:color w:val="000000" w:themeColor="text1"/>
          <w:sz w:val="24"/>
          <w:szCs w:val="24"/>
        </w:rPr>
        <w:t xml:space="preserve">. </w:t>
      </w:r>
      <w:r w:rsidRPr="00CA0F4D">
        <w:rPr>
          <w:rFonts w:ascii="Times New Roman" w:hAnsi="Times New Roman" w:cs="Times New Roman"/>
          <w:sz w:val="24"/>
          <w:szCs w:val="24"/>
        </w:rPr>
        <w:t>It is well known that the prevalence of mental illness varies by key demographic characteristics, such as age, gender, ethnicity and socio-economic status. Yet previous research has also suggested that mental ill</w:t>
      </w:r>
      <w:r w:rsidR="00C26C83">
        <w:rPr>
          <w:rFonts w:ascii="Times New Roman" w:hAnsi="Times New Roman" w:cs="Times New Roman"/>
          <w:sz w:val="24"/>
          <w:szCs w:val="24"/>
        </w:rPr>
        <w:t xml:space="preserve"> </w:t>
      </w:r>
      <w:r w:rsidRPr="00CA0F4D">
        <w:rPr>
          <w:rFonts w:ascii="Times New Roman" w:hAnsi="Times New Roman" w:cs="Times New Roman"/>
          <w:sz w:val="24"/>
          <w:szCs w:val="24"/>
        </w:rPr>
        <w:t>health, and low levels of wellbeing, differ between professions</w:t>
      </w:r>
      <w:r w:rsidR="006C64AE">
        <w:rPr>
          <w:rFonts w:ascii="Times New Roman" w:hAnsi="Times New Roman" w:cs="Times New Roman"/>
          <w:sz w:val="24"/>
          <w:szCs w:val="24"/>
        </w:rPr>
        <w:t xml:space="preserve"> (Johnson et al</w:t>
      </w:r>
      <w:r w:rsidR="007C3CEF">
        <w:rPr>
          <w:rFonts w:ascii="Times New Roman" w:hAnsi="Times New Roman" w:cs="Times New Roman"/>
          <w:sz w:val="24"/>
          <w:szCs w:val="24"/>
        </w:rPr>
        <w:t>.</w:t>
      </w:r>
      <w:r w:rsidR="0048304E">
        <w:rPr>
          <w:rFonts w:ascii="Times New Roman" w:hAnsi="Times New Roman" w:cs="Times New Roman"/>
          <w:sz w:val="24"/>
          <w:szCs w:val="24"/>
        </w:rPr>
        <w:t>,</w:t>
      </w:r>
      <w:r w:rsidR="006C64AE">
        <w:rPr>
          <w:rFonts w:ascii="Times New Roman" w:hAnsi="Times New Roman" w:cs="Times New Roman"/>
          <w:sz w:val="24"/>
          <w:szCs w:val="24"/>
        </w:rPr>
        <w:t xml:space="preserve"> </w:t>
      </w:r>
      <w:r w:rsidR="006C64AE" w:rsidRPr="00A92855">
        <w:rPr>
          <w:rFonts w:ascii="Times New Roman" w:hAnsi="Times New Roman" w:cs="Times New Roman"/>
          <w:sz w:val="24"/>
          <w:szCs w:val="24"/>
        </w:rPr>
        <w:t>2003)</w:t>
      </w:r>
      <w:r w:rsidRPr="00CA0F4D">
        <w:rPr>
          <w:rFonts w:ascii="Times New Roman" w:hAnsi="Times New Roman" w:cs="Times New Roman"/>
          <w:sz w:val="24"/>
          <w:szCs w:val="24"/>
        </w:rPr>
        <w:t>. One occupation where there has been particular concern about mental health problems is teaching, with staff working long hours during term</w:t>
      </w:r>
      <w:r w:rsidR="00982DB9">
        <w:rPr>
          <w:rFonts w:ascii="Times New Roman" w:hAnsi="Times New Roman" w:cs="Times New Roman"/>
          <w:sz w:val="24"/>
          <w:szCs w:val="24"/>
        </w:rPr>
        <w:t xml:space="preserve"> </w:t>
      </w:r>
      <w:r w:rsidRPr="00CA0F4D">
        <w:rPr>
          <w:rFonts w:ascii="Times New Roman" w:hAnsi="Times New Roman" w:cs="Times New Roman"/>
          <w:sz w:val="24"/>
          <w:szCs w:val="24"/>
        </w:rPr>
        <w:t>time and under increasing pressure from the system of school accountability. This has, in turn, contributed to ongoing difficulties with recruiting and retaining sufficient numbers of high-quality teaching staff</w:t>
      </w:r>
      <w:r w:rsidR="006C64AE">
        <w:rPr>
          <w:rFonts w:ascii="Times New Roman" w:hAnsi="Times New Roman" w:cs="Times New Roman"/>
          <w:sz w:val="24"/>
          <w:szCs w:val="24"/>
        </w:rPr>
        <w:t xml:space="preserve"> (</w:t>
      </w:r>
      <w:r w:rsidR="006C64AE" w:rsidRPr="00F33BFF">
        <w:rPr>
          <w:rFonts w:ascii="Times New Roman" w:hAnsi="Times New Roman" w:cs="Times New Roman"/>
          <w:sz w:val="24"/>
          <w:szCs w:val="24"/>
        </w:rPr>
        <w:t>Cooper-Gibson Research, 2018</w:t>
      </w:r>
      <w:r w:rsidR="006C64AE">
        <w:rPr>
          <w:rFonts w:ascii="Times New Roman" w:hAnsi="Times New Roman" w:cs="Times New Roman"/>
          <w:sz w:val="24"/>
          <w:szCs w:val="24"/>
        </w:rPr>
        <w:t>)</w:t>
      </w:r>
      <w:r w:rsidRPr="00CA0F4D">
        <w:rPr>
          <w:rFonts w:ascii="Times New Roman" w:hAnsi="Times New Roman" w:cs="Times New Roman"/>
          <w:sz w:val="24"/>
          <w:szCs w:val="24"/>
        </w:rPr>
        <w:t xml:space="preserve">, further compounded by the fact that almost 4,000 teachers in </w:t>
      </w:r>
      <w:r w:rsidRPr="003F7743">
        <w:rPr>
          <w:rFonts w:ascii="Times New Roman" w:hAnsi="Times New Roman" w:cs="Times New Roman"/>
          <w:sz w:val="24"/>
          <w:szCs w:val="24"/>
        </w:rPr>
        <w:t>England are on long-term sickness leave due to stress</w:t>
      </w:r>
      <w:r w:rsidR="006C64AE">
        <w:rPr>
          <w:rFonts w:ascii="Times New Roman" w:hAnsi="Times New Roman" w:cs="Times New Roman"/>
          <w:sz w:val="24"/>
          <w:szCs w:val="24"/>
        </w:rPr>
        <w:t xml:space="preserve"> (</w:t>
      </w:r>
      <w:r w:rsidR="006C64AE" w:rsidRPr="00F33BFF">
        <w:rPr>
          <w:rFonts w:ascii="Times New Roman" w:hAnsi="Times New Roman" w:cs="Times New Roman"/>
          <w:sz w:val="24"/>
          <w:szCs w:val="24"/>
        </w:rPr>
        <w:t>Liberal Democrats, 201</w:t>
      </w:r>
      <w:r w:rsidR="008B4E20">
        <w:rPr>
          <w:rFonts w:ascii="Times New Roman" w:hAnsi="Times New Roman" w:cs="Times New Roman"/>
          <w:sz w:val="24"/>
          <w:szCs w:val="24"/>
        </w:rPr>
        <w:t>8)</w:t>
      </w:r>
      <w:r w:rsidRPr="003F7743">
        <w:rPr>
          <w:rFonts w:ascii="Times New Roman" w:hAnsi="Times New Roman" w:cs="Times New Roman"/>
          <w:sz w:val="24"/>
          <w:szCs w:val="24"/>
        </w:rPr>
        <w:t xml:space="preserve">. </w:t>
      </w:r>
    </w:p>
    <w:p w14:paraId="7B3DDDCD" w14:textId="4D3F0284" w:rsidR="00165D62" w:rsidRPr="003F7743" w:rsidRDefault="00CA0F4D" w:rsidP="002F08EC">
      <w:pPr>
        <w:jc w:val="both"/>
        <w:rPr>
          <w:rFonts w:ascii="Times New Roman" w:hAnsi="Times New Roman"/>
          <w:color w:val="000000"/>
          <w:sz w:val="24"/>
          <w:szCs w:val="24"/>
        </w:rPr>
      </w:pPr>
      <w:r w:rsidRPr="003F7743">
        <w:rPr>
          <w:rFonts w:ascii="Times New Roman" w:hAnsi="Times New Roman" w:cs="Times New Roman"/>
          <w:sz w:val="24"/>
          <w:szCs w:val="24"/>
        </w:rPr>
        <w:t>But is the problem of low wellbeing and mental ill</w:t>
      </w:r>
      <w:r w:rsidR="00C26C83">
        <w:rPr>
          <w:rFonts w:ascii="Times New Roman" w:hAnsi="Times New Roman" w:cs="Times New Roman"/>
          <w:sz w:val="24"/>
          <w:szCs w:val="24"/>
        </w:rPr>
        <w:t xml:space="preserve"> </w:t>
      </w:r>
      <w:r w:rsidRPr="003F7743">
        <w:rPr>
          <w:rFonts w:ascii="Times New Roman" w:hAnsi="Times New Roman" w:cs="Times New Roman"/>
          <w:sz w:val="24"/>
          <w:szCs w:val="24"/>
        </w:rPr>
        <w:t>health really that much worse for teachers</w:t>
      </w:r>
      <w:r w:rsidR="00925BF1">
        <w:rPr>
          <w:rFonts w:ascii="Times New Roman" w:hAnsi="Times New Roman" w:cs="Times New Roman"/>
          <w:sz w:val="24"/>
          <w:szCs w:val="24"/>
        </w:rPr>
        <w:t xml:space="preserve">, relative to </w:t>
      </w:r>
      <w:r w:rsidRPr="003F7743">
        <w:rPr>
          <w:rFonts w:ascii="Times New Roman" w:hAnsi="Times New Roman" w:cs="Times New Roman"/>
          <w:sz w:val="24"/>
          <w:szCs w:val="24"/>
        </w:rPr>
        <w:t xml:space="preserve">teachers in other countries and those working in other </w:t>
      </w:r>
      <w:r w:rsidR="00925BF1">
        <w:rPr>
          <w:rFonts w:ascii="Times New Roman" w:hAnsi="Times New Roman" w:cs="Times New Roman"/>
          <w:sz w:val="24"/>
          <w:szCs w:val="24"/>
        </w:rPr>
        <w:t>occupations in England</w:t>
      </w:r>
      <w:r w:rsidRPr="003F7743">
        <w:rPr>
          <w:rFonts w:ascii="Times New Roman" w:hAnsi="Times New Roman" w:cs="Times New Roman"/>
          <w:sz w:val="24"/>
          <w:szCs w:val="24"/>
        </w:rPr>
        <w:t>? Likewise, is there any evidence that the mental health and wellbeing of teachers in England has declined over time</w:t>
      </w:r>
      <w:r w:rsidR="0052504A" w:rsidRPr="003F7743">
        <w:rPr>
          <w:rFonts w:ascii="Times New Roman" w:hAnsi="Times New Roman" w:cs="Times New Roman"/>
          <w:sz w:val="24"/>
          <w:szCs w:val="24"/>
        </w:rPr>
        <w:t xml:space="preserve">, or </w:t>
      </w:r>
      <w:r w:rsidR="00925BF1">
        <w:rPr>
          <w:rFonts w:ascii="Times New Roman" w:hAnsi="Times New Roman" w:cs="Times New Roman"/>
          <w:sz w:val="24"/>
          <w:szCs w:val="24"/>
        </w:rPr>
        <w:t>that</w:t>
      </w:r>
      <w:r w:rsidR="0052504A" w:rsidRPr="003F7743">
        <w:rPr>
          <w:rFonts w:ascii="Times New Roman" w:hAnsi="Times New Roman" w:cs="Times New Roman"/>
          <w:sz w:val="24"/>
          <w:szCs w:val="24"/>
        </w:rPr>
        <w:t xml:space="preserve"> teachers </w:t>
      </w:r>
      <w:r w:rsidR="00925BF1">
        <w:rPr>
          <w:rFonts w:ascii="Times New Roman" w:hAnsi="Times New Roman" w:cs="Times New Roman"/>
          <w:sz w:val="24"/>
          <w:szCs w:val="24"/>
        </w:rPr>
        <w:t xml:space="preserve">who </w:t>
      </w:r>
      <w:r w:rsidR="0052504A" w:rsidRPr="003F7743">
        <w:rPr>
          <w:rFonts w:ascii="Times New Roman" w:hAnsi="Times New Roman" w:cs="Times New Roman"/>
          <w:sz w:val="24"/>
          <w:szCs w:val="24"/>
        </w:rPr>
        <w:t xml:space="preserve">quit the profession </w:t>
      </w:r>
      <w:r w:rsidR="00925BF1">
        <w:rPr>
          <w:rFonts w:ascii="Times New Roman" w:hAnsi="Times New Roman" w:cs="Times New Roman"/>
          <w:sz w:val="24"/>
          <w:szCs w:val="24"/>
        </w:rPr>
        <w:t xml:space="preserve">find that </w:t>
      </w:r>
      <w:r w:rsidR="0052504A" w:rsidRPr="003F7743">
        <w:rPr>
          <w:rFonts w:ascii="Times New Roman" w:hAnsi="Times New Roman" w:cs="Times New Roman"/>
          <w:sz w:val="24"/>
          <w:szCs w:val="24"/>
        </w:rPr>
        <w:t>their mental health improves</w:t>
      </w:r>
      <w:r w:rsidRPr="003F7743">
        <w:rPr>
          <w:rFonts w:ascii="Times New Roman" w:hAnsi="Times New Roman" w:cs="Times New Roman"/>
          <w:sz w:val="24"/>
          <w:szCs w:val="24"/>
        </w:rPr>
        <w:t>?</w:t>
      </w:r>
      <w:r w:rsidRPr="003F7743">
        <w:rPr>
          <w:rFonts w:ascii="Times New Roman" w:hAnsi="Times New Roman"/>
          <w:color w:val="000000"/>
          <w:sz w:val="24"/>
          <w:szCs w:val="24"/>
        </w:rPr>
        <w:t xml:space="preserve"> And what are the drivers of poor mental health amongst teachers – is it due to excessive workloads, the stressful nature of school accountability</w:t>
      </w:r>
      <w:r w:rsidR="0052504A" w:rsidRPr="003F7743">
        <w:rPr>
          <w:rFonts w:ascii="Times New Roman" w:hAnsi="Times New Roman"/>
          <w:color w:val="000000"/>
          <w:sz w:val="24"/>
          <w:szCs w:val="24"/>
        </w:rPr>
        <w:t>, issues surrounding school leadership or disciplinary issues within schools? Currently, the evidence base on such matters remains relatively limited.</w:t>
      </w:r>
    </w:p>
    <w:p w14:paraId="3CDF21A4" w14:textId="37386A87" w:rsidR="00165D62" w:rsidRDefault="00165D62" w:rsidP="00165D62">
      <w:pPr>
        <w:jc w:val="both"/>
        <w:rPr>
          <w:rFonts w:ascii="Times New Roman" w:hAnsi="Times New Roman"/>
          <w:color w:val="000000"/>
          <w:sz w:val="24"/>
          <w:szCs w:val="24"/>
        </w:rPr>
      </w:pPr>
      <w:r>
        <w:rPr>
          <w:rFonts w:ascii="Times New Roman" w:hAnsi="Times New Roman"/>
          <w:color w:val="000000"/>
          <w:sz w:val="24"/>
          <w:szCs w:val="24"/>
        </w:rPr>
        <w:t xml:space="preserve">This report provides new evidence </w:t>
      </w:r>
      <w:r w:rsidR="00BF320C">
        <w:rPr>
          <w:rFonts w:ascii="Times New Roman" w:hAnsi="Times New Roman"/>
          <w:color w:val="000000"/>
          <w:sz w:val="24"/>
          <w:szCs w:val="24"/>
        </w:rPr>
        <w:t xml:space="preserve">on </w:t>
      </w:r>
      <w:r>
        <w:rPr>
          <w:rFonts w:ascii="Times New Roman" w:hAnsi="Times New Roman"/>
          <w:color w:val="000000"/>
          <w:sz w:val="24"/>
          <w:szCs w:val="24"/>
        </w:rPr>
        <w:t xml:space="preserve">the mental health and wellbeing of teachers in England. It is divided into two parts. </w:t>
      </w:r>
      <w:r w:rsidR="00BF320C">
        <w:rPr>
          <w:rFonts w:ascii="Times New Roman" w:hAnsi="Times New Roman"/>
          <w:color w:val="000000"/>
          <w:sz w:val="24"/>
          <w:szCs w:val="24"/>
        </w:rPr>
        <w:t>The first p</w:t>
      </w:r>
      <w:r>
        <w:rPr>
          <w:rFonts w:ascii="Times New Roman" w:hAnsi="Times New Roman"/>
          <w:color w:val="000000"/>
          <w:sz w:val="24"/>
          <w:szCs w:val="24"/>
        </w:rPr>
        <w:t xml:space="preserve">rovides the most detailed and comprehensive investigation of teacher mental health and wellbeing in England </w:t>
      </w:r>
      <w:r w:rsidR="0022373F">
        <w:rPr>
          <w:rFonts w:ascii="Times New Roman" w:hAnsi="Times New Roman"/>
          <w:color w:val="000000"/>
          <w:sz w:val="24"/>
          <w:szCs w:val="24"/>
        </w:rPr>
        <w:t>up to 2018</w:t>
      </w:r>
      <w:r>
        <w:rPr>
          <w:rFonts w:ascii="Times New Roman" w:hAnsi="Times New Roman"/>
          <w:color w:val="000000"/>
          <w:sz w:val="24"/>
          <w:szCs w:val="24"/>
        </w:rPr>
        <w:t>. This includes comparing the situation amongst teachers in England to other countries, consideration of how the mental health of teachers varies over the academic year, comparisons of teachers to those working in other occupations</w:t>
      </w:r>
      <w:r w:rsidR="00CF6AC7">
        <w:rPr>
          <w:rFonts w:ascii="Times New Roman" w:hAnsi="Times New Roman"/>
          <w:color w:val="000000"/>
          <w:sz w:val="24"/>
          <w:szCs w:val="24"/>
        </w:rPr>
        <w:t xml:space="preserve"> and</w:t>
      </w:r>
      <w:r>
        <w:rPr>
          <w:rFonts w:ascii="Times New Roman" w:hAnsi="Times New Roman"/>
          <w:color w:val="000000"/>
          <w:sz w:val="24"/>
          <w:szCs w:val="24"/>
        </w:rPr>
        <w:t xml:space="preserve"> an investigation of how this has changed over</w:t>
      </w:r>
      <w:r w:rsidR="00BF320C">
        <w:rPr>
          <w:rFonts w:ascii="Times New Roman" w:hAnsi="Times New Roman"/>
          <w:color w:val="000000"/>
          <w:sz w:val="24"/>
          <w:szCs w:val="24"/>
        </w:rPr>
        <w:t xml:space="preserve"> time</w:t>
      </w:r>
      <w:r w:rsidR="00CF6AC7">
        <w:rPr>
          <w:rFonts w:ascii="Times New Roman" w:hAnsi="Times New Roman"/>
          <w:color w:val="000000"/>
          <w:sz w:val="24"/>
          <w:szCs w:val="24"/>
        </w:rPr>
        <w:t xml:space="preserve">. It also provides new evidence on the lifestyles and wellbeing of recently qualified teachers, as well as whether middle-aged teachers who leave the profession for another job experience an improvement </w:t>
      </w:r>
      <w:r w:rsidR="00BF320C">
        <w:rPr>
          <w:rFonts w:ascii="Times New Roman" w:hAnsi="Times New Roman"/>
          <w:color w:val="000000"/>
          <w:sz w:val="24"/>
          <w:szCs w:val="24"/>
        </w:rPr>
        <w:t xml:space="preserve">in </w:t>
      </w:r>
      <w:r w:rsidR="00CF6AC7">
        <w:rPr>
          <w:rFonts w:ascii="Times New Roman" w:hAnsi="Times New Roman"/>
          <w:color w:val="000000"/>
          <w:sz w:val="24"/>
          <w:szCs w:val="24"/>
        </w:rPr>
        <w:t xml:space="preserve">their mental health. In doing so, the report provides the most complete picture on the mental health and wellbeing of teachers in England to date. </w:t>
      </w:r>
    </w:p>
    <w:p w14:paraId="50B733E1" w14:textId="055059B3" w:rsidR="00165D62" w:rsidRDefault="00CF6AC7" w:rsidP="002F08EC">
      <w:pPr>
        <w:jc w:val="both"/>
        <w:rPr>
          <w:rFonts w:ascii="Times New Roman" w:hAnsi="Times New Roman"/>
          <w:color w:val="000000"/>
          <w:sz w:val="24"/>
          <w:szCs w:val="24"/>
        </w:rPr>
      </w:pPr>
      <w:r>
        <w:rPr>
          <w:rFonts w:ascii="Times New Roman" w:hAnsi="Times New Roman"/>
          <w:color w:val="000000"/>
          <w:sz w:val="24"/>
          <w:szCs w:val="24"/>
        </w:rPr>
        <w:t>The second part of the report turns to</w:t>
      </w:r>
      <w:r w:rsidR="008D0F16">
        <w:rPr>
          <w:rFonts w:ascii="Times New Roman" w:hAnsi="Times New Roman"/>
          <w:color w:val="000000"/>
          <w:sz w:val="24"/>
          <w:szCs w:val="24"/>
        </w:rPr>
        <w:t xml:space="preserve"> potential drivers of mental ill</w:t>
      </w:r>
      <w:r w:rsidR="002C1828">
        <w:rPr>
          <w:rFonts w:ascii="Times New Roman" w:hAnsi="Times New Roman"/>
          <w:color w:val="000000"/>
          <w:sz w:val="24"/>
          <w:szCs w:val="24"/>
        </w:rPr>
        <w:t xml:space="preserve"> </w:t>
      </w:r>
      <w:r w:rsidR="008D0F16">
        <w:rPr>
          <w:rFonts w:ascii="Times New Roman" w:hAnsi="Times New Roman"/>
          <w:color w:val="000000"/>
          <w:sz w:val="24"/>
          <w:szCs w:val="24"/>
        </w:rPr>
        <w:t xml:space="preserve">health amongst teachers. This includes a detailed investigation of teachers’ hours of work – one widely discussed challenge facing the teaching profession – and how these are associated with their workplace wellbeing and stress. </w:t>
      </w:r>
      <w:r w:rsidR="0014320A">
        <w:rPr>
          <w:rFonts w:ascii="Times New Roman" w:hAnsi="Times New Roman"/>
          <w:color w:val="000000"/>
          <w:sz w:val="24"/>
          <w:szCs w:val="24"/>
        </w:rPr>
        <w:t>The issue of high-stakes accountability is then tackled, with a detailed consideration of how holding teachers responsible for pupil achievement is linked to their wellbeing. Finally, the report investigates how five specific workplace factors (school leadership, teacher collaboration, workload, initial preparation and</w:t>
      </w:r>
      <w:r w:rsidR="00C20C88">
        <w:rPr>
          <w:rFonts w:ascii="Times New Roman" w:hAnsi="Times New Roman"/>
          <w:color w:val="000000"/>
          <w:sz w:val="24"/>
          <w:szCs w:val="24"/>
        </w:rPr>
        <w:t xml:space="preserve"> approach to discipline) may affect teacher job satisfaction, wellbeing and retention in the profession. Together, this provides important new evidence on how different aspects of the job are affecting teachers</w:t>
      </w:r>
      <w:r w:rsidR="000D68A9">
        <w:rPr>
          <w:rFonts w:ascii="Times New Roman" w:hAnsi="Times New Roman"/>
          <w:color w:val="000000"/>
          <w:sz w:val="24"/>
          <w:szCs w:val="24"/>
        </w:rPr>
        <w:t>’</w:t>
      </w:r>
      <w:r w:rsidR="00C20C88">
        <w:rPr>
          <w:rFonts w:ascii="Times New Roman" w:hAnsi="Times New Roman"/>
          <w:color w:val="000000"/>
          <w:sz w:val="24"/>
          <w:szCs w:val="24"/>
        </w:rPr>
        <w:t xml:space="preserve"> lives. </w:t>
      </w:r>
    </w:p>
    <w:p w14:paraId="2815C754" w14:textId="77777777" w:rsidR="0022373F" w:rsidRDefault="0022373F" w:rsidP="002F08EC">
      <w:pPr>
        <w:jc w:val="both"/>
        <w:rPr>
          <w:rFonts w:ascii="Times New Roman" w:hAnsi="Times New Roman"/>
          <w:color w:val="000000"/>
          <w:sz w:val="24"/>
          <w:szCs w:val="24"/>
        </w:rPr>
      </w:pPr>
    </w:p>
    <w:p w14:paraId="2D6DD2B3" w14:textId="77777777" w:rsidR="002F08EC" w:rsidRDefault="002F08EC" w:rsidP="002F08EC">
      <w:pPr>
        <w:jc w:val="both"/>
        <w:rPr>
          <w:rFonts w:ascii="Times New Roman" w:hAnsi="Times New Roman"/>
          <w:color w:val="000000"/>
          <w:sz w:val="24"/>
          <w:szCs w:val="24"/>
          <w:u w:val="single"/>
        </w:rPr>
      </w:pPr>
      <w:r>
        <w:rPr>
          <w:rFonts w:ascii="Times New Roman" w:hAnsi="Times New Roman"/>
          <w:color w:val="000000"/>
          <w:sz w:val="24"/>
          <w:szCs w:val="24"/>
          <w:u w:val="single"/>
        </w:rPr>
        <w:t>Methodology</w:t>
      </w:r>
    </w:p>
    <w:p w14:paraId="1D6AD8E9" w14:textId="3943F365" w:rsidR="00823F43" w:rsidRDefault="00823F43" w:rsidP="002F08EC">
      <w:pPr>
        <w:jc w:val="both"/>
        <w:rPr>
          <w:rFonts w:ascii="Times New Roman" w:hAnsi="Times New Roman"/>
          <w:color w:val="000000"/>
          <w:sz w:val="24"/>
          <w:szCs w:val="24"/>
        </w:rPr>
      </w:pPr>
      <w:r>
        <w:rPr>
          <w:rFonts w:ascii="Times New Roman" w:hAnsi="Times New Roman"/>
          <w:color w:val="000000"/>
          <w:sz w:val="24"/>
          <w:szCs w:val="24"/>
        </w:rPr>
        <w:t xml:space="preserve">The study draws upon a wide variety of datasets to build the most comprehensive picture possible of the wellbeing and mental health of teachers in England. This includes, but is not limited to, the Labour Force Survey, Annual Population Survey, Understanding Society, UK Biobank and the Teaching and Learning International Survey (TALIS). </w:t>
      </w:r>
      <w:r w:rsidR="003F7743">
        <w:rPr>
          <w:rFonts w:ascii="Times New Roman" w:hAnsi="Times New Roman"/>
          <w:color w:val="000000"/>
          <w:sz w:val="24"/>
          <w:szCs w:val="24"/>
        </w:rPr>
        <w:t>We apply a range of regression analyses and matching methods to these datasets in order to draw comparisons of the mental health and wellbeing of teac</w:t>
      </w:r>
      <w:r w:rsidR="000D68A9">
        <w:rPr>
          <w:rFonts w:ascii="Times New Roman" w:hAnsi="Times New Roman"/>
          <w:color w:val="000000"/>
          <w:sz w:val="24"/>
          <w:szCs w:val="24"/>
        </w:rPr>
        <w:t>hers</w:t>
      </w:r>
      <w:r w:rsidR="003F7743">
        <w:rPr>
          <w:rFonts w:ascii="Times New Roman" w:hAnsi="Times New Roman"/>
          <w:color w:val="000000"/>
          <w:sz w:val="24"/>
          <w:szCs w:val="24"/>
        </w:rPr>
        <w:t xml:space="preserve"> in England to teachers in other countries, to workers in other professions, to historical patterns and to those who have chosen to leave teaching for alternative employment. The large sample size of teachers within these various data sources, the fact that many have been collected over a long</w:t>
      </w:r>
      <w:r w:rsidR="000D68A9">
        <w:rPr>
          <w:rFonts w:ascii="Times New Roman" w:hAnsi="Times New Roman"/>
          <w:color w:val="000000"/>
          <w:sz w:val="24"/>
          <w:szCs w:val="24"/>
        </w:rPr>
        <w:t xml:space="preserve"> </w:t>
      </w:r>
      <w:r w:rsidR="003F7743">
        <w:rPr>
          <w:rFonts w:ascii="Times New Roman" w:hAnsi="Times New Roman"/>
          <w:color w:val="000000"/>
          <w:sz w:val="24"/>
          <w:szCs w:val="24"/>
        </w:rPr>
        <w:t xml:space="preserve">time horizon and the </w:t>
      </w:r>
      <w:r w:rsidR="000D68A9">
        <w:rPr>
          <w:rFonts w:ascii="Times New Roman" w:hAnsi="Times New Roman"/>
          <w:color w:val="000000"/>
          <w:sz w:val="24"/>
          <w:szCs w:val="24"/>
        </w:rPr>
        <w:t xml:space="preserve">rich </w:t>
      </w:r>
      <w:r w:rsidR="003F7743">
        <w:rPr>
          <w:rFonts w:ascii="Times New Roman" w:hAnsi="Times New Roman"/>
          <w:color w:val="000000"/>
          <w:sz w:val="24"/>
          <w:szCs w:val="24"/>
        </w:rPr>
        <w:t>information that they each hold about respondents’ wellbeing make them well</w:t>
      </w:r>
      <w:r w:rsidR="000D68A9">
        <w:rPr>
          <w:rFonts w:ascii="Times New Roman" w:hAnsi="Times New Roman"/>
          <w:color w:val="000000"/>
          <w:sz w:val="24"/>
          <w:szCs w:val="24"/>
        </w:rPr>
        <w:t xml:space="preserve"> </w:t>
      </w:r>
      <w:r w:rsidR="003F7743">
        <w:rPr>
          <w:rFonts w:ascii="Times New Roman" w:hAnsi="Times New Roman"/>
          <w:color w:val="000000"/>
          <w:sz w:val="24"/>
          <w:szCs w:val="24"/>
        </w:rPr>
        <w:t xml:space="preserve">suited for this purpose. </w:t>
      </w:r>
    </w:p>
    <w:p w14:paraId="3086656A" w14:textId="768DD009" w:rsidR="00823F43" w:rsidRPr="003F7743" w:rsidRDefault="003F7743" w:rsidP="002F08EC">
      <w:pPr>
        <w:jc w:val="both"/>
        <w:rPr>
          <w:rFonts w:ascii="Times New Roman" w:hAnsi="Times New Roman"/>
          <w:color w:val="000000"/>
          <w:sz w:val="24"/>
          <w:szCs w:val="24"/>
        </w:rPr>
      </w:pPr>
      <w:r>
        <w:rPr>
          <w:rFonts w:ascii="Times New Roman" w:hAnsi="Times New Roman"/>
          <w:color w:val="000000"/>
          <w:sz w:val="24"/>
          <w:szCs w:val="24"/>
        </w:rPr>
        <w:t xml:space="preserve">The TALIS dataset is drawn upon, in particular, </w:t>
      </w:r>
      <w:r w:rsidR="00C274F8">
        <w:rPr>
          <w:rFonts w:ascii="Times New Roman" w:hAnsi="Times New Roman"/>
          <w:color w:val="000000"/>
          <w:sz w:val="24"/>
          <w:szCs w:val="24"/>
        </w:rPr>
        <w:t>to investigate the potential</w:t>
      </w:r>
      <w:r>
        <w:rPr>
          <w:rFonts w:ascii="Times New Roman" w:hAnsi="Times New Roman"/>
          <w:color w:val="000000"/>
          <w:sz w:val="24"/>
          <w:szCs w:val="24"/>
        </w:rPr>
        <w:t xml:space="preserve"> drivers of teachers’ mental health. These data are particularly rich in terms of teachers</w:t>
      </w:r>
      <w:r w:rsidR="00AA46A4">
        <w:rPr>
          <w:rFonts w:ascii="Times New Roman" w:hAnsi="Times New Roman"/>
          <w:color w:val="000000"/>
          <w:sz w:val="24"/>
          <w:szCs w:val="24"/>
        </w:rPr>
        <w:t>’</w:t>
      </w:r>
      <w:r>
        <w:rPr>
          <w:rFonts w:ascii="Times New Roman" w:hAnsi="Times New Roman"/>
          <w:color w:val="000000"/>
          <w:sz w:val="24"/>
          <w:szCs w:val="24"/>
        </w:rPr>
        <w:t xml:space="preserve"> working environments, including detailed measures of workload and working hours, school management </w:t>
      </w:r>
      <w:r w:rsidR="00845DE7">
        <w:rPr>
          <w:rFonts w:ascii="Times New Roman" w:hAnsi="Times New Roman"/>
          <w:color w:val="000000"/>
          <w:sz w:val="24"/>
          <w:szCs w:val="24"/>
        </w:rPr>
        <w:t>practices</w:t>
      </w:r>
      <w:r>
        <w:rPr>
          <w:rFonts w:ascii="Times New Roman" w:hAnsi="Times New Roman"/>
          <w:color w:val="000000"/>
          <w:sz w:val="24"/>
          <w:szCs w:val="24"/>
        </w:rPr>
        <w:t xml:space="preserve">, working environment and aspects of school accountability. The second part of the report therefore applies various forms of regression analyses to these data, in order to investigate the correlates of teacher workplace wellbeing and stress. </w:t>
      </w:r>
      <w:r w:rsidR="000D68A9">
        <w:rPr>
          <w:rFonts w:ascii="Times New Roman" w:hAnsi="Times New Roman"/>
          <w:color w:val="000000"/>
          <w:sz w:val="24"/>
          <w:szCs w:val="24"/>
        </w:rPr>
        <w:t xml:space="preserve">Since TALIS is a cross-national </w:t>
      </w:r>
      <w:r>
        <w:rPr>
          <w:rFonts w:ascii="Times New Roman" w:hAnsi="Times New Roman"/>
          <w:color w:val="000000"/>
          <w:sz w:val="24"/>
          <w:szCs w:val="24"/>
        </w:rPr>
        <w:t xml:space="preserve">study, </w:t>
      </w:r>
      <w:r w:rsidR="000D68A9">
        <w:rPr>
          <w:rFonts w:ascii="Times New Roman" w:hAnsi="Times New Roman"/>
          <w:color w:val="000000"/>
          <w:sz w:val="24"/>
          <w:szCs w:val="24"/>
        </w:rPr>
        <w:t xml:space="preserve">this data also allows us to place the </w:t>
      </w:r>
      <w:r>
        <w:rPr>
          <w:rFonts w:ascii="Times New Roman" w:hAnsi="Times New Roman"/>
          <w:color w:val="000000"/>
          <w:sz w:val="24"/>
          <w:szCs w:val="24"/>
        </w:rPr>
        <w:t xml:space="preserve">results for England </w:t>
      </w:r>
      <w:r w:rsidR="000D68A9">
        <w:rPr>
          <w:rFonts w:ascii="Times New Roman" w:hAnsi="Times New Roman"/>
          <w:color w:val="000000"/>
          <w:sz w:val="24"/>
          <w:szCs w:val="24"/>
        </w:rPr>
        <w:t>in</w:t>
      </w:r>
      <w:r>
        <w:rPr>
          <w:rFonts w:ascii="Times New Roman" w:hAnsi="Times New Roman"/>
          <w:color w:val="000000"/>
          <w:sz w:val="24"/>
          <w:szCs w:val="24"/>
        </w:rPr>
        <w:t xml:space="preserve"> international perspective.</w:t>
      </w:r>
    </w:p>
    <w:p w14:paraId="488BDE05" w14:textId="27DEE364" w:rsidR="002F08EC" w:rsidRDefault="002F08EC" w:rsidP="002F08EC">
      <w:pPr>
        <w:jc w:val="both"/>
        <w:rPr>
          <w:rFonts w:ascii="Times New Roman" w:hAnsi="Times New Roman"/>
          <w:color w:val="000000"/>
          <w:sz w:val="24"/>
          <w:szCs w:val="24"/>
          <w:u w:val="single"/>
        </w:rPr>
      </w:pPr>
      <w:r>
        <w:rPr>
          <w:rFonts w:ascii="Times New Roman" w:hAnsi="Times New Roman"/>
          <w:color w:val="000000"/>
          <w:sz w:val="24"/>
          <w:szCs w:val="24"/>
          <w:u w:val="single"/>
        </w:rPr>
        <w:t>Findings</w:t>
      </w:r>
      <w:r w:rsidR="00BF5E33">
        <w:rPr>
          <w:rFonts w:ascii="Times New Roman" w:hAnsi="Times New Roman"/>
          <w:color w:val="000000"/>
          <w:sz w:val="24"/>
          <w:szCs w:val="24"/>
          <w:u w:val="single"/>
        </w:rPr>
        <w:t>: comparisons with other occupational groups</w:t>
      </w:r>
    </w:p>
    <w:p w14:paraId="44DE1788" w14:textId="086DD8F7" w:rsidR="00BF5E33" w:rsidRPr="00BF5E33" w:rsidRDefault="00BF5E33" w:rsidP="00BF5E33">
      <w:pPr>
        <w:pStyle w:val="ListParagraph"/>
        <w:numPr>
          <w:ilvl w:val="0"/>
          <w:numId w:val="1"/>
        </w:numPr>
        <w:jc w:val="both"/>
        <w:rPr>
          <w:rFonts w:ascii="Times New Roman" w:hAnsi="Times New Roman"/>
          <w:color w:val="000000"/>
          <w:sz w:val="24"/>
          <w:szCs w:val="24"/>
        </w:rPr>
      </w:pPr>
      <w:r w:rsidRPr="009C0D9D">
        <w:rPr>
          <w:rFonts w:ascii="Times New Roman" w:hAnsi="Times New Roman" w:cs="Times New Roman"/>
          <w:sz w:val="24"/>
          <w:szCs w:val="24"/>
        </w:rPr>
        <w:t>Against conventional wisdom, there is little robust evidence to suggest that, on the whole, teachers are particularly anxious, depressed, have lower</w:t>
      </w:r>
      <w:r w:rsidR="00985352">
        <w:rPr>
          <w:rFonts w:ascii="Times New Roman" w:hAnsi="Times New Roman" w:cs="Times New Roman"/>
          <w:sz w:val="24"/>
          <w:szCs w:val="24"/>
        </w:rPr>
        <w:t xml:space="preserve"> </w:t>
      </w:r>
      <w:r w:rsidRPr="009C0D9D">
        <w:rPr>
          <w:rFonts w:ascii="Times New Roman" w:hAnsi="Times New Roman" w:cs="Times New Roman"/>
          <w:sz w:val="24"/>
          <w:szCs w:val="24"/>
        </w:rPr>
        <w:t>levels of life</w:t>
      </w:r>
      <w:r w:rsidR="00985352">
        <w:rPr>
          <w:rFonts w:ascii="Times New Roman" w:hAnsi="Times New Roman" w:cs="Times New Roman"/>
          <w:sz w:val="24"/>
          <w:szCs w:val="24"/>
        </w:rPr>
        <w:t xml:space="preserve"> </w:t>
      </w:r>
      <w:r w:rsidRPr="009C0D9D">
        <w:rPr>
          <w:rFonts w:ascii="Times New Roman" w:hAnsi="Times New Roman" w:cs="Times New Roman"/>
          <w:sz w:val="24"/>
          <w:szCs w:val="24"/>
        </w:rPr>
        <w:t xml:space="preserve">satisfaction or have poorer wellbeing outcomes than demographically similar individuals in other forms of professional employment. </w:t>
      </w:r>
    </w:p>
    <w:p w14:paraId="0C0FD36A" w14:textId="79AB8A1B" w:rsidR="00BF5E33" w:rsidRPr="009C0D9D" w:rsidRDefault="00BF5E33" w:rsidP="00BF5E33">
      <w:pPr>
        <w:pStyle w:val="ListParagraph"/>
        <w:numPr>
          <w:ilvl w:val="0"/>
          <w:numId w:val="1"/>
        </w:numPr>
        <w:jc w:val="both"/>
        <w:rPr>
          <w:rFonts w:ascii="Times New Roman" w:hAnsi="Times New Roman" w:cs="Times New Roman"/>
          <w:sz w:val="24"/>
          <w:szCs w:val="24"/>
        </w:rPr>
      </w:pPr>
      <w:r w:rsidRPr="009C0D9D">
        <w:rPr>
          <w:rFonts w:ascii="Times New Roman" w:hAnsi="Times New Roman" w:cs="Times New Roman"/>
          <w:sz w:val="24"/>
          <w:szCs w:val="24"/>
        </w:rPr>
        <w:t>Recently qualified teachers have higher</w:t>
      </w:r>
      <w:r>
        <w:rPr>
          <w:rFonts w:ascii="Times New Roman" w:hAnsi="Times New Roman" w:cs="Times New Roman"/>
          <w:sz w:val="24"/>
          <w:szCs w:val="24"/>
        </w:rPr>
        <w:t xml:space="preserve"> </w:t>
      </w:r>
      <w:r w:rsidRPr="009C0D9D">
        <w:rPr>
          <w:rFonts w:ascii="Times New Roman" w:hAnsi="Times New Roman" w:cs="Times New Roman"/>
          <w:sz w:val="24"/>
          <w:szCs w:val="24"/>
        </w:rPr>
        <w:t>levels of life</w:t>
      </w:r>
      <w:r>
        <w:rPr>
          <w:rFonts w:ascii="Times New Roman" w:hAnsi="Times New Roman" w:cs="Times New Roman"/>
          <w:sz w:val="24"/>
          <w:szCs w:val="24"/>
        </w:rPr>
        <w:t xml:space="preserve"> </w:t>
      </w:r>
      <w:r w:rsidRPr="009C0D9D">
        <w:rPr>
          <w:rFonts w:ascii="Times New Roman" w:hAnsi="Times New Roman" w:cs="Times New Roman"/>
          <w:sz w:val="24"/>
          <w:szCs w:val="24"/>
        </w:rPr>
        <w:t>satisfaction than other young professionals, despite working longer hours for little extra pay. There is also no evidence that recently qualified teachers have worse mental health outcomes, or have a less active social life, than young people working in other jobs.</w:t>
      </w:r>
    </w:p>
    <w:p w14:paraId="562E36D7" w14:textId="77777777" w:rsidR="00BF5E33" w:rsidRPr="009C0D9D" w:rsidRDefault="00BF5E33" w:rsidP="00BF5E33">
      <w:pPr>
        <w:pStyle w:val="ListParagraph"/>
        <w:numPr>
          <w:ilvl w:val="0"/>
          <w:numId w:val="1"/>
        </w:numPr>
        <w:jc w:val="both"/>
        <w:rPr>
          <w:rFonts w:ascii="Times New Roman" w:hAnsi="Times New Roman"/>
          <w:color w:val="000000"/>
          <w:sz w:val="24"/>
          <w:szCs w:val="24"/>
        </w:rPr>
      </w:pPr>
      <w:r w:rsidRPr="009C0D9D">
        <w:rPr>
          <w:rFonts w:ascii="Times New Roman" w:hAnsi="Times New Roman"/>
          <w:color w:val="000000"/>
          <w:sz w:val="24"/>
          <w:szCs w:val="24"/>
        </w:rPr>
        <w:t>There is no evidence that middle-aged teachers who choose to</w:t>
      </w:r>
      <w:r>
        <w:rPr>
          <w:rFonts w:ascii="Times New Roman" w:hAnsi="Times New Roman"/>
          <w:color w:val="000000"/>
          <w:sz w:val="24"/>
          <w:szCs w:val="24"/>
        </w:rPr>
        <w:t xml:space="preserve"> leave </w:t>
      </w:r>
      <w:r w:rsidRPr="009C0D9D">
        <w:rPr>
          <w:rFonts w:ascii="Times New Roman" w:hAnsi="Times New Roman"/>
          <w:color w:val="000000"/>
          <w:sz w:val="24"/>
          <w:szCs w:val="24"/>
        </w:rPr>
        <w:t xml:space="preserve">for another job experience better mental health and wellbeing outcomes than their peers who choose to remain within the profession. </w:t>
      </w:r>
    </w:p>
    <w:p w14:paraId="0EDEAA83" w14:textId="5C6BD989" w:rsidR="00BF5E33" w:rsidRPr="00BF5E33" w:rsidRDefault="00BF5E33" w:rsidP="00BF5E33">
      <w:pPr>
        <w:jc w:val="both"/>
        <w:rPr>
          <w:rFonts w:ascii="Times New Roman" w:hAnsi="Times New Roman"/>
          <w:color w:val="000000"/>
          <w:sz w:val="24"/>
          <w:szCs w:val="24"/>
          <w:u w:val="single"/>
        </w:rPr>
      </w:pPr>
      <w:r w:rsidRPr="00BF5E33">
        <w:rPr>
          <w:rFonts w:ascii="Times New Roman" w:hAnsi="Times New Roman"/>
          <w:color w:val="000000"/>
          <w:sz w:val="24"/>
          <w:szCs w:val="24"/>
          <w:u w:val="single"/>
        </w:rPr>
        <w:t xml:space="preserve">Findings: </w:t>
      </w:r>
      <w:r>
        <w:rPr>
          <w:rFonts w:ascii="Times New Roman" w:hAnsi="Times New Roman"/>
          <w:color w:val="000000"/>
          <w:sz w:val="24"/>
          <w:szCs w:val="24"/>
          <w:u w:val="single"/>
        </w:rPr>
        <w:t>teachers in England compared to other countries</w:t>
      </w:r>
    </w:p>
    <w:p w14:paraId="0E9C7919" w14:textId="7CBF3B05" w:rsidR="00BF5E33" w:rsidRPr="0022373F" w:rsidRDefault="0052504A" w:rsidP="00BF5E33">
      <w:pPr>
        <w:pStyle w:val="ListParagraph"/>
        <w:numPr>
          <w:ilvl w:val="0"/>
          <w:numId w:val="1"/>
        </w:numPr>
        <w:jc w:val="both"/>
        <w:rPr>
          <w:rFonts w:ascii="Times New Roman" w:hAnsi="Times New Roman"/>
          <w:color w:val="000000"/>
          <w:sz w:val="24"/>
          <w:szCs w:val="24"/>
        </w:rPr>
      </w:pPr>
      <w:r w:rsidRPr="009C0D9D">
        <w:rPr>
          <w:rFonts w:ascii="Times New Roman" w:hAnsi="Times New Roman" w:cs="Times New Roman"/>
          <w:bCs/>
          <w:sz w:val="24"/>
          <w:szCs w:val="24"/>
        </w:rPr>
        <w:t xml:space="preserve">Teachers in England are more likely to say that they experience stress at work, and that their job has a negative impact upon their mental health, </w:t>
      </w:r>
      <w:r w:rsidR="000D68A9">
        <w:rPr>
          <w:rFonts w:ascii="Times New Roman" w:hAnsi="Times New Roman" w:cs="Times New Roman"/>
          <w:bCs/>
          <w:sz w:val="24"/>
          <w:szCs w:val="24"/>
        </w:rPr>
        <w:t>relative to</w:t>
      </w:r>
      <w:r w:rsidR="000D68A9" w:rsidRPr="009C0D9D">
        <w:rPr>
          <w:rFonts w:ascii="Times New Roman" w:hAnsi="Times New Roman" w:cs="Times New Roman"/>
          <w:bCs/>
          <w:sz w:val="24"/>
          <w:szCs w:val="24"/>
        </w:rPr>
        <w:t xml:space="preserve"> </w:t>
      </w:r>
      <w:r w:rsidRPr="009C0D9D">
        <w:rPr>
          <w:rFonts w:ascii="Times New Roman" w:hAnsi="Times New Roman" w:cs="Times New Roman"/>
          <w:bCs/>
          <w:sz w:val="24"/>
          <w:szCs w:val="24"/>
        </w:rPr>
        <w:t xml:space="preserve">teachers in other countries. There are four key </w:t>
      </w:r>
      <w:r w:rsidR="00C274F8">
        <w:rPr>
          <w:rFonts w:ascii="Times New Roman" w:hAnsi="Times New Roman" w:cs="Times New Roman"/>
          <w:bCs/>
          <w:sz w:val="24"/>
          <w:szCs w:val="24"/>
        </w:rPr>
        <w:t>areas</w:t>
      </w:r>
      <w:r w:rsidRPr="009C0D9D">
        <w:rPr>
          <w:rFonts w:ascii="Times New Roman" w:hAnsi="Times New Roman" w:cs="Times New Roman"/>
          <w:bCs/>
          <w:sz w:val="24"/>
          <w:szCs w:val="24"/>
        </w:rPr>
        <w:t xml:space="preserve"> </w:t>
      </w:r>
      <w:r w:rsidR="00C274F8">
        <w:rPr>
          <w:rFonts w:ascii="Times New Roman" w:hAnsi="Times New Roman" w:cs="Times New Roman"/>
          <w:bCs/>
          <w:sz w:val="24"/>
          <w:szCs w:val="24"/>
        </w:rPr>
        <w:t>that teachers in England perceive to be driving their workplace stress (and more so than other countries)</w:t>
      </w:r>
      <w:r w:rsidR="00DC5140" w:rsidRPr="009C0D9D">
        <w:rPr>
          <w:rFonts w:ascii="Times New Roman" w:hAnsi="Times New Roman" w:cs="Times New Roman"/>
          <w:bCs/>
          <w:sz w:val="24"/>
          <w:szCs w:val="24"/>
        </w:rPr>
        <w:t>: (a) the accountability system</w:t>
      </w:r>
      <w:r w:rsidR="00840A85">
        <w:rPr>
          <w:rFonts w:ascii="Times New Roman" w:hAnsi="Times New Roman" w:cs="Times New Roman"/>
          <w:bCs/>
          <w:sz w:val="24"/>
          <w:szCs w:val="24"/>
        </w:rPr>
        <w:t>,</w:t>
      </w:r>
      <w:r w:rsidR="00840A85" w:rsidRPr="009C0D9D">
        <w:rPr>
          <w:rFonts w:ascii="Times New Roman" w:hAnsi="Times New Roman" w:cs="Times New Roman"/>
          <w:bCs/>
          <w:sz w:val="24"/>
          <w:szCs w:val="24"/>
        </w:rPr>
        <w:t xml:space="preserve"> </w:t>
      </w:r>
      <w:r w:rsidR="00DC5140" w:rsidRPr="009C0D9D">
        <w:rPr>
          <w:rFonts w:ascii="Times New Roman" w:hAnsi="Times New Roman" w:cs="Times New Roman"/>
          <w:bCs/>
          <w:sz w:val="24"/>
          <w:szCs w:val="24"/>
        </w:rPr>
        <w:t>(b) marking</w:t>
      </w:r>
      <w:r w:rsidR="00840A85">
        <w:rPr>
          <w:rFonts w:ascii="Times New Roman" w:hAnsi="Times New Roman" w:cs="Times New Roman"/>
          <w:bCs/>
          <w:sz w:val="24"/>
          <w:szCs w:val="24"/>
        </w:rPr>
        <w:t>,</w:t>
      </w:r>
      <w:r w:rsidR="00840A85" w:rsidRPr="009C0D9D">
        <w:rPr>
          <w:rFonts w:ascii="Times New Roman" w:hAnsi="Times New Roman" w:cs="Times New Roman"/>
          <w:bCs/>
          <w:sz w:val="24"/>
          <w:szCs w:val="24"/>
        </w:rPr>
        <w:t xml:space="preserve"> </w:t>
      </w:r>
      <w:r w:rsidR="00DC5140" w:rsidRPr="009C0D9D">
        <w:rPr>
          <w:rFonts w:ascii="Times New Roman" w:hAnsi="Times New Roman" w:cs="Times New Roman"/>
          <w:bCs/>
          <w:sz w:val="24"/>
          <w:szCs w:val="24"/>
        </w:rPr>
        <w:t>(c) keeping up with changing government requirements</w:t>
      </w:r>
      <w:r w:rsidR="00840A85">
        <w:rPr>
          <w:rFonts w:ascii="Times New Roman" w:hAnsi="Times New Roman" w:cs="Times New Roman"/>
          <w:bCs/>
          <w:sz w:val="24"/>
          <w:szCs w:val="24"/>
        </w:rPr>
        <w:t>,</w:t>
      </w:r>
      <w:r w:rsidR="00DC5140" w:rsidRPr="009C0D9D">
        <w:rPr>
          <w:rFonts w:ascii="Times New Roman" w:hAnsi="Times New Roman" w:cs="Times New Roman"/>
          <w:bCs/>
          <w:sz w:val="24"/>
          <w:szCs w:val="24"/>
        </w:rPr>
        <w:t xml:space="preserve"> and (d) administrative load.</w:t>
      </w:r>
    </w:p>
    <w:p w14:paraId="2AD85C1D" w14:textId="56DE3001" w:rsidR="00BF5E33" w:rsidRPr="00BF5E33" w:rsidRDefault="00BF5E33" w:rsidP="00BF5E33">
      <w:pPr>
        <w:jc w:val="both"/>
        <w:rPr>
          <w:rFonts w:ascii="Times New Roman" w:hAnsi="Times New Roman"/>
          <w:color w:val="000000"/>
          <w:sz w:val="24"/>
          <w:szCs w:val="24"/>
          <w:u w:val="single"/>
        </w:rPr>
      </w:pPr>
      <w:r w:rsidRPr="00BF5E33">
        <w:rPr>
          <w:rFonts w:ascii="Times New Roman" w:hAnsi="Times New Roman"/>
          <w:color w:val="000000"/>
          <w:sz w:val="24"/>
          <w:szCs w:val="24"/>
          <w:u w:val="single"/>
        </w:rPr>
        <w:t xml:space="preserve">Findings: </w:t>
      </w:r>
      <w:r>
        <w:rPr>
          <w:rFonts w:ascii="Times New Roman" w:hAnsi="Times New Roman"/>
          <w:color w:val="000000"/>
          <w:sz w:val="24"/>
          <w:szCs w:val="24"/>
          <w:u w:val="single"/>
        </w:rPr>
        <w:t>trends over time</w:t>
      </w:r>
    </w:p>
    <w:p w14:paraId="3CB30EC5" w14:textId="53E23E00" w:rsidR="0052504A" w:rsidRPr="009C0D9D" w:rsidRDefault="00DC5140" w:rsidP="00697230">
      <w:pPr>
        <w:pStyle w:val="ListParagraph"/>
        <w:numPr>
          <w:ilvl w:val="0"/>
          <w:numId w:val="1"/>
        </w:numPr>
        <w:tabs>
          <w:tab w:val="left" w:pos="6807"/>
        </w:tabs>
        <w:jc w:val="both"/>
        <w:rPr>
          <w:rFonts w:ascii="Times New Roman" w:hAnsi="Times New Roman" w:cs="Times New Roman"/>
          <w:sz w:val="24"/>
          <w:szCs w:val="24"/>
        </w:rPr>
      </w:pPr>
      <w:r w:rsidRPr="009C0D9D">
        <w:rPr>
          <w:rFonts w:ascii="Times New Roman" w:hAnsi="Times New Roman" w:cs="Times New Roman"/>
          <w:sz w:val="24"/>
          <w:szCs w:val="24"/>
        </w:rPr>
        <w:t>T</w:t>
      </w:r>
      <w:r w:rsidR="0052504A" w:rsidRPr="009C0D9D">
        <w:rPr>
          <w:rFonts w:ascii="Times New Roman" w:hAnsi="Times New Roman" w:cs="Times New Roman"/>
          <w:sz w:val="24"/>
          <w:szCs w:val="24"/>
        </w:rPr>
        <w:t xml:space="preserve">he mental health and personal wellbeing of teachers in England </w:t>
      </w:r>
      <w:r w:rsidRPr="009C0D9D">
        <w:rPr>
          <w:rFonts w:ascii="Times New Roman" w:hAnsi="Times New Roman" w:cs="Times New Roman"/>
          <w:sz w:val="24"/>
          <w:szCs w:val="24"/>
        </w:rPr>
        <w:t>seems to have</w:t>
      </w:r>
      <w:r w:rsidR="0052504A" w:rsidRPr="009C0D9D">
        <w:rPr>
          <w:rFonts w:ascii="Times New Roman" w:hAnsi="Times New Roman" w:cs="Times New Roman"/>
          <w:sz w:val="24"/>
          <w:szCs w:val="24"/>
        </w:rPr>
        <w:t xml:space="preserve"> remained broadly stable over the last 20 years</w:t>
      </w:r>
      <w:r w:rsidRPr="009C0D9D">
        <w:rPr>
          <w:rFonts w:ascii="Times New Roman" w:hAnsi="Times New Roman" w:cs="Times New Roman"/>
          <w:sz w:val="24"/>
          <w:szCs w:val="24"/>
        </w:rPr>
        <w:t>. However</w:t>
      </w:r>
      <w:r w:rsidR="009D7E1E">
        <w:rPr>
          <w:rFonts w:ascii="Times New Roman" w:hAnsi="Times New Roman" w:cs="Times New Roman"/>
          <w:sz w:val="24"/>
          <w:szCs w:val="24"/>
        </w:rPr>
        <w:t>,</w:t>
      </w:r>
      <w:r w:rsidRPr="009C0D9D">
        <w:rPr>
          <w:rFonts w:ascii="Times New Roman" w:hAnsi="Times New Roman" w:cs="Times New Roman"/>
          <w:sz w:val="24"/>
          <w:szCs w:val="24"/>
        </w:rPr>
        <w:t xml:space="preserve"> teachers</w:t>
      </w:r>
      <w:r w:rsidR="00DB0A6B">
        <w:rPr>
          <w:rFonts w:ascii="Times New Roman" w:hAnsi="Times New Roman" w:cs="Times New Roman"/>
          <w:sz w:val="24"/>
          <w:szCs w:val="24"/>
        </w:rPr>
        <w:t xml:space="preserve"> </w:t>
      </w:r>
      <w:r w:rsidR="00DB0A6B" w:rsidRPr="00746679">
        <w:rPr>
          <w:rFonts w:ascii="Times New Roman" w:hAnsi="Times New Roman" w:cs="Times New Roman"/>
          <w:sz w:val="24"/>
          <w:szCs w:val="24"/>
        </w:rPr>
        <w:t>–</w:t>
      </w:r>
      <w:r w:rsidR="00DB0A6B">
        <w:rPr>
          <w:rFonts w:ascii="Times New Roman" w:hAnsi="Times New Roman" w:cs="Times New Roman"/>
          <w:sz w:val="24"/>
          <w:szCs w:val="24"/>
        </w:rPr>
        <w:t xml:space="preserve"> </w:t>
      </w:r>
      <w:r w:rsidRPr="009C0D9D">
        <w:rPr>
          <w:rFonts w:ascii="Times New Roman" w:hAnsi="Times New Roman" w:cs="Times New Roman"/>
          <w:sz w:val="24"/>
          <w:szCs w:val="24"/>
        </w:rPr>
        <w:t xml:space="preserve">like other </w:t>
      </w:r>
      <w:r w:rsidRPr="009C0D9D">
        <w:rPr>
          <w:rFonts w:ascii="Times New Roman" w:hAnsi="Times New Roman" w:cs="Times New Roman"/>
          <w:sz w:val="24"/>
          <w:szCs w:val="24"/>
        </w:rPr>
        <w:lastRenderedPageBreak/>
        <w:t xml:space="preserve">professional workers </w:t>
      </w:r>
      <w:r w:rsidR="00DB0A6B" w:rsidRPr="00746679">
        <w:rPr>
          <w:rFonts w:ascii="Times New Roman" w:hAnsi="Times New Roman" w:cs="Times New Roman"/>
          <w:sz w:val="24"/>
          <w:szCs w:val="24"/>
        </w:rPr>
        <w:t>–</w:t>
      </w:r>
      <w:r w:rsidR="0052504A" w:rsidRPr="009C0D9D">
        <w:rPr>
          <w:rFonts w:ascii="Times New Roman" w:hAnsi="Times New Roman" w:cs="Times New Roman"/>
          <w:sz w:val="24"/>
          <w:szCs w:val="24"/>
        </w:rPr>
        <w:t xml:space="preserve"> may be more likely to report </w:t>
      </w:r>
      <w:r w:rsidRPr="009C0D9D">
        <w:rPr>
          <w:rFonts w:ascii="Times New Roman" w:hAnsi="Times New Roman" w:cs="Times New Roman"/>
          <w:sz w:val="24"/>
          <w:szCs w:val="24"/>
        </w:rPr>
        <w:t>mental health</w:t>
      </w:r>
      <w:r w:rsidR="0052504A" w:rsidRPr="009C0D9D">
        <w:rPr>
          <w:rFonts w:ascii="Times New Roman" w:hAnsi="Times New Roman" w:cs="Times New Roman"/>
          <w:sz w:val="24"/>
          <w:szCs w:val="24"/>
        </w:rPr>
        <w:t xml:space="preserve"> problems now (and to have them treated) than previously.</w:t>
      </w:r>
    </w:p>
    <w:p w14:paraId="14E952DC" w14:textId="0DD1155A" w:rsidR="00BF5E33" w:rsidRPr="00BF5E33" w:rsidRDefault="00FC04C0" w:rsidP="00BF5E33">
      <w:pPr>
        <w:pStyle w:val="ListParagraph"/>
        <w:numPr>
          <w:ilvl w:val="0"/>
          <w:numId w:val="1"/>
        </w:numPr>
        <w:jc w:val="both"/>
        <w:rPr>
          <w:rFonts w:ascii="Times New Roman" w:hAnsi="Times New Roman"/>
          <w:color w:val="000000"/>
          <w:sz w:val="24"/>
          <w:szCs w:val="24"/>
        </w:rPr>
      </w:pPr>
      <w:r w:rsidRPr="009C0D9D">
        <w:rPr>
          <w:rFonts w:ascii="Times New Roman" w:hAnsi="Times New Roman"/>
          <w:sz w:val="24"/>
          <w:szCs w:val="24"/>
        </w:rPr>
        <w:t xml:space="preserve">Although working hours remain high, there has been no notable change in total hours worked by teachers over the last </w:t>
      </w:r>
      <w:r w:rsidR="00C65056">
        <w:rPr>
          <w:rFonts w:ascii="Times New Roman" w:hAnsi="Times New Roman"/>
          <w:sz w:val="24"/>
          <w:szCs w:val="24"/>
        </w:rPr>
        <w:t>20</w:t>
      </w:r>
      <w:r w:rsidR="00C65056" w:rsidRPr="009C0D9D">
        <w:rPr>
          <w:rFonts w:ascii="Times New Roman" w:hAnsi="Times New Roman"/>
          <w:sz w:val="24"/>
          <w:szCs w:val="24"/>
        </w:rPr>
        <w:t xml:space="preserve"> </w:t>
      </w:r>
      <w:r w:rsidRPr="009C0D9D">
        <w:rPr>
          <w:rFonts w:ascii="Times New Roman" w:hAnsi="Times New Roman"/>
          <w:sz w:val="24"/>
          <w:szCs w:val="24"/>
        </w:rPr>
        <w:t xml:space="preserve">years. Likewise, there has been no notable increase in the proportion of teachers working during evenings and weekends over the last </w:t>
      </w:r>
      <w:r w:rsidR="00861E56">
        <w:rPr>
          <w:rFonts w:ascii="Times New Roman" w:hAnsi="Times New Roman"/>
          <w:sz w:val="24"/>
          <w:szCs w:val="24"/>
        </w:rPr>
        <w:t>15</w:t>
      </w:r>
      <w:r w:rsidR="00861E56" w:rsidRPr="009C0D9D">
        <w:rPr>
          <w:rFonts w:ascii="Times New Roman" w:hAnsi="Times New Roman"/>
          <w:sz w:val="24"/>
          <w:szCs w:val="24"/>
        </w:rPr>
        <w:t xml:space="preserve"> </w:t>
      </w:r>
      <w:r w:rsidRPr="009C0D9D">
        <w:rPr>
          <w:rFonts w:ascii="Times New Roman" w:hAnsi="Times New Roman"/>
          <w:sz w:val="24"/>
          <w:szCs w:val="24"/>
        </w:rPr>
        <w:t>years</w:t>
      </w:r>
      <w:r w:rsidR="00BF320C">
        <w:rPr>
          <w:rFonts w:ascii="Times New Roman" w:hAnsi="Times New Roman"/>
          <w:sz w:val="24"/>
          <w:szCs w:val="24"/>
        </w:rPr>
        <w:t>, and</w:t>
      </w:r>
      <w:r w:rsidRPr="009C0D9D">
        <w:rPr>
          <w:rFonts w:ascii="Times New Roman" w:hAnsi="Times New Roman"/>
          <w:sz w:val="24"/>
          <w:szCs w:val="24"/>
        </w:rPr>
        <w:t xml:space="preserve"> no change in time spent </w:t>
      </w:r>
      <w:r w:rsidR="00AD475A" w:rsidRPr="009C0D9D">
        <w:rPr>
          <w:rFonts w:ascii="Times New Roman" w:hAnsi="Times New Roman"/>
          <w:sz w:val="24"/>
          <w:szCs w:val="24"/>
        </w:rPr>
        <w:t>up</w:t>
      </w:r>
      <w:r w:rsidRPr="009C0D9D">
        <w:rPr>
          <w:rFonts w:ascii="Times New Roman" w:hAnsi="Times New Roman"/>
          <w:sz w:val="24"/>
          <w:szCs w:val="24"/>
        </w:rPr>
        <w:t>on specific tasks</w:t>
      </w:r>
      <w:r w:rsidR="00AD475A" w:rsidRPr="009C0D9D">
        <w:rPr>
          <w:rFonts w:ascii="Times New Roman" w:hAnsi="Times New Roman"/>
          <w:sz w:val="24"/>
          <w:szCs w:val="24"/>
        </w:rPr>
        <w:t xml:space="preserve"> (e.g. marking, administration)</w:t>
      </w:r>
      <w:r w:rsidRPr="009C0D9D">
        <w:rPr>
          <w:rFonts w:ascii="Times New Roman" w:hAnsi="Times New Roman"/>
          <w:sz w:val="24"/>
          <w:szCs w:val="24"/>
        </w:rPr>
        <w:t xml:space="preserve"> over the last five years.</w:t>
      </w:r>
    </w:p>
    <w:p w14:paraId="7C217907" w14:textId="292CD884" w:rsidR="00BF5E33" w:rsidRPr="00BF5E33" w:rsidRDefault="00BF5E33" w:rsidP="00BF5E33">
      <w:pPr>
        <w:jc w:val="both"/>
        <w:rPr>
          <w:rFonts w:ascii="Times New Roman" w:hAnsi="Times New Roman"/>
          <w:color w:val="000000"/>
          <w:sz w:val="24"/>
          <w:szCs w:val="24"/>
          <w:u w:val="single"/>
        </w:rPr>
      </w:pPr>
      <w:r w:rsidRPr="00BF5E33">
        <w:rPr>
          <w:rFonts w:ascii="Times New Roman" w:hAnsi="Times New Roman"/>
          <w:color w:val="000000"/>
          <w:sz w:val="24"/>
          <w:szCs w:val="24"/>
          <w:u w:val="single"/>
        </w:rPr>
        <w:t xml:space="preserve">Findings: </w:t>
      </w:r>
      <w:r>
        <w:rPr>
          <w:rFonts w:ascii="Times New Roman" w:hAnsi="Times New Roman"/>
          <w:color w:val="000000"/>
          <w:sz w:val="24"/>
          <w:szCs w:val="24"/>
          <w:u w:val="single"/>
        </w:rPr>
        <w:t>potential drivers of mental ill</w:t>
      </w:r>
      <w:r w:rsidR="002C1828">
        <w:rPr>
          <w:rFonts w:ascii="Times New Roman" w:hAnsi="Times New Roman"/>
          <w:color w:val="000000"/>
          <w:sz w:val="24"/>
          <w:szCs w:val="24"/>
          <w:u w:val="single"/>
        </w:rPr>
        <w:t xml:space="preserve"> </w:t>
      </w:r>
      <w:r>
        <w:rPr>
          <w:rFonts w:ascii="Times New Roman" w:hAnsi="Times New Roman"/>
          <w:color w:val="000000"/>
          <w:sz w:val="24"/>
          <w:szCs w:val="24"/>
          <w:u w:val="single"/>
        </w:rPr>
        <w:t>health amongst teachers</w:t>
      </w:r>
    </w:p>
    <w:p w14:paraId="337CA91E" w14:textId="633ACDB4" w:rsidR="009C0D9D" w:rsidRPr="009C0D9D" w:rsidRDefault="009C0D9D" w:rsidP="00697230">
      <w:pPr>
        <w:pStyle w:val="ListParagraph"/>
        <w:numPr>
          <w:ilvl w:val="0"/>
          <w:numId w:val="1"/>
        </w:numPr>
        <w:jc w:val="both"/>
        <w:rPr>
          <w:rFonts w:ascii="Times New Roman" w:hAnsi="Times New Roman"/>
          <w:color w:val="000000"/>
          <w:sz w:val="24"/>
          <w:szCs w:val="24"/>
        </w:rPr>
      </w:pPr>
      <w:r w:rsidRPr="009C0D9D">
        <w:rPr>
          <w:rFonts w:ascii="Times New Roman" w:hAnsi="Times New Roman" w:cs="Times New Roman"/>
          <w:sz w:val="24"/>
          <w:szCs w:val="24"/>
        </w:rPr>
        <w:t>The two aspects of teachers’ jobs that</w:t>
      </w:r>
      <w:r w:rsidR="00BF5E33">
        <w:rPr>
          <w:rFonts w:ascii="Times New Roman" w:hAnsi="Times New Roman" w:cs="Times New Roman"/>
          <w:sz w:val="24"/>
          <w:szCs w:val="24"/>
        </w:rPr>
        <w:t xml:space="preserve"> they perceive to cause them</w:t>
      </w:r>
      <w:r w:rsidRPr="009C0D9D">
        <w:rPr>
          <w:rFonts w:ascii="Times New Roman" w:hAnsi="Times New Roman" w:cs="Times New Roman"/>
          <w:sz w:val="24"/>
          <w:szCs w:val="24"/>
        </w:rPr>
        <w:t xml:space="preserve"> the greatest workload stress are lesson planning and marking. This is in contrast to other aspects of the job, such as time spent teaching and working with colleagues/professional development, which </w:t>
      </w:r>
      <w:r w:rsidR="00BF5E33">
        <w:rPr>
          <w:rFonts w:ascii="Times New Roman" w:hAnsi="Times New Roman" w:cs="Times New Roman"/>
          <w:sz w:val="24"/>
          <w:szCs w:val="24"/>
        </w:rPr>
        <w:t>teachers do not perceive</w:t>
      </w:r>
      <w:r w:rsidRPr="009C0D9D">
        <w:rPr>
          <w:rFonts w:ascii="Times New Roman" w:hAnsi="Times New Roman" w:cs="Times New Roman"/>
          <w:sz w:val="24"/>
          <w:szCs w:val="24"/>
        </w:rPr>
        <w:t xml:space="preserve"> to </w:t>
      </w:r>
      <w:r w:rsidR="0022373F">
        <w:rPr>
          <w:rFonts w:ascii="Times New Roman" w:hAnsi="Times New Roman" w:cs="Times New Roman"/>
          <w:sz w:val="24"/>
          <w:szCs w:val="24"/>
        </w:rPr>
        <w:t>be negatively linked to stress in their workplace</w:t>
      </w:r>
      <w:r w:rsidRPr="009C0D9D">
        <w:rPr>
          <w:rFonts w:ascii="Times New Roman" w:hAnsi="Times New Roman" w:cs="Times New Roman"/>
          <w:sz w:val="24"/>
          <w:szCs w:val="24"/>
        </w:rPr>
        <w:t>.</w:t>
      </w:r>
    </w:p>
    <w:p w14:paraId="500F8505" w14:textId="61F26554" w:rsidR="009C0D9D" w:rsidRPr="009C0D9D" w:rsidRDefault="009C0D9D" w:rsidP="00697230">
      <w:pPr>
        <w:pStyle w:val="ListParagraph"/>
        <w:numPr>
          <w:ilvl w:val="0"/>
          <w:numId w:val="1"/>
        </w:numPr>
        <w:jc w:val="both"/>
        <w:rPr>
          <w:rFonts w:ascii="Times New Roman" w:hAnsi="Times New Roman"/>
          <w:color w:val="000000"/>
          <w:sz w:val="24"/>
          <w:szCs w:val="24"/>
        </w:rPr>
      </w:pPr>
      <w:r w:rsidRPr="009C0D9D">
        <w:rPr>
          <w:rFonts w:ascii="Times New Roman" w:hAnsi="Times New Roman" w:cs="Times New Roman"/>
          <w:sz w:val="24"/>
          <w:szCs w:val="24"/>
        </w:rPr>
        <w:t xml:space="preserve">There is a modest, positive correlation between </w:t>
      </w:r>
      <w:r w:rsidR="000D68A9">
        <w:rPr>
          <w:rFonts w:ascii="Times New Roman" w:hAnsi="Times New Roman" w:cs="Times New Roman"/>
          <w:sz w:val="24"/>
          <w:szCs w:val="24"/>
        </w:rPr>
        <w:t xml:space="preserve">the nature of </w:t>
      </w:r>
      <w:r w:rsidRPr="000D68A9">
        <w:rPr>
          <w:rFonts w:ascii="Times New Roman" w:hAnsi="Times New Roman" w:cs="Times New Roman"/>
          <w:sz w:val="24"/>
          <w:szCs w:val="24"/>
        </w:rPr>
        <w:t>school-system accountability a</w:t>
      </w:r>
      <w:r w:rsidRPr="009C0D9D">
        <w:rPr>
          <w:rFonts w:ascii="Times New Roman" w:hAnsi="Times New Roman" w:cs="Times New Roman"/>
          <w:sz w:val="24"/>
          <w:szCs w:val="24"/>
        </w:rPr>
        <w:t xml:space="preserve">nd </w:t>
      </w:r>
      <w:r w:rsidR="00BF5E33">
        <w:rPr>
          <w:rFonts w:ascii="Times New Roman" w:hAnsi="Times New Roman" w:cs="Times New Roman"/>
          <w:sz w:val="24"/>
          <w:szCs w:val="24"/>
        </w:rPr>
        <w:t>whether</w:t>
      </w:r>
      <w:r w:rsidRPr="009C0D9D">
        <w:rPr>
          <w:rFonts w:ascii="Times New Roman" w:hAnsi="Times New Roman" w:cs="Times New Roman"/>
          <w:sz w:val="24"/>
          <w:szCs w:val="24"/>
        </w:rPr>
        <w:t xml:space="preserve"> teachers and </w:t>
      </w:r>
      <w:proofErr w:type="spellStart"/>
      <w:r w:rsidRPr="009C0D9D">
        <w:rPr>
          <w:rFonts w:ascii="Times New Roman" w:hAnsi="Times New Roman" w:cs="Times New Roman"/>
          <w:sz w:val="24"/>
          <w:szCs w:val="24"/>
        </w:rPr>
        <w:t>headteachers</w:t>
      </w:r>
      <w:proofErr w:type="spellEnd"/>
      <w:r w:rsidR="00BF5E33">
        <w:rPr>
          <w:rFonts w:ascii="Times New Roman" w:hAnsi="Times New Roman" w:cs="Times New Roman"/>
          <w:sz w:val="24"/>
          <w:szCs w:val="24"/>
        </w:rPr>
        <w:t xml:space="preserve"> perceive this to be a stressful</w:t>
      </w:r>
      <w:r w:rsidRPr="009C0D9D">
        <w:rPr>
          <w:rFonts w:ascii="Times New Roman" w:hAnsi="Times New Roman" w:cs="Times New Roman"/>
          <w:sz w:val="24"/>
          <w:szCs w:val="24"/>
        </w:rPr>
        <w:t xml:space="preserve"> aspect of their job. </w:t>
      </w:r>
      <w:r w:rsidR="000D68A9">
        <w:rPr>
          <w:rFonts w:ascii="Times New Roman" w:hAnsi="Times New Roman" w:cs="Times New Roman"/>
          <w:sz w:val="24"/>
          <w:szCs w:val="24"/>
        </w:rPr>
        <w:t>Despite this,</w:t>
      </w:r>
      <w:r w:rsidRPr="009C0D9D">
        <w:rPr>
          <w:rFonts w:ascii="Times New Roman" w:hAnsi="Times New Roman" w:cs="Times New Roman"/>
          <w:sz w:val="24"/>
          <w:szCs w:val="24"/>
        </w:rPr>
        <w:t xml:space="preserve"> there </w:t>
      </w:r>
      <w:r w:rsidR="00C274F8">
        <w:rPr>
          <w:rFonts w:ascii="Times New Roman" w:hAnsi="Times New Roman" w:cs="Times New Roman"/>
          <w:sz w:val="24"/>
          <w:szCs w:val="24"/>
        </w:rPr>
        <w:t>are some other countries with</w:t>
      </w:r>
      <w:r w:rsidRPr="009C0D9D">
        <w:rPr>
          <w:rFonts w:ascii="Times New Roman" w:hAnsi="Times New Roman" w:cs="Times New Roman"/>
          <w:sz w:val="24"/>
          <w:szCs w:val="24"/>
        </w:rPr>
        <w:t xml:space="preserve"> </w:t>
      </w:r>
      <w:r w:rsidR="00C274F8">
        <w:rPr>
          <w:rFonts w:ascii="Times New Roman" w:hAnsi="Times New Roman" w:cs="Times New Roman"/>
          <w:sz w:val="24"/>
          <w:szCs w:val="24"/>
        </w:rPr>
        <w:t xml:space="preserve">a </w:t>
      </w:r>
      <w:r w:rsidRPr="009C0D9D">
        <w:rPr>
          <w:rFonts w:ascii="Times New Roman" w:hAnsi="Times New Roman" w:cs="Times New Roman"/>
          <w:sz w:val="24"/>
          <w:szCs w:val="24"/>
        </w:rPr>
        <w:t>high</w:t>
      </w:r>
      <w:r w:rsidR="00C274F8">
        <w:rPr>
          <w:rFonts w:ascii="Times New Roman" w:hAnsi="Times New Roman" w:cs="Times New Roman"/>
          <w:sz w:val="24"/>
          <w:szCs w:val="24"/>
        </w:rPr>
        <w:t xml:space="preserve">-stakes school </w:t>
      </w:r>
      <w:r w:rsidRPr="009C0D9D">
        <w:rPr>
          <w:rFonts w:ascii="Times New Roman" w:hAnsi="Times New Roman" w:cs="Times New Roman"/>
          <w:sz w:val="24"/>
          <w:szCs w:val="24"/>
        </w:rPr>
        <w:t xml:space="preserve">accountability </w:t>
      </w:r>
      <w:r w:rsidR="00C274F8">
        <w:rPr>
          <w:rFonts w:ascii="Times New Roman" w:hAnsi="Times New Roman" w:cs="Times New Roman"/>
          <w:sz w:val="24"/>
          <w:szCs w:val="24"/>
        </w:rPr>
        <w:t>system</w:t>
      </w:r>
      <w:r w:rsidRPr="009C0D9D">
        <w:rPr>
          <w:rFonts w:ascii="Times New Roman" w:hAnsi="Times New Roman" w:cs="Times New Roman"/>
          <w:sz w:val="24"/>
          <w:szCs w:val="24"/>
        </w:rPr>
        <w:t xml:space="preserve"> where only a comparatively small proportion of </w:t>
      </w:r>
      <w:r w:rsidR="00BF5E33">
        <w:rPr>
          <w:rFonts w:ascii="Times New Roman" w:hAnsi="Times New Roman" w:cs="Times New Roman"/>
          <w:sz w:val="24"/>
          <w:szCs w:val="24"/>
        </w:rPr>
        <w:t>teachers</w:t>
      </w:r>
      <w:r w:rsidRPr="009C0D9D">
        <w:rPr>
          <w:rFonts w:ascii="Times New Roman" w:hAnsi="Times New Roman" w:cs="Times New Roman"/>
          <w:sz w:val="24"/>
          <w:szCs w:val="24"/>
        </w:rPr>
        <w:t xml:space="preserve"> report feeling stressed</w:t>
      </w:r>
      <w:r w:rsidR="00BF5E33">
        <w:rPr>
          <w:rFonts w:ascii="Times New Roman" w:hAnsi="Times New Roman" w:cs="Times New Roman"/>
          <w:sz w:val="24"/>
          <w:szCs w:val="24"/>
        </w:rPr>
        <w:t xml:space="preserve"> due to being held accountable for pupil achievement</w:t>
      </w:r>
      <w:r w:rsidRPr="009C0D9D">
        <w:rPr>
          <w:rFonts w:ascii="Times New Roman" w:hAnsi="Times New Roman" w:cs="Times New Roman"/>
          <w:sz w:val="24"/>
          <w:szCs w:val="24"/>
        </w:rPr>
        <w:t xml:space="preserve">. </w:t>
      </w:r>
    </w:p>
    <w:p w14:paraId="685368C0" w14:textId="74F4C4AD" w:rsidR="009C0D9D" w:rsidRPr="009C0D9D" w:rsidRDefault="009C0D9D" w:rsidP="00697230">
      <w:pPr>
        <w:pStyle w:val="ListParagraph"/>
        <w:numPr>
          <w:ilvl w:val="0"/>
          <w:numId w:val="1"/>
        </w:numPr>
        <w:jc w:val="both"/>
        <w:rPr>
          <w:rFonts w:ascii="Times New Roman" w:hAnsi="Times New Roman"/>
          <w:color w:val="000000"/>
          <w:sz w:val="24"/>
          <w:szCs w:val="24"/>
        </w:rPr>
      </w:pPr>
      <w:r w:rsidRPr="009C0D9D">
        <w:rPr>
          <w:rFonts w:ascii="Times New Roman" w:hAnsi="Times New Roman" w:cs="Times New Roman"/>
          <w:sz w:val="24"/>
          <w:szCs w:val="24"/>
        </w:rPr>
        <w:t xml:space="preserve">There is little evidence that management </w:t>
      </w:r>
      <w:r w:rsidR="002C736E" w:rsidRPr="009C0D9D">
        <w:rPr>
          <w:rFonts w:ascii="Times New Roman" w:hAnsi="Times New Roman" w:cs="Times New Roman"/>
          <w:sz w:val="24"/>
          <w:szCs w:val="24"/>
        </w:rPr>
        <w:t>practi</w:t>
      </w:r>
      <w:r w:rsidR="002C736E">
        <w:rPr>
          <w:rFonts w:ascii="Times New Roman" w:hAnsi="Times New Roman" w:cs="Times New Roman"/>
          <w:sz w:val="24"/>
          <w:szCs w:val="24"/>
        </w:rPr>
        <w:t>c</w:t>
      </w:r>
      <w:r w:rsidR="002C736E" w:rsidRPr="009C0D9D">
        <w:rPr>
          <w:rFonts w:ascii="Times New Roman" w:hAnsi="Times New Roman" w:cs="Times New Roman"/>
          <w:sz w:val="24"/>
          <w:szCs w:val="24"/>
        </w:rPr>
        <w:t xml:space="preserve">es </w:t>
      </w:r>
      <w:r w:rsidRPr="009C0D9D">
        <w:rPr>
          <w:rFonts w:ascii="Times New Roman" w:hAnsi="Times New Roman" w:cs="Times New Roman"/>
          <w:sz w:val="24"/>
          <w:szCs w:val="24"/>
        </w:rPr>
        <w:t xml:space="preserve">differ when </w:t>
      </w:r>
      <w:proofErr w:type="spellStart"/>
      <w:r w:rsidRPr="009C0D9D">
        <w:rPr>
          <w:rFonts w:ascii="Times New Roman" w:hAnsi="Times New Roman" w:cs="Times New Roman"/>
          <w:sz w:val="24"/>
          <w:szCs w:val="24"/>
        </w:rPr>
        <w:t>headteachers</w:t>
      </w:r>
      <w:proofErr w:type="spellEnd"/>
      <w:r w:rsidRPr="009C0D9D">
        <w:rPr>
          <w:rFonts w:ascii="Times New Roman" w:hAnsi="Times New Roman" w:cs="Times New Roman"/>
          <w:sz w:val="24"/>
          <w:szCs w:val="24"/>
        </w:rPr>
        <w:t xml:space="preserve"> report feeling stressed about accountability, or that they transmit these feelings of stress on to their staff. However, strong evidence emerges </w:t>
      </w:r>
      <w:r w:rsidRPr="000D68A9">
        <w:rPr>
          <w:rFonts w:ascii="Times New Roman" w:hAnsi="Times New Roman" w:cs="Times New Roman"/>
          <w:sz w:val="24"/>
          <w:szCs w:val="24"/>
        </w:rPr>
        <w:t xml:space="preserve">of </w:t>
      </w:r>
      <w:r w:rsidR="00272C51">
        <w:rPr>
          <w:rFonts w:ascii="Times New Roman" w:hAnsi="Times New Roman" w:cs="Times New Roman"/>
          <w:sz w:val="24"/>
          <w:szCs w:val="24"/>
        </w:rPr>
        <w:t>‘</w:t>
      </w:r>
      <w:r w:rsidRPr="000D68A9">
        <w:rPr>
          <w:rFonts w:ascii="Times New Roman" w:hAnsi="Times New Roman" w:cs="Times New Roman"/>
          <w:sz w:val="24"/>
          <w:szCs w:val="24"/>
        </w:rPr>
        <w:t>emotional contagion</w:t>
      </w:r>
      <w:r w:rsidR="00272C51">
        <w:rPr>
          <w:rFonts w:ascii="Times New Roman" w:hAnsi="Times New Roman" w:cs="Times New Roman"/>
          <w:sz w:val="24"/>
          <w:szCs w:val="24"/>
        </w:rPr>
        <w:t>’</w:t>
      </w:r>
      <w:r w:rsidRPr="009C0D9D">
        <w:rPr>
          <w:rFonts w:ascii="Times New Roman" w:hAnsi="Times New Roman" w:cs="Times New Roman"/>
          <w:sz w:val="24"/>
          <w:szCs w:val="24"/>
        </w:rPr>
        <w:t xml:space="preserve"> of accountability-driven stress amongst colleagues occurring within schools, with teachers more likely to feel stressed by accountability if their colleagues</w:t>
      </w:r>
      <w:r w:rsidR="00C274F8">
        <w:rPr>
          <w:rFonts w:ascii="Times New Roman" w:hAnsi="Times New Roman" w:cs="Times New Roman"/>
          <w:sz w:val="24"/>
          <w:szCs w:val="24"/>
        </w:rPr>
        <w:t xml:space="preserve"> report this causes them stress</w:t>
      </w:r>
      <w:r w:rsidRPr="009C0D9D">
        <w:rPr>
          <w:rFonts w:ascii="Times New Roman" w:hAnsi="Times New Roman" w:cs="Times New Roman"/>
          <w:sz w:val="24"/>
          <w:szCs w:val="24"/>
        </w:rPr>
        <w:t xml:space="preserve"> as well.</w:t>
      </w:r>
    </w:p>
    <w:p w14:paraId="502194D2" w14:textId="6D2A1C8D" w:rsidR="009C0D9D" w:rsidRPr="00D967FC" w:rsidRDefault="009C0D9D" w:rsidP="00697230">
      <w:pPr>
        <w:pStyle w:val="ListParagraph"/>
        <w:numPr>
          <w:ilvl w:val="0"/>
          <w:numId w:val="1"/>
        </w:numPr>
        <w:jc w:val="both"/>
        <w:rPr>
          <w:rFonts w:ascii="Times New Roman" w:hAnsi="Times New Roman"/>
          <w:color w:val="000000"/>
          <w:sz w:val="24"/>
          <w:szCs w:val="24"/>
        </w:rPr>
      </w:pPr>
      <w:r w:rsidRPr="009C0D9D">
        <w:rPr>
          <w:rFonts w:ascii="Times New Roman" w:hAnsi="Times New Roman" w:cs="Times New Roman"/>
          <w:sz w:val="24"/>
          <w:szCs w:val="24"/>
        </w:rPr>
        <w:t xml:space="preserve">Supportive school leadership is linked with teacher retention, which is likely to be due to improved job satisfaction and reduced workplace stress. School discipline is found to be equally important. Conversely, preparation for teaching assignments </w:t>
      </w:r>
      <w:r w:rsidR="00E41E5F">
        <w:rPr>
          <w:rFonts w:ascii="Times New Roman" w:hAnsi="Times New Roman" w:cs="Times New Roman"/>
          <w:sz w:val="24"/>
          <w:szCs w:val="24"/>
        </w:rPr>
        <w:t>is</w:t>
      </w:r>
      <w:r w:rsidR="00E41E5F" w:rsidRPr="009C0D9D">
        <w:rPr>
          <w:rFonts w:ascii="Times New Roman" w:hAnsi="Times New Roman" w:cs="Times New Roman"/>
          <w:sz w:val="24"/>
          <w:szCs w:val="24"/>
        </w:rPr>
        <w:t xml:space="preserve"> </w:t>
      </w:r>
      <w:r w:rsidRPr="009C0D9D">
        <w:rPr>
          <w:rFonts w:ascii="Times New Roman" w:hAnsi="Times New Roman" w:cs="Times New Roman"/>
          <w:sz w:val="24"/>
          <w:szCs w:val="24"/>
        </w:rPr>
        <w:t>not associated with job satisfaction, workplace stress or retention, while findings with respect to teacher</w:t>
      </w:r>
      <w:r w:rsidR="00B23806">
        <w:rPr>
          <w:rFonts w:ascii="Times New Roman" w:hAnsi="Times New Roman" w:cs="Times New Roman"/>
          <w:sz w:val="24"/>
          <w:szCs w:val="24"/>
        </w:rPr>
        <w:t xml:space="preserve"> collaboration and teacher</w:t>
      </w:r>
      <w:r w:rsidRPr="009C0D9D">
        <w:rPr>
          <w:rFonts w:ascii="Times New Roman" w:hAnsi="Times New Roman" w:cs="Times New Roman"/>
          <w:sz w:val="24"/>
          <w:szCs w:val="24"/>
        </w:rPr>
        <w:t xml:space="preserve"> workload are mixed. </w:t>
      </w:r>
    </w:p>
    <w:p w14:paraId="55393857" w14:textId="77777777" w:rsidR="002F08EC" w:rsidRDefault="002F08EC" w:rsidP="002F08EC">
      <w:pPr>
        <w:jc w:val="both"/>
        <w:rPr>
          <w:rFonts w:ascii="Times New Roman" w:hAnsi="Times New Roman"/>
          <w:color w:val="000000"/>
          <w:sz w:val="24"/>
          <w:szCs w:val="24"/>
          <w:u w:val="single"/>
        </w:rPr>
      </w:pPr>
      <w:r>
        <w:rPr>
          <w:rFonts w:ascii="Times New Roman" w:hAnsi="Times New Roman"/>
          <w:color w:val="000000"/>
          <w:sz w:val="24"/>
          <w:szCs w:val="24"/>
          <w:u w:val="single"/>
        </w:rPr>
        <w:t>Recommendations</w:t>
      </w:r>
    </w:p>
    <w:p w14:paraId="0F334663" w14:textId="0396493C" w:rsidR="002F08EC" w:rsidRDefault="009C0D9D" w:rsidP="002F08EC">
      <w:pPr>
        <w:spacing w:after="0"/>
        <w:rPr>
          <w:rFonts w:ascii="Times New Roman" w:hAnsi="Times New Roman"/>
          <w:color w:val="000000"/>
          <w:sz w:val="24"/>
          <w:szCs w:val="24"/>
        </w:rPr>
      </w:pPr>
      <w:r>
        <w:rPr>
          <w:rFonts w:ascii="Times New Roman" w:hAnsi="Times New Roman"/>
          <w:color w:val="000000"/>
          <w:sz w:val="24"/>
          <w:szCs w:val="24"/>
        </w:rPr>
        <w:t>These fin</w:t>
      </w:r>
      <w:r w:rsidR="00A91458">
        <w:rPr>
          <w:rFonts w:ascii="Times New Roman" w:hAnsi="Times New Roman"/>
          <w:color w:val="000000"/>
          <w:sz w:val="24"/>
          <w:szCs w:val="24"/>
        </w:rPr>
        <w:t>d</w:t>
      </w:r>
      <w:r>
        <w:rPr>
          <w:rFonts w:ascii="Times New Roman" w:hAnsi="Times New Roman"/>
          <w:color w:val="000000"/>
          <w:sz w:val="24"/>
          <w:szCs w:val="24"/>
        </w:rPr>
        <w:t>ings lea</w:t>
      </w:r>
      <w:r w:rsidR="0019654E">
        <w:rPr>
          <w:rFonts w:ascii="Times New Roman" w:hAnsi="Times New Roman"/>
          <w:color w:val="000000"/>
          <w:sz w:val="24"/>
          <w:szCs w:val="24"/>
        </w:rPr>
        <w:t xml:space="preserve">d us to issue a series of </w:t>
      </w:r>
      <w:r w:rsidR="00A41A2D">
        <w:rPr>
          <w:rFonts w:ascii="Times New Roman" w:hAnsi="Times New Roman"/>
          <w:color w:val="000000"/>
          <w:sz w:val="24"/>
          <w:szCs w:val="24"/>
        </w:rPr>
        <w:t xml:space="preserve">recommendations for policy and </w:t>
      </w:r>
      <w:r w:rsidR="0032270C">
        <w:rPr>
          <w:rFonts w:ascii="Times New Roman" w:hAnsi="Times New Roman"/>
          <w:color w:val="000000"/>
          <w:sz w:val="24"/>
          <w:szCs w:val="24"/>
        </w:rPr>
        <w:t>practice</w:t>
      </w:r>
      <w:r w:rsidR="00A41A2D">
        <w:rPr>
          <w:rFonts w:ascii="Times New Roman" w:hAnsi="Times New Roman"/>
          <w:color w:val="000000"/>
          <w:sz w:val="24"/>
          <w:szCs w:val="24"/>
        </w:rPr>
        <w:t>:</w:t>
      </w:r>
    </w:p>
    <w:p w14:paraId="4C349EFC" w14:textId="19C3FCA5" w:rsidR="00A41A2D" w:rsidRDefault="00A41A2D" w:rsidP="002F08EC">
      <w:pPr>
        <w:spacing w:after="0"/>
        <w:rPr>
          <w:rFonts w:ascii="Times New Roman" w:hAnsi="Times New Roman"/>
          <w:color w:val="000000"/>
          <w:sz w:val="24"/>
          <w:szCs w:val="24"/>
        </w:rPr>
      </w:pPr>
    </w:p>
    <w:p w14:paraId="4434B234" w14:textId="77777777" w:rsidR="00C274F8" w:rsidRPr="00C623A4" w:rsidRDefault="00C274F8" w:rsidP="00C274F8">
      <w:pPr>
        <w:pStyle w:val="ListParagraph"/>
        <w:numPr>
          <w:ilvl w:val="0"/>
          <w:numId w:val="1"/>
        </w:numPr>
        <w:spacing w:after="0"/>
        <w:jc w:val="both"/>
        <w:rPr>
          <w:rFonts w:ascii="Times New Roman" w:hAnsi="Times New Roman" w:cs="Times New Roman"/>
          <w:b/>
          <w:sz w:val="24"/>
          <w:szCs w:val="24"/>
        </w:rPr>
      </w:pPr>
      <w:r>
        <w:rPr>
          <w:rFonts w:ascii="Times New Roman" w:hAnsi="Times New Roman" w:cs="Times New Roman"/>
          <w:bCs/>
          <w:sz w:val="24"/>
          <w:szCs w:val="24"/>
        </w:rPr>
        <w:t>Policymakers, school leaders, teachers and their unions should challenge the received wisdom that teaching is more stressful than other occupations. This is important so as not to dissuade people from entering the teaching profession.</w:t>
      </w:r>
    </w:p>
    <w:p w14:paraId="34A557CC" w14:textId="77777777" w:rsidR="00C274F8" w:rsidRPr="000D1258" w:rsidRDefault="00C274F8" w:rsidP="00C274F8">
      <w:pPr>
        <w:pStyle w:val="ListParagraph"/>
        <w:numPr>
          <w:ilvl w:val="0"/>
          <w:numId w:val="1"/>
        </w:numPr>
        <w:spacing w:after="0"/>
        <w:jc w:val="both"/>
        <w:rPr>
          <w:rFonts w:ascii="Times New Roman" w:hAnsi="Times New Roman" w:cs="Times New Roman"/>
          <w:b/>
          <w:sz w:val="24"/>
          <w:szCs w:val="24"/>
        </w:rPr>
      </w:pPr>
      <w:r w:rsidRPr="000D1258">
        <w:rPr>
          <w:rFonts w:ascii="Times New Roman" w:hAnsi="Times New Roman" w:cs="Times New Roman"/>
          <w:sz w:val="24"/>
          <w:szCs w:val="24"/>
        </w:rPr>
        <w:t xml:space="preserve">There are two clear areas where reducing teachers’ workloads would </w:t>
      </w:r>
      <w:r>
        <w:rPr>
          <w:rFonts w:ascii="Times New Roman" w:hAnsi="Times New Roman" w:cs="Times New Roman"/>
          <w:sz w:val="24"/>
          <w:szCs w:val="24"/>
        </w:rPr>
        <w:t>likely</w:t>
      </w:r>
      <w:r w:rsidRPr="000D1258">
        <w:rPr>
          <w:rFonts w:ascii="Times New Roman" w:hAnsi="Times New Roman" w:cs="Times New Roman"/>
          <w:sz w:val="24"/>
          <w:szCs w:val="24"/>
        </w:rPr>
        <w:t xml:space="preserve"> reduce stress: lesson preparation and marking. With respect to the </w:t>
      </w:r>
      <w:r>
        <w:rPr>
          <w:rFonts w:ascii="Times New Roman" w:hAnsi="Times New Roman" w:cs="Times New Roman"/>
          <w:sz w:val="24"/>
          <w:szCs w:val="24"/>
        </w:rPr>
        <w:t>lesson preparation</w:t>
      </w:r>
      <w:r w:rsidRPr="000D1258">
        <w:rPr>
          <w:rFonts w:ascii="Times New Roman" w:hAnsi="Times New Roman" w:cs="Times New Roman"/>
          <w:sz w:val="24"/>
          <w:szCs w:val="24"/>
        </w:rPr>
        <w:t>, perhaps the easiest thing that policymakers can do is reduce examination, curriculum and inspection reforms.</w:t>
      </w:r>
      <w:r>
        <w:rPr>
          <w:rFonts w:ascii="Times New Roman" w:hAnsi="Times New Roman" w:cs="Times New Roman"/>
          <w:sz w:val="24"/>
          <w:szCs w:val="24"/>
        </w:rPr>
        <w:t xml:space="preserve"> On marking, there is a strong case to be made for teachers to spend less time on this activity, either by focusing upon a smaller subset of pupils’ work or by using whole-class oral feedback rather than individualised written marking. </w:t>
      </w:r>
    </w:p>
    <w:p w14:paraId="4625FDF5" w14:textId="37842796" w:rsidR="00C274F8" w:rsidRPr="003431FB" w:rsidRDefault="00C274F8" w:rsidP="00C274F8">
      <w:pPr>
        <w:pStyle w:val="ListParagraph"/>
        <w:numPr>
          <w:ilvl w:val="0"/>
          <w:numId w:val="1"/>
        </w:numPr>
        <w:spacing w:after="0"/>
        <w:jc w:val="both"/>
        <w:rPr>
          <w:rFonts w:ascii="Times New Roman" w:hAnsi="Times New Roman"/>
          <w:color w:val="000000"/>
          <w:sz w:val="24"/>
          <w:szCs w:val="24"/>
        </w:rPr>
      </w:pPr>
      <w:r w:rsidRPr="003431FB">
        <w:rPr>
          <w:rFonts w:ascii="Times New Roman" w:hAnsi="Times New Roman" w:cs="Times New Roman"/>
          <w:sz w:val="24"/>
          <w:szCs w:val="24"/>
        </w:rPr>
        <w:t>School leaders can reduce stress and improve retention by consulting and involving teachers in decision</w:t>
      </w:r>
      <w:r w:rsidR="00415E26">
        <w:rPr>
          <w:rFonts w:ascii="Times New Roman" w:hAnsi="Times New Roman" w:cs="Times New Roman"/>
          <w:sz w:val="24"/>
          <w:szCs w:val="24"/>
        </w:rPr>
        <w:t>-</w:t>
      </w:r>
      <w:r w:rsidRPr="003431FB">
        <w:rPr>
          <w:rFonts w:ascii="Times New Roman" w:hAnsi="Times New Roman" w:cs="Times New Roman"/>
          <w:sz w:val="24"/>
          <w:szCs w:val="24"/>
        </w:rPr>
        <w:t xml:space="preserve">making processes, supporting their professional development and explicitly recognising staff for their work. In addition, school leaders looking to improve job satisfaction and retention are advised to prioritise improving disciplinary </w:t>
      </w:r>
      <w:r w:rsidRPr="003431FB">
        <w:rPr>
          <w:rFonts w:ascii="Times New Roman" w:hAnsi="Times New Roman" w:cs="Times New Roman"/>
          <w:sz w:val="24"/>
          <w:szCs w:val="24"/>
        </w:rPr>
        <w:lastRenderedPageBreak/>
        <w:t xml:space="preserve">standards in the school. This can be achieved by ensuring that all staff are aware of whole-school standards for behaviour and are supported in consistently enforcing them. </w:t>
      </w:r>
    </w:p>
    <w:p w14:paraId="3A1CC5CA" w14:textId="33EE1C6D" w:rsidR="00C274F8" w:rsidRPr="00264CEB" w:rsidRDefault="00C274F8" w:rsidP="00C274F8">
      <w:pPr>
        <w:pStyle w:val="ListParagraph"/>
        <w:numPr>
          <w:ilvl w:val="0"/>
          <w:numId w:val="1"/>
        </w:numPr>
        <w:spacing w:after="0"/>
        <w:jc w:val="both"/>
        <w:rPr>
          <w:rFonts w:ascii="Times New Roman" w:hAnsi="Times New Roman"/>
          <w:color w:val="000000"/>
          <w:sz w:val="24"/>
          <w:szCs w:val="24"/>
        </w:rPr>
      </w:pPr>
      <w:r>
        <w:rPr>
          <w:rFonts w:ascii="Times New Roman" w:hAnsi="Times New Roman" w:cs="Times New Roman"/>
          <w:sz w:val="24"/>
          <w:szCs w:val="24"/>
        </w:rPr>
        <w:t>There are various ways that t</w:t>
      </w:r>
      <w:r w:rsidRPr="00D967FC">
        <w:rPr>
          <w:rFonts w:ascii="Times New Roman" w:hAnsi="Times New Roman" w:cs="Times New Roman"/>
          <w:sz w:val="24"/>
          <w:szCs w:val="24"/>
        </w:rPr>
        <w:t>he Department for Education</w:t>
      </w:r>
      <w:r>
        <w:rPr>
          <w:rFonts w:ascii="Times New Roman" w:hAnsi="Times New Roman" w:cs="Times New Roman"/>
          <w:sz w:val="24"/>
          <w:szCs w:val="24"/>
        </w:rPr>
        <w:t xml:space="preserve"> could monitor the mental health of teachers in the future. One option could be to</w:t>
      </w:r>
      <w:r w:rsidRPr="00D967FC">
        <w:rPr>
          <w:rFonts w:ascii="Times New Roman" w:hAnsi="Times New Roman" w:cs="Times New Roman"/>
          <w:sz w:val="24"/>
          <w:szCs w:val="24"/>
        </w:rPr>
        <w:t xml:space="preserve"> work with NHS Digital on combining administrative databases across education and health. This would, for instance, facilitate the </w:t>
      </w:r>
      <w:r>
        <w:rPr>
          <w:rFonts w:ascii="Times New Roman" w:hAnsi="Times New Roman" w:cs="Times New Roman"/>
          <w:sz w:val="24"/>
          <w:szCs w:val="24"/>
        </w:rPr>
        <w:t>School</w:t>
      </w:r>
      <w:r w:rsidRPr="00D967FC">
        <w:rPr>
          <w:rFonts w:ascii="Times New Roman" w:hAnsi="Times New Roman" w:cs="Times New Roman"/>
          <w:sz w:val="24"/>
          <w:szCs w:val="24"/>
        </w:rPr>
        <w:t xml:space="preserve"> Workforce Census to be linked to primary and secondary h</w:t>
      </w:r>
      <w:r w:rsidR="008B4E20">
        <w:rPr>
          <w:rFonts w:ascii="Times New Roman" w:hAnsi="Times New Roman" w:cs="Times New Roman"/>
          <w:sz w:val="24"/>
          <w:szCs w:val="24"/>
        </w:rPr>
        <w:t>ealth</w:t>
      </w:r>
      <w:r w:rsidRPr="00D967FC">
        <w:rPr>
          <w:rFonts w:ascii="Times New Roman" w:hAnsi="Times New Roman" w:cs="Times New Roman"/>
          <w:sz w:val="24"/>
          <w:szCs w:val="24"/>
        </w:rPr>
        <w:t>care records (e.g. Health Episode Statistics</w:t>
      </w:r>
      <w:r>
        <w:rPr>
          <w:rFonts w:ascii="Times New Roman" w:hAnsi="Times New Roman" w:cs="Times New Roman"/>
          <w:sz w:val="24"/>
          <w:szCs w:val="24"/>
        </w:rPr>
        <w:t xml:space="preserve">, Clinical </w:t>
      </w:r>
      <w:r w:rsidR="00326D5A">
        <w:rPr>
          <w:rFonts w:ascii="Times New Roman" w:hAnsi="Times New Roman" w:cs="Times New Roman"/>
          <w:sz w:val="24"/>
          <w:szCs w:val="24"/>
        </w:rPr>
        <w:t xml:space="preserve">Practice </w:t>
      </w:r>
      <w:r>
        <w:rPr>
          <w:rFonts w:ascii="Times New Roman" w:hAnsi="Times New Roman" w:cs="Times New Roman"/>
          <w:sz w:val="24"/>
          <w:szCs w:val="24"/>
        </w:rPr>
        <w:t>Research Datalink</w:t>
      </w:r>
      <w:r w:rsidRPr="00D967FC">
        <w:rPr>
          <w:rFonts w:ascii="Times New Roman" w:hAnsi="Times New Roman" w:cs="Times New Roman"/>
          <w:sz w:val="24"/>
          <w:szCs w:val="24"/>
        </w:rPr>
        <w:t>). Such a resource would provide a step</w:t>
      </w:r>
      <w:r>
        <w:rPr>
          <w:rFonts w:ascii="Times New Roman" w:hAnsi="Times New Roman" w:cs="Times New Roman"/>
          <w:sz w:val="24"/>
          <w:szCs w:val="24"/>
        </w:rPr>
        <w:t xml:space="preserve"> </w:t>
      </w:r>
      <w:r w:rsidRPr="00D967FC">
        <w:rPr>
          <w:rFonts w:ascii="Times New Roman" w:hAnsi="Times New Roman" w:cs="Times New Roman"/>
          <w:sz w:val="24"/>
          <w:szCs w:val="24"/>
        </w:rPr>
        <w:t xml:space="preserve">change in our understanding of the epidemiology of the mental and physical health of teachers in England, and provide a cost-effective way to track changes in the health of teachers over time. </w:t>
      </w:r>
    </w:p>
    <w:p w14:paraId="7CDC9E03" w14:textId="3F0BD1BD" w:rsidR="00C274F8" w:rsidRPr="00EA4D30" w:rsidRDefault="00C274F8" w:rsidP="000F2E40">
      <w:pPr>
        <w:pStyle w:val="ListParagraph"/>
        <w:numPr>
          <w:ilvl w:val="0"/>
          <w:numId w:val="1"/>
        </w:numPr>
        <w:spacing w:after="0"/>
        <w:jc w:val="both"/>
        <w:rPr>
          <w:rFonts w:ascii="Times New Roman" w:hAnsi="Times New Roman"/>
          <w:color w:val="000000"/>
          <w:sz w:val="24"/>
          <w:szCs w:val="24"/>
        </w:rPr>
      </w:pPr>
      <w:r>
        <w:rPr>
          <w:rFonts w:ascii="Times New Roman" w:hAnsi="Times New Roman"/>
          <w:color w:val="000000"/>
          <w:sz w:val="24"/>
          <w:szCs w:val="24"/>
        </w:rPr>
        <w:t>The Department for Education has recently announced they are commissioning a longitudinal study of teachers in England</w:t>
      </w:r>
      <w:r w:rsidR="000F2E40">
        <w:rPr>
          <w:rFonts w:ascii="Times New Roman" w:hAnsi="Times New Roman"/>
          <w:color w:val="000000"/>
          <w:sz w:val="24"/>
          <w:szCs w:val="24"/>
        </w:rPr>
        <w:t xml:space="preserve"> (</w:t>
      </w:r>
      <w:hyperlink r:id="rId13" w:history="1">
        <w:r w:rsidR="000F2E40" w:rsidRPr="00232CAE">
          <w:rPr>
            <w:rStyle w:val="Hyperlink"/>
            <w:rFonts w:ascii="Times New Roman" w:hAnsi="Times New Roman"/>
            <w:sz w:val="24"/>
            <w:szCs w:val="24"/>
          </w:rPr>
          <w:t>https://schoolsweek.co.uk/new-flagship-study-to-solve-why-teachers-leave/</w:t>
        </w:r>
      </w:hyperlink>
      <w:r w:rsidR="000F2E40">
        <w:rPr>
          <w:rFonts w:ascii="Times New Roman" w:hAnsi="Times New Roman"/>
          <w:color w:val="000000"/>
          <w:sz w:val="24"/>
          <w:szCs w:val="24"/>
        </w:rPr>
        <w:t>)</w:t>
      </w:r>
      <w:r>
        <w:rPr>
          <w:rFonts w:ascii="Times New Roman" w:hAnsi="Times New Roman"/>
          <w:color w:val="000000"/>
          <w:sz w:val="24"/>
          <w:szCs w:val="24"/>
        </w:rPr>
        <w:t xml:space="preserve">. This welcome innovation in the landscape on data about teachers in England should include a focused battery of questions about mental health. In particular, this longitudinal study should be used to track teacher wellbeing over time, how it changes throughout their career and how this affects their movements into and out of the teaching profession. </w:t>
      </w:r>
    </w:p>
    <w:p w14:paraId="36A6CBCE" w14:textId="42A1CC50" w:rsidR="00C274F8" w:rsidRPr="00D967FC" w:rsidRDefault="00C274F8" w:rsidP="00C274F8">
      <w:pPr>
        <w:pStyle w:val="ListParagraph"/>
        <w:numPr>
          <w:ilvl w:val="0"/>
          <w:numId w:val="1"/>
        </w:numPr>
        <w:spacing w:after="0"/>
        <w:jc w:val="both"/>
        <w:rPr>
          <w:rFonts w:ascii="Times New Roman" w:hAnsi="Times New Roman"/>
          <w:color w:val="000000"/>
          <w:sz w:val="24"/>
          <w:szCs w:val="24"/>
        </w:rPr>
      </w:pPr>
      <w:r>
        <w:rPr>
          <w:rFonts w:ascii="Times New Roman" w:hAnsi="Times New Roman"/>
          <w:color w:val="000000"/>
          <w:sz w:val="24"/>
          <w:szCs w:val="24"/>
        </w:rPr>
        <w:t xml:space="preserve">We don’t yet know a lot about the impact of the </w:t>
      </w:r>
      <w:r w:rsidR="00807CDE">
        <w:rPr>
          <w:rFonts w:ascii="Times New Roman" w:hAnsi="Times New Roman"/>
          <w:color w:val="000000"/>
          <w:sz w:val="24"/>
          <w:szCs w:val="24"/>
        </w:rPr>
        <w:t>Covid</w:t>
      </w:r>
      <w:r>
        <w:rPr>
          <w:rFonts w:ascii="Times New Roman" w:hAnsi="Times New Roman"/>
          <w:color w:val="000000"/>
          <w:sz w:val="24"/>
          <w:szCs w:val="24"/>
        </w:rPr>
        <w:t>-19 crises on the teaching profession, both in terms of their health and the longer-term implications for recruitment and retention in the pr</w:t>
      </w:r>
      <w:r w:rsidR="000F2E40">
        <w:rPr>
          <w:rFonts w:ascii="Times New Roman" w:hAnsi="Times New Roman"/>
          <w:color w:val="000000"/>
          <w:sz w:val="24"/>
          <w:szCs w:val="24"/>
        </w:rPr>
        <w:t>ofession. This should be included as one of the key topics of focus in the</w:t>
      </w:r>
      <w:r>
        <w:rPr>
          <w:rFonts w:ascii="Times New Roman" w:hAnsi="Times New Roman"/>
          <w:color w:val="000000"/>
          <w:sz w:val="24"/>
          <w:szCs w:val="24"/>
        </w:rPr>
        <w:t xml:space="preserve"> Department for Education</w:t>
      </w:r>
      <w:r w:rsidR="000F2E40">
        <w:rPr>
          <w:rFonts w:ascii="Times New Roman" w:hAnsi="Times New Roman"/>
          <w:color w:val="000000"/>
          <w:sz w:val="24"/>
          <w:szCs w:val="24"/>
        </w:rPr>
        <w:t>’s new</w:t>
      </w:r>
      <w:r>
        <w:rPr>
          <w:rFonts w:ascii="Times New Roman" w:hAnsi="Times New Roman"/>
          <w:color w:val="000000"/>
          <w:sz w:val="24"/>
          <w:szCs w:val="24"/>
        </w:rPr>
        <w:t xml:space="preserve"> </w:t>
      </w:r>
      <w:r w:rsidR="000F2E40">
        <w:rPr>
          <w:rFonts w:ascii="Times New Roman" w:hAnsi="Times New Roman"/>
          <w:color w:val="000000"/>
          <w:sz w:val="24"/>
          <w:szCs w:val="24"/>
        </w:rPr>
        <w:t>longitudinal study of teachers</w:t>
      </w:r>
      <w:r>
        <w:rPr>
          <w:rFonts w:ascii="Times New Roman" w:hAnsi="Times New Roman"/>
          <w:color w:val="000000"/>
          <w:sz w:val="24"/>
          <w:szCs w:val="24"/>
        </w:rPr>
        <w:t>.</w:t>
      </w:r>
    </w:p>
    <w:p w14:paraId="56E0C8D2" w14:textId="77777777" w:rsidR="00780CFA" w:rsidRDefault="00780CFA" w:rsidP="002F08EC">
      <w:pPr>
        <w:spacing w:after="0"/>
        <w:rPr>
          <w:rFonts w:ascii="Times New Roman" w:hAnsi="Times New Roman" w:cs="Times New Roman"/>
          <w:b/>
          <w:sz w:val="24"/>
          <w:szCs w:val="24"/>
        </w:rPr>
      </w:pPr>
    </w:p>
    <w:p w14:paraId="611A326E" w14:textId="77777777" w:rsidR="002F08EC" w:rsidRDefault="002F08EC" w:rsidP="002F08EC">
      <w:pPr>
        <w:spacing w:after="0"/>
        <w:rPr>
          <w:rFonts w:ascii="Times New Roman" w:hAnsi="Times New Roman" w:cs="Times New Roman"/>
          <w:b/>
          <w:sz w:val="24"/>
          <w:szCs w:val="24"/>
        </w:rPr>
      </w:pPr>
      <w:r>
        <w:rPr>
          <w:rFonts w:ascii="Times New Roman" w:hAnsi="Times New Roman" w:cs="Times New Roman"/>
          <w:b/>
          <w:sz w:val="24"/>
          <w:szCs w:val="24"/>
        </w:rPr>
        <w:t>Academic papers</w:t>
      </w:r>
    </w:p>
    <w:p w14:paraId="450D88A4" w14:textId="4FDFE070" w:rsidR="002F08EC" w:rsidRDefault="002F08EC" w:rsidP="002F08EC">
      <w:pPr>
        <w:spacing w:after="0"/>
        <w:jc w:val="both"/>
        <w:rPr>
          <w:rFonts w:ascii="Times New Roman" w:hAnsi="Times New Roman" w:cs="Times New Roman"/>
          <w:sz w:val="24"/>
          <w:szCs w:val="24"/>
        </w:rPr>
      </w:pPr>
      <w:r>
        <w:rPr>
          <w:rFonts w:ascii="Times New Roman" w:hAnsi="Times New Roman" w:cs="Times New Roman"/>
          <w:sz w:val="24"/>
          <w:szCs w:val="24"/>
        </w:rPr>
        <w:t>A se</w:t>
      </w:r>
      <w:r w:rsidR="00E26551">
        <w:rPr>
          <w:rFonts w:ascii="Times New Roman" w:hAnsi="Times New Roman" w:cs="Times New Roman"/>
          <w:sz w:val="24"/>
          <w:szCs w:val="24"/>
        </w:rPr>
        <w:t>t</w:t>
      </w:r>
      <w:r>
        <w:rPr>
          <w:rFonts w:ascii="Times New Roman" w:hAnsi="Times New Roman" w:cs="Times New Roman"/>
          <w:sz w:val="24"/>
          <w:szCs w:val="24"/>
        </w:rPr>
        <w:t xml:space="preserve"> of</w:t>
      </w:r>
      <w:r w:rsidR="00E26551">
        <w:rPr>
          <w:rFonts w:ascii="Times New Roman" w:hAnsi="Times New Roman" w:cs="Times New Roman"/>
          <w:sz w:val="24"/>
          <w:szCs w:val="24"/>
        </w:rPr>
        <w:t xml:space="preserve"> ten</w:t>
      </w:r>
      <w:r>
        <w:rPr>
          <w:rFonts w:ascii="Times New Roman" w:hAnsi="Times New Roman" w:cs="Times New Roman"/>
          <w:sz w:val="24"/>
          <w:szCs w:val="24"/>
        </w:rPr>
        <w:t xml:space="preserve"> academic papers have been produced within this project, which provide further detail to the results provided in this report. The references to these journal papers are as follows:</w:t>
      </w:r>
    </w:p>
    <w:p w14:paraId="17928C62" w14:textId="77777777" w:rsidR="0085263A" w:rsidRDefault="0085263A" w:rsidP="00E26551">
      <w:pPr>
        <w:pStyle w:val="Title"/>
        <w:rPr>
          <w:rFonts w:cs="Times New Roman"/>
          <w:b w:val="0"/>
          <w:sz w:val="24"/>
          <w:szCs w:val="24"/>
          <w:lang w:eastAsia="en-GB"/>
        </w:rPr>
      </w:pPr>
    </w:p>
    <w:p w14:paraId="42A34C1A" w14:textId="336D933A" w:rsidR="0085263A" w:rsidRDefault="0085263A" w:rsidP="003E23E1">
      <w:pPr>
        <w:spacing w:after="0"/>
        <w:jc w:val="both"/>
        <w:rPr>
          <w:rFonts w:ascii="Times New Roman" w:hAnsi="Times New Roman" w:cs="Times New Roman"/>
          <w:sz w:val="24"/>
          <w:szCs w:val="24"/>
        </w:rPr>
      </w:pPr>
      <w:r w:rsidRPr="00B2045C">
        <w:rPr>
          <w:rFonts w:ascii="Times New Roman" w:hAnsi="Times New Roman" w:cs="Times New Roman"/>
          <w:sz w:val="24"/>
          <w:szCs w:val="24"/>
        </w:rPr>
        <w:t xml:space="preserve">Jerrim, J. </w:t>
      </w:r>
      <w:r w:rsidR="00C2047B">
        <w:rPr>
          <w:rFonts w:ascii="Times New Roman" w:hAnsi="Times New Roman" w:cs="Times New Roman"/>
          <w:sz w:val="24"/>
          <w:szCs w:val="24"/>
        </w:rPr>
        <w:t>&amp;</w:t>
      </w:r>
      <w:r w:rsidR="00C2047B" w:rsidRPr="00B2045C">
        <w:rPr>
          <w:rFonts w:ascii="Times New Roman" w:hAnsi="Times New Roman" w:cs="Times New Roman"/>
          <w:sz w:val="24"/>
          <w:szCs w:val="24"/>
        </w:rPr>
        <w:t xml:space="preserve"> </w:t>
      </w:r>
      <w:r w:rsidRPr="00B2045C">
        <w:rPr>
          <w:rFonts w:ascii="Times New Roman" w:hAnsi="Times New Roman" w:cs="Times New Roman"/>
          <w:sz w:val="24"/>
          <w:szCs w:val="24"/>
        </w:rPr>
        <w:t xml:space="preserve">Sims, S. </w:t>
      </w:r>
      <w:r w:rsidR="00B63D81">
        <w:rPr>
          <w:rFonts w:ascii="Times New Roman" w:hAnsi="Times New Roman" w:cs="Times New Roman"/>
          <w:sz w:val="24"/>
          <w:szCs w:val="24"/>
        </w:rPr>
        <w:t>(</w:t>
      </w:r>
      <w:r w:rsidRPr="00B2045C">
        <w:rPr>
          <w:rFonts w:ascii="Times New Roman" w:hAnsi="Times New Roman" w:cs="Times New Roman"/>
          <w:sz w:val="24"/>
          <w:szCs w:val="24"/>
        </w:rPr>
        <w:t>2020</w:t>
      </w:r>
      <w:r>
        <w:rPr>
          <w:rFonts w:ascii="Times New Roman" w:hAnsi="Times New Roman" w:cs="Times New Roman"/>
          <w:sz w:val="24"/>
          <w:szCs w:val="24"/>
        </w:rPr>
        <w:t>a</w:t>
      </w:r>
      <w:r w:rsidR="00B63D81">
        <w:rPr>
          <w:rFonts w:ascii="Times New Roman" w:hAnsi="Times New Roman" w:cs="Times New Roman"/>
          <w:sz w:val="24"/>
          <w:szCs w:val="24"/>
        </w:rPr>
        <w:t>)</w:t>
      </w:r>
      <w:r w:rsidRPr="00B2045C">
        <w:rPr>
          <w:rFonts w:ascii="Times New Roman" w:hAnsi="Times New Roman" w:cs="Times New Roman"/>
          <w:sz w:val="24"/>
          <w:szCs w:val="24"/>
        </w:rPr>
        <w:t xml:space="preserve"> Teacher wellbeing. How does England compare to other countries?</w:t>
      </w:r>
    </w:p>
    <w:p w14:paraId="13FA2804" w14:textId="1587D639" w:rsidR="0085263A" w:rsidRPr="003E23E1" w:rsidRDefault="0085263A" w:rsidP="003E23E1">
      <w:pPr>
        <w:pStyle w:val="Title"/>
        <w:rPr>
          <w:rFonts w:cs="Times New Roman"/>
          <w:b w:val="0"/>
          <w:i/>
          <w:sz w:val="24"/>
          <w:szCs w:val="24"/>
          <w:lang w:eastAsia="en-GB"/>
        </w:rPr>
      </w:pPr>
      <w:r w:rsidRPr="00B2045C">
        <w:rPr>
          <w:rFonts w:cs="Times New Roman"/>
          <w:b w:val="0"/>
          <w:sz w:val="24"/>
          <w:szCs w:val="24"/>
          <w:lang w:eastAsia="en-GB"/>
        </w:rPr>
        <w:t>Jerrim, J.</w:t>
      </w:r>
      <w:r w:rsidR="00126552">
        <w:rPr>
          <w:rFonts w:cs="Times New Roman"/>
          <w:b w:val="0"/>
          <w:sz w:val="24"/>
          <w:szCs w:val="24"/>
          <w:lang w:eastAsia="en-GB"/>
        </w:rPr>
        <w:t>,</w:t>
      </w:r>
      <w:r w:rsidRPr="00B2045C">
        <w:rPr>
          <w:rFonts w:cs="Times New Roman"/>
          <w:b w:val="0"/>
          <w:sz w:val="24"/>
          <w:szCs w:val="24"/>
          <w:lang w:eastAsia="en-GB"/>
        </w:rPr>
        <w:t xml:space="preserve"> Sims, S.</w:t>
      </w:r>
      <w:r w:rsidR="00126552">
        <w:rPr>
          <w:rFonts w:cs="Times New Roman"/>
          <w:b w:val="0"/>
          <w:sz w:val="24"/>
          <w:szCs w:val="24"/>
          <w:lang w:eastAsia="en-GB"/>
        </w:rPr>
        <w:t>,</w:t>
      </w:r>
      <w:r w:rsidRPr="00B2045C">
        <w:rPr>
          <w:rFonts w:cs="Times New Roman"/>
          <w:b w:val="0"/>
          <w:sz w:val="24"/>
          <w:szCs w:val="24"/>
          <w:lang w:eastAsia="en-GB"/>
        </w:rPr>
        <w:t xml:space="preserve"> Taylor, </w:t>
      </w:r>
      <w:r>
        <w:rPr>
          <w:rFonts w:cs="Times New Roman"/>
          <w:b w:val="0"/>
          <w:sz w:val="24"/>
          <w:szCs w:val="24"/>
          <w:lang w:eastAsia="en-GB"/>
        </w:rPr>
        <w:t>H</w:t>
      </w:r>
      <w:r w:rsidRPr="00B2045C">
        <w:rPr>
          <w:rFonts w:cs="Times New Roman"/>
          <w:b w:val="0"/>
          <w:sz w:val="24"/>
          <w:szCs w:val="24"/>
          <w:lang w:eastAsia="en-GB"/>
        </w:rPr>
        <w:t xml:space="preserve">. </w:t>
      </w:r>
      <w:r w:rsidR="00126552">
        <w:rPr>
          <w:rFonts w:cs="Times New Roman"/>
          <w:b w:val="0"/>
          <w:sz w:val="24"/>
          <w:szCs w:val="24"/>
          <w:lang w:eastAsia="en-GB"/>
        </w:rPr>
        <w:t>&amp;</w:t>
      </w:r>
      <w:r w:rsidRPr="00B2045C">
        <w:rPr>
          <w:rFonts w:cs="Times New Roman"/>
          <w:b w:val="0"/>
          <w:sz w:val="24"/>
          <w:szCs w:val="24"/>
          <w:lang w:eastAsia="en-GB"/>
        </w:rPr>
        <w:t xml:space="preserve"> Allen, R. </w:t>
      </w:r>
      <w:r w:rsidR="00126552">
        <w:rPr>
          <w:rFonts w:cs="Times New Roman"/>
          <w:b w:val="0"/>
          <w:sz w:val="24"/>
          <w:szCs w:val="24"/>
          <w:lang w:eastAsia="en-GB"/>
        </w:rPr>
        <w:t>(</w:t>
      </w:r>
      <w:r w:rsidRPr="00B2045C">
        <w:rPr>
          <w:rFonts w:cs="Times New Roman"/>
          <w:b w:val="0"/>
          <w:sz w:val="24"/>
          <w:szCs w:val="24"/>
          <w:lang w:eastAsia="en-GB"/>
        </w:rPr>
        <w:t>2020</w:t>
      </w:r>
      <w:r>
        <w:rPr>
          <w:rFonts w:cs="Times New Roman"/>
          <w:b w:val="0"/>
          <w:sz w:val="24"/>
          <w:szCs w:val="24"/>
          <w:lang w:eastAsia="en-GB"/>
        </w:rPr>
        <w:t>a</w:t>
      </w:r>
      <w:r w:rsidR="00126552">
        <w:rPr>
          <w:rFonts w:cs="Times New Roman"/>
          <w:b w:val="0"/>
          <w:sz w:val="24"/>
          <w:szCs w:val="24"/>
          <w:lang w:eastAsia="en-GB"/>
        </w:rPr>
        <w:t>)</w:t>
      </w:r>
      <w:r w:rsidRPr="00B2045C">
        <w:rPr>
          <w:rFonts w:cs="Times New Roman"/>
          <w:b w:val="0"/>
          <w:sz w:val="24"/>
          <w:szCs w:val="24"/>
          <w:lang w:eastAsia="en-GB"/>
        </w:rPr>
        <w:t xml:space="preserve"> </w:t>
      </w:r>
      <w:proofErr w:type="gramStart"/>
      <w:r w:rsidRPr="00B2045C">
        <w:rPr>
          <w:rFonts w:cs="Times New Roman"/>
          <w:b w:val="0"/>
          <w:sz w:val="24"/>
          <w:szCs w:val="24"/>
          <w:lang w:eastAsia="en-GB"/>
        </w:rPr>
        <w:t>How</w:t>
      </w:r>
      <w:proofErr w:type="gramEnd"/>
      <w:r w:rsidRPr="00B2045C">
        <w:rPr>
          <w:rFonts w:cs="Times New Roman"/>
          <w:b w:val="0"/>
          <w:sz w:val="24"/>
          <w:szCs w:val="24"/>
          <w:lang w:eastAsia="en-GB"/>
        </w:rPr>
        <w:t xml:space="preserve"> does the mental health and wellbeing of teachers compare to other professions? </w:t>
      </w:r>
      <w:r w:rsidRPr="00B2045C">
        <w:rPr>
          <w:rFonts w:cs="Times New Roman"/>
          <w:b w:val="0"/>
          <w:i/>
          <w:sz w:val="24"/>
          <w:szCs w:val="24"/>
          <w:lang w:eastAsia="en-GB"/>
        </w:rPr>
        <w:t>Rev</w:t>
      </w:r>
      <w:r w:rsidR="003E23E1">
        <w:rPr>
          <w:rFonts w:cs="Times New Roman"/>
          <w:b w:val="0"/>
          <w:i/>
          <w:sz w:val="24"/>
          <w:szCs w:val="24"/>
          <w:lang w:eastAsia="en-GB"/>
        </w:rPr>
        <w:t>iew of Education.</w:t>
      </w:r>
    </w:p>
    <w:p w14:paraId="426BBA58" w14:textId="19423B5C" w:rsidR="0085263A" w:rsidRPr="000F2E40" w:rsidRDefault="0085263A" w:rsidP="003E23E1">
      <w:pPr>
        <w:pStyle w:val="Title"/>
        <w:rPr>
          <w:rFonts w:cs="Times New Roman"/>
          <w:i/>
          <w:sz w:val="24"/>
          <w:szCs w:val="24"/>
        </w:rPr>
      </w:pPr>
      <w:r w:rsidRPr="00B2045C">
        <w:rPr>
          <w:rFonts w:cs="Times New Roman"/>
          <w:b w:val="0"/>
          <w:sz w:val="24"/>
          <w:szCs w:val="24"/>
          <w:lang w:eastAsia="en-GB"/>
        </w:rPr>
        <w:t>Jerrim, J.</w:t>
      </w:r>
      <w:r w:rsidR="00F8411C">
        <w:rPr>
          <w:rFonts w:cs="Times New Roman"/>
          <w:b w:val="0"/>
          <w:sz w:val="24"/>
          <w:szCs w:val="24"/>
          <w:lang w:eastAsia="en-GB"/>
        </w:rPr>
        <w:t>,</w:t>
      </w:r>
      <w:r w:rsidRPr="00B2045C">
        <w:rPr>
          <w:rFonts w:cs="Times New Roman"/>
          <w:b w:val="0"/>
          <w:sz w:val="24"/>
          <w:szCs w:val="24"/>
          <w:lang w:eastAsia="en-GB"/>
        </w:rPr>
        <w:t xml:space="preserve"> Sims, S.</w:t>
      </w:r>
      <w:r w:rsidR="00F8411C">
        <w:rPr>
          <w:rFonts w:cs="Times New Roman"/>
          <w:b w:val="0"/>
          <w:sz w:val="24"/>
          <w:szCs w:val="24"/>
          <w:lang w:eastAsia="en-GB"/>
        </w:rPr>
        <w:t>,</w:t>
      </w:r>
      <w:r w:rsidRPr="00B2045C">
        <w:rPr>
          <w:rFonts w:cs="Times New Roman"/>
          <w:b w:val="0"/>
          <w:sz w:val="24"/>
          <w:szCs w:val="24"/>
          <w:lang w:eastAsia="en-GB"/>
        </w:rPr>
        <w:t xml:space="preserve"> Taylor, </w:t>
      </w:r>
      <w:r>
        <w:rPr>
          <w:rFonts w:cs="Times New Roman"/>
          <w:b w:val="0"/>
          <w:sz w:val="24"/>
          <w:szCs w:val="24"/>
          <w:lang w:eastAsia="en-GB"/>
        </w:rPr>
        <w:t>H</w:t>
      </w:r>
      <w:r w:rsidRPr="00B2045C">
        <w:rPr>
          <w:rFonts w:cs="Times New Roman"/>
          <w:b w:val="0"/>
          <w:sz w:val="24"/>
          <w:szCs w:val="24"/>
          <w:lang w:eastAsia="en-GB"/>
        </w:rPr>
        <w:t xml:space="preserve">. </w:t>
      </w:r>
      <w:r w:rsidR="00F8411C">
        <w:rPr>
          <w:rFonts w:cs="Times New Roman"/>
          <w:b w:val="0"/>
          <w:sz w:val="24"/>
          <w:szCs w:val="24"/>
          <w:lang w:eastAsia="en-GB"/>
        </w:rPr>
        <w:t>&amp;</w:t>
      </w:r>
      <w:r w:rsidRPr="00B2045C">
        <w:rPr>
          <w:rFonts w:cs="Times New Roman"/>
          <w:b w:val="0"/>
          <w:sz w:val="24"/>
          <w:szCs w:val="24"/>
          <w:lang w:eastAsia="en-GB"/>
        </w:rPr>
        <w:t xml:space="preserve"> Allen, R. </w:t>
      </w:r>
      <w:r w:rsidR="00F8411C">
        <w:rPr>
          <w:rFonts w:cs="Times New Roman"/>
          <w:b w:val="0"/>
          <w:sz w:val="24"/>
          <w:szCs w:val="24"/>
          <w:lang w:eastAsia="en-GB"/>
        </w:rPr>
        <w:t>(</w:t>
      </w:r>
      <w:r w:rsidRPr="00B2045C">
        <w:rPr>
          <w:rFonts w:cs="Times New Roman"/>
          <w:b w:val="0"/>
          <w:sz w:val="24"/>
          <w:szCs w:val="24"/>
          <w:lang w:eastAsia="en-GB"/>
        </w:rPr>
        <w:t>2020</w:t>
      </w:r>
      <w:r>
        <w:rPr>
          <w:rFonts w:cs="Times New Roman"/>
          <w:b w:val="0"/>
          <w:sz w:val="24"/>
          <w:szCs w:val="24"/>
          <w:lang w:eastAsia="en-GB"/>
        </w:rPr>
        <w:t>b</w:t>
      </w:r>
      <w:r w:rsidR="00F8411C">
        <w:rPr>
          <w:rFonts w:cs="Times New Roman"/>
          <w:b w:val="0"/>
          <w:sz w:val="24"/>
          <w:szCs w:val="24"/>
          <w:lang w:eastAsia="en-GB"/>
        </w:rPr>
        <w:t>)</w:t>
      </w:r>
      <w:r w:rsidRPr="00B2045C">
        <w:rPr>
          <w:rFonts w:cs="Times New Roman"/>
          <w:b w:val="0"/>
          <w:sz w:val="24"/>
          <w:szCs w:val="24"/>
          <w:lang w:eastAsia="en-GB"/>
        </w:rPr>
        <w:t xml:space="preserve"> </w:t>
      </w:r>
      <w:proofErr w:type="gramStart"/>
      <w:r w:rsidRPr="00B2045C">
        <w:rPr>
          <w:rFonts w:cs="Times New Roman"/>
          <w:b w:val="0"/>
          <w:sz w:val="24"/>
          <w:szCs w:val="24"/>
          <w:lang w:eastAsia="en-GB"/>
        </w:rPr>
        <w:t>Has</w:t>
      </w:r>
      <w:proofErr w:type="gramEnd"/>
      <w:r w:rsidRPr="00B2045C">
        <w:rPr>
          <w:rFonts w:cs="Times New Roman"/>
          <w:b w:val="0"/>
          <w:sz w:val="24"/>
          <w:szCs w:val="24"/>
          <w:lang w:eastAsia="en-GB"/>
        </w:rPr>
        <w:t xml:space="preserve"> the mental health and wellbeing of teachers in England changed over time? New evidence from three datasets. </w:t>
      </w:r>
      <w:r w:rsidR="000F2E40">
        <w:rPr>
          <w:rFonts w:cs="Times New Roman"/>
          <w:b w:val="0"/>
          <w:i/>
          <w:sz w:val="24"/>
          <w:szCs w:val="24"/>
          <w:lang w:eastAsia="en-GB"/>
        </w:rPr>
        <w:t xml:space="preserve">Oxford review of Education </w:t>
      </w:r>
      <w:r w:rsidR="000F2E40" w:rsidRPr="000F2E40">
        <w:rPr>
          <w:rFonts w:cs="Times New Roman"/>
          <w:b w:val="0"/>
          <w:i/>
          <w:sz w:val="24"/>
          <w:szCs w:val="24"/>
          <w:lang w:eastAsia="en-GB"/>
        </w:rPr>
        <w:t>(revise and resubmit).</w:t>
      </w:r>
    </w:p>
    <w:p w14:paraId="69B2C4D9" w14:textId="1CEC06A6" w:rsidR="0085263A" w:rsidRPr="0085263A" w:rsidRDefault="0085263A" w:rsidP="003E23E1">
      <w:pPr>
        <w:spacing w:after="0"/>
        <w:jc w:val="both"/>
        <w:rPr>
          <w:rFonts w:ascii="Times New Roman" w:hAnsi="Times New Roman" w:cs="Times New Roman"/>
          <w:i/>
          <w:sz w:val="24"/>
          <w:szCs w:val="24"/>
          <w:lang w:eastAsia="en-GB"/>
        </w:rPr>
      </w:pPr>
      <w:r w:rsidRPr="00B2045C">
        <w:rPr>
          <w:rFonts w:ascii="Times New Roman" w:hAnsi="Times New Roman" w:cs="Times New Roman"/>
          <w:sz w:val="24"/>
          <w:szCs w:val="24"/>
        </w:rPr>
        <w:t xml:space="preserve">Jerrim, J. </w:t>
      </w:r>
      <w:r w:rsidR="00F8411C">
        <w:rPr>
          <w:rFonts w:ascii="Times New Roman" w:hAnsi="Times New Roman" w:cs="Times New Roman"/>
          <w:sz w:val="24"/>
          <w:szCs w:val="24"/>
        </w:rPr>
        <w:t>(</w:t>
      </w:r>
      <w:r w:rsidRPr="00B2045C">
        <w:rPr>
          <w:rFonts w:ascii="Times New Roman" w:hAnsi="Times New Roman" w:cs="Times New Roman"/>
          <w:sz w:val="24"/>
          <w:szCs w:val="24"/>
        </w:rPr>
        <w:t>2020</w:t>
      </w:r>
      <w:r w:rsidR="00F8411C">
        <w:rPr>
          <w:rFonts w:ascii="Times New Roman" w:hAnsi="Times New Roman" w:cs="Times New Roman"/>
          <w:sz w:val="24"/>
          <w:szCs w:val="24"/>
        </w:rPr>
        <w:t>)</w:t>
      </w:r>
      <w:r w:rsidRPr="00B2045C">
        <w:rPr>
          <w:rFonts w:ascii="Times New Roman" w:hAnsi="Times New Roman" w:cs="Times New Roman"/>
          <w:sz w:val="24"/>
          <w:szCs w:val="24"/>
        </w:rPr>
        <w:t xml:space="preserve"> </w:t>
      </w:r>
      <w:proofErr w:type="gramStart"/>
      <w:r w:rsidRPr="00B2045C">
        <w:rPr>
          <w:rFonts w:ascii="Times New Roman" w:hAnsi="Times New Roman" w:cs="Times New Roman"/>
          <w:sz w:val="24"/>
          <w:szCs w:val="24"/>
          <w:lang w:eastAsia="en-GB"/>
        </w:rPr>
        <w:t>How</w:t>
      </w:r>
      <w:proofErr w:type="gramEnd"/>
      <w:r w:rsidRPr="00B2045C">
        <w:rPr>
          <w:rFonts w:ascii="Times New Roman" w:hAnsi="Times New Roman" w:cs="Times New Roman"/>
          <w:sz w:val="24"/>
          <w:szCs w:val="24"/>
          <w:lang w:eastAsia="en-GB"/>
        </w:rPr>
        <w:t xml:space="preserve"> is life as a newly qualified teacher? New evidence from a longitudinal cohort study in England. </w:t>
      </w:r>
      <w:r w:rsidRPr="00B2045C">
        <w:rPr>
          <w:rFonts w:ascii="Times New Roman" w:hAnsi="Times New Roman" w:cs="Times New Roman"/>
          <w:i/>
          <w:sz w:val="24"/>
          <w:szCs w:val="24"/>
          <w:lang w:eastAsia="en-GB"/>
        </w:rPr>
        <w:t>British Journal of Educational Studies</w:t>
      </w:r>
    </w:p>
    <w:p w14:paraId="2BADB91D" w14:textId="66E5C647" w:rsidR="0085263A" w:rsidRPr="000F2E40" w:rsidRDefault="0085263A" w:rsidP="003E23E1">
      <w:pPr>
        <w:spacing w:after="0"/>
        <w:jc w:val="both"/>
        <w:rPr>
          <w:rFonts w:ascii="Times New Roman" w:hAnsi="Times New Roman" w:cs="Times New Roman"/>
          <w:i/>
          <w:sz w:val="24"/>
          <w:szCs w:val="24"/>
        </w:rPr>
      </w:pPr>
      <w:r w:rsidRPr="00B2045C">
        <w:rPr>
          <w:rFonts w:ascii="Times New Roman" w:hAnsi="Times New Roman" w:cs="Times New Roman"/>
          <w:sz w:val="24"/>
          <w:szCs w:val="24"/>
          <w:lang w:eastAsia="en-GB"/>
        </w:rPr>
        <w:t>Jerrim, J.</w:t>
      </w:r>
      <w:r w:rsidR="00F8411C">
        <w:rPr>
          <w:rFonts w:ascii="Times New Roman" w:hAnsi="Times New Roman" w:cs="Times New Roman"/>
          <w:sz w:val="24"/>
          <w:szCs w:val="24"/>
          <w:lang w:eastAsia="en-GB"/>
        </w:rPr>
        <w:t>,</w:t>
      </w:r>
      <w:r w:rsidRPr="00B2045C">
        <w:rPr>
          <w:rFonts w:ascii="Times New Roman" w:hAnsi="Times New Roman" w:cs="Times New Roman"/>
          <w:sz w:val="24"/>
          <w:szCs w:val="24"/>
          <w:lang w:eastAsia="en-GB"/>
        </w:rPr>
        <w:t xml:space="preserve"> Sims, S.</w:t>
      </w:r>
      <w:r w:rsidR="00F8411C">
        <w:rPr>
          <w:rFonts w:ascii="Times New Roman" w:hAnsi="Times New Roman" w:cs="Times New Roman"/>
          <w:sz w:val="24"/>
          <w:szCs w:val="24"/>
          <w:lang w:eastAsia="en-GB"/>
        </w:rPr>
        <w:t>,</w:t>
      </w:r>
      <w:r w:rsidRPr="00B2045C">
        <w:rPr>
          <w:rFonts w:ascii="Times New Roman" w:hAnsi="Times New Roman" w:cs="Times New Roman"/>
          <w:sz w:val="24"/>
          <w:szCs w:val="24"/>
          <w:lang w:eastAsia="en-GB"/>
        </w:rPr>
        <w:t xml:space="preserve"> Taylor, </w:t>
      </w:r>
      <w:r>
        <w:rPr>
          <w:rFonts w:ascii="Times New Roman" w:hAnsi="Times New Roman" w:cs="Times New Roman"/>
          <w:sz w:val="24"/>
          <w:szCs w:val="24"/>
          <w:lang w:eastAsia="en-GB"/>
        </w:rPr>
        <w:t>H</w:t>
      </w:r>
      <w:r w:rsidRPr="00B2045C">
        <w:rPr>
          <w:rFonts w:ascii="Times New Roman" w:hAnsi="Times New Roman" w:cs="Times New Roman"/>
          <w:sz w:val="24"/>
          <w:szCs w:val="24"/>
          <w:lang w:eastAsia="en-GB"/>
        </w:rPr>
        <w:t xml:space="preserve">. </w:t>
      </w:r>
      <w:r w:rsidR="00F8411C">
        <w:rPr>
          <w:rFonts w:ascii="Times New Roman" w:hAnsi="Times New Roman" w:cs="Times New Roman"/>
          <w:sz w:val="24"/>
          <w:szCs w:val="24"/>
          <w:lang w:eastAsia="en-GB"/>
        </w:rPr>
        <w:t>&amp;</w:t>
      </w:r>
      <w:r w:rsidR="00F8411C" w:rsidRPr="00B2045C">
        <w:rPr>
          <w:rFonts w:ascii="Times New Roman" w:hAnsi="Times New Roman" w:cs="Times New Roman"/>
          <w:sz w:val="24"/>
          <w:szCs w:val="24"/>
          <w:lang w:eastAsia="en-GB"/>
        </w:rPr>
        <w:t xml:space="preserve"> </w:t>
      </w:r>
      <w:r w:rsidRPr="00B2045C">
        <w:rPr>
          <w:rFonts w:ascii="Times New Roman" w:hAnsi="Times New Roman" w:cs="Times New Roman"/>
          <w:sz w:val="24"/>
          <w:szCs w:val="24"/>
          <w:lang w:eastAsia="en-GB"/>
        </w:rPr>
        <w:t xml:space="preserve">Allen, R. </w:t>
      </w:r>
      <w:r w:rsidR="00F8411C">
        <w:rPr>
          <w:rFonts w:ascii="Times New Roman" w:hAnsi="Times New Roman" w:cs="Times New Roman"/>
          <w:sz w:val="24"/>
          <w:szCs w:val="24"/>
          <w:lang w:eastAsia="en-GB"/>
        </w:rPr>
        <w:t>(</w:t>
      </w:r>
      <w:r w:rsidRPr="00B2045C">
        <w:rPr>
          <w:rFonts w:ascii="Times New Roman" w:hAnsi="Times New Roman" w:cs="Times New Roman"/>
          <w:sz w:val="24"/>
          <w:szCs w:val="24"/>
          <w:lang w:eastAsia="en-GB"/>
        </w:rPr>
        <w:t>2020</w:t>
      </w:r>
      <w:r>
        <w:rPr>
          <w:rFonts w:ascii="Times New Roman" w:hAnsi="Times New Roman" w:cs="Times New Roman"/>
          <w:sz w:val="24"/>
          <w:szCs w:val="24"/>
          <w:lang w:eastAsia="en-GB"/>
        </w:rPr>
        <w:t>c</w:t>
      </w:r>
      <w:r w:rsidR="00F8411C">
        <w:rPr>
          <w:rFonts w:ascii="Times New Roman" w:hAnsi="Times New Roman" w:cs="Times New Roman"/>
          <w:sz w:val="24"/>
          <w:szCs w:val="24"/>
          <w:lang w:eastAsia="en-GB"/>
        </w:rPr>
        <w:t>)</w:t>
      </w:r>
      <w:r w:rsidRPr="00B2045C">
        <w:rPr>
          <w:rFonts w:ascii="Times New Roman" w:hAnsi="Times New Roman" w:cs="Times New Roman"/>
          <w:sz w:val="24"/>
          <w:szCs w:val="24"/>
          <w:lang w:eastAsia="en-GB"/>
        </w:rPr>
        <w:t xml:space="preserve"> I quit! Is there an association between leaving teaching and improvements in mental health?</w:t>
      </w:r>
      <w:r w:rsidR="000F2E40">
        <w:rPr>
          <w:rFonts w:ascii="Times New Roman" w:hAnsi="Times New Roman" w:cs="Times New Roman"/>
          <w:sz w:val="24"/>
          <w:szCs w:val="24"/>
          <w:lang w:eastAsia="en-GB"/>
        </w:rPr>
        <w:t xml:space="preserve"> </w:t>
      </w:r>
      <w:r w:rsidR="000F2E40">
        <w:rPr>
          <w:rFonts w:ascii="Times New Roman" w:hAnsi="Times New Roman" w:cs="Times New Roman"/>
          <w:i/>
          <w:sz w:val="24"/>
          <w:szCs w:val="24"/>
          <w:lang w:eastAsia="en-GB"/>
        </w:rPr>
        <w:t>British Educational Research Journal.</w:t>
      </w:r>
    </w:p>
    <w:p w14:paraId="5BF4D06C" w14:textId="0A977D45" w:rsidR="00671BB5" w:rsidRPr="003E23E1" w:rsidRDefault="005F3B5D" w:rsidP="003E23E1">
      <w:pPr>
        <w:pStyle w:val="Title"/>
        <w:rPr>
          <w:rFonts w:cs="Times New Roman"/>
          <w:b w:val="0"/>
          <w:sz w:val="24"/>
          <w:szCs w:val="24"/>
          <w:lang w:eastAsia="en-GB"/>
        </w:rPr>
      </w:pPr>
      <w:r w:rsidRPr="00B2045C">
        <w:rPr>
          <w:rFonts w:cs="Times New Roman"/>
          <w:b w:val="0"/>
          <w:sz w:val="24"/>
          <w:szCs w:val="24"/>
          <w:lang w:eastAsia="en-GB"/>
        </w:rPr>
        <w:t>Allen, R.</w:t>
      </w:r>
      <w:r w:rsidR="00F8411C">
        <w:rPr>
          <w:rFonts w:cs="Times New Roman"/>
          <w:b w:val="0"/>
          <w:sz w:val="24"/>
          <w:szCs w:val="24"/>
          <w:lang w:eastAsia="en-GB"/>
        </w:rPr>
        <w:t>,</w:t>
      </w:r>
      <w:r w:rsidRPr="00B2045C">
        <w:rPr>
          <w:rFonts w:cs="Times New Roman"/>
          <w:b w:val="0"/>
          <w:sz w:val="24"/>
          <w:szCs w:val="24"/>
          <w:lang w:eastAsia="en-GB"/>
        </w:rPr>
        <w:t xml:space="preserve"> </w:t>
      </w:r>
      <w:proofErr w:type="spellStart"/>
      <w:r w:rsidRPr="00B2045C">
        <w:rPr>
          <w:rFonts w:cs="Times New Roman"/>
          <w:b w:val="0"/>
          <w:sz w:val="24"/>
          <w:szCs w:val="24"/>
        </w:rPr>
        <w:t>Benhenda</w:t>
      </w:r>
      <w:proofErr w:type="spellEnd"/>
      <w:r w:rsidRPr="00B2045C">
        <w:rPr>
          <w:rFonts w:cs="Times New Roman"/>
          <w:b w:val="0"/>
          <w:sz w:val="24"/>
          <w:szCs w:val="24"/>
        </w:rPr>
        <w:t>, A.</w:t>
      </w:r>
      <w:r w:rsidR="00F8411C">
        <w:rPr>
          <w:rFonts w:cs="Times New Roman"/>
          <w:b w:val="0"/>
          <w:sz w:val="24"/>
          <w:szCs w:val="24"/>
        </w:rPr>
        <w:t>,</w:t>
      </w:r>
      <w:r w:rsidRPr="00B2045C">
        <w:rPr>
          <w:rFonts w:cs="Times New Roman"/>
          <w:b w:val="0"/>
          <w:sz w:val="24"/>
          <w:szCs w:val="24"/>
        </w:rPr>
        <w:t xml:space="preserve"> Jerrim, J. </w:t>
      </w:r>
      <w:r w:rsidR="00F8411C">
        <w:rPr>
          <w:rFonts w:cs="Times New Roman"/>
          <w:b w:val="0"/>
          <w:sz w:val="24"/>
          <w:szCs w:val="24"/>
        </w:rPr>
        <w:t>&amp;</w:t>
      </w:r>
      <w:r w:rsidRPr="00B2045C">
        <w:rPr>
          <w:rFonts w:cs="Times New Roman"/>
          <w:b w:val="0"/>
          <w:sz w:val="24"/>
          <w:szCs w:val="24"/>
        </w:rPr>
        <w:t xml:space="preserve"> Sims, S. </w:t>
      </w:r>
      <w:r w:rsidR="00D6698C">
        <w:rPr>
          <w:rFonts w:cs="Times New Roman"/>
          <w:b w:val="0"/>
          <w:sz w:val="24"/>
          <w:szCs w:val="24"/>
        </w:rPr>
        <w:t>(</w:t>
      </w:r>
      <w:r w:rsidRPr="00B2045C">
        <w:rPr>
          <w:rFonts w:cs="Times New Roman"/>
          <w:b w:val="0"/>
          <w:sz w:val="24"/>
          <w:szCs w:val="24"/>
        </w:rPr>
        <w:t>2019</w:t>
      </w:r>
      <w:r w:rsidR="00D6698C">
        <w:rPr>
          <w:rFonts w:cs="Times New Roman"/>
          <w:b w:val="0"/>
          <w:sz w:val="24"/>
          <w:szCs w:val="24"/>
        </w:rPr>
        <w:t>)</w:t>
      </w:r>
      <w:r w:rsidRPr="00B2045C">
        <w:rPr>
          <w:rFonts w:cs="Times New Roman"/>
          <w:b w:val="0"/>
          <w:sz w:val="24"/>
          <w:szCs w:val="24"/>
        </w:rPr>
        <w:t xml:space="preserve"> </w:t>
      </w:r>
      <w:r w:rsidRPr="00B2045C">
        <w:rPr>
          <w:rFonts w:cs="Times New Roman"/>
          <w:b w:val="0"/>
          <w:sz w:val="24"/>
          <w:szCs w:val="24"/>
          <w:lang w:eastAsia="en-GB"/>
        </w:rPr>
        <w:t xml:space="preserve"> New evidence on teachers’ working hours in England. An empirical analysis of four datasets. </w:t>
      </w:r>
      <w:r w:rsidRPr="00B2045C">
        <w:rPr>
          <w:rFonts w:cs="Times New Roman"/>
          <w:b w:val="0"/>
          <w:i/>
          <w:sz w:val="24"/>
          <w:szCs w:val="24"/>
          <w:lang w:eastAsia="en-GB"/>
        </w:rPr>
        <w:t>Research Papers in Education.</w:t>
      </w:r>
      <w:r w:rsidR="003E23E1">
        <w:rPr>
          <w:rFonts w:cs="Times New Roman"/>
          <w:b w:val="0"/>
          <w:sz w:val="24"/>
          <w:szCs w:val="24"/>
          <w:lang w:eastAsia="en-GB"/>
        </w:rPr>
        <w:t xml:space="preserve"> </w:t>
      </w:r>
    </w:p>
    <w:p w14:paraId="7FF4070B" w14:textId="69767C03" w:rsidR="0085263A" w:rsidRPr="000F2E40" w:rsidRDefault="0085263A" w:rsidP="003E23E1">
      <w:pPr>
        <w:spacing w:after="0"/>
        <w:jc w:val="both"/>
        <w:rPr>
          <w:rFonts w:ascii="Times New Roman" w:hAnsi="Times New Roman" w:cs="Times New Roman"/>
          <w:i/>
          <w:sz w:val="24"/>
          <w:szCs w:val="24"/>
        </w:rPr>
      </w:pPr>
      <w:r w:rsidRPr="00B2045C">
        <w:rPr>
          <w:rFonts w:ascii="Times New Roman" w:hAnsi="Times New Roman" w:cs="Times New Roman"/>
          <w:sz w:val="24"/>
          <w:szCs w:val="24"/>
        </w:rPr>
        <w:t xml:space="preserve">Jerrim, S. </w:t>
      </w:r>
      <w:r w:rsidR="00D6698C">
        <w:rPr>
          <w:rFonts w:ascii="Times New Roman" w:hAnsi="Times New Roman" w:cs="Times New Roman"/>
          <w:sz w:val="24"/>
          <w:szCs w:val="24"/>
        </w:rPr>
        <w:t>&amp;</w:t>
      </w:r>
      <w:r w:rsidR="00D6698C" w:rsidRPr="00B2045C">
        <w:rPr>
          <w:rFonts w:ascii="Times New Roman" w:hAnsi="Times New Roman" w:cs="Times New Roman"/>
          <w:sz w:val="24"/>
          <w:szCs w:val="24"/>
        </w:rPr>
        <w:t xml:space="preserve"> </w:t>
      </w:r>
      <w:r w:rsidRPr="00B2045C">
        <w:rPr>
          <w:rFonts w:ascii="Times New Roman" w:hAnsi="Times New Roman" w:cs="Times New Roman"/>
          <w:sz w:val="24"/>
          <w:szCs w:val="24"/>
        </w:rPr>
        <w:t xml:space="preserve">Sims, S. </w:t>
      </w:r>
      <w:r w:rsidR="00D6698C">
        <w:rPr>
          <w:rFonts w:ascii="Times New Roman" w:hAnsi="Times New Roman" w:cs="Times New Roman"/>
          <w:sz w:val="24"/>
          <w:szCs w:val="24"/>
        </w:rPr>
        <w:t>(</w:t>
      </w:r>
      <w:r w:rsidRPr="00B2045C">
        <w:rPr>
          <w:rFonts w:ascii="Times New Roman" w:hAnsi="Times New Roman" w:cs="Times New Roman"/>
          <w:sz w:val="24"/>
          <w:szCs w:val="24"/>
        </w:rPr>
        <w:t>2020</w:t>
      </w:r>
      <w:r>
        <w:rPr>
          <w:rFonts w:ascii="Times New Roman" w:hAnsi="Times New Roman" w:cs="Times New Roman"/>
          <w:sz w:val="24"/>
          <w:szCs w:val="24"/>
        </w:rPr>
        <w:t>b</w:t>
      </w:r>
      <w:r w:rsidR="00D6698C">
        <w:rPr>
          <w:rFonts w:ascii="Times New Roman" w:hAnsi="Times New Roman" w:cs="Times New Roman"/>
          <w:sz w:val="24"/>
          <w:szCs w:val="24"/>
        </w:rPr>
        <w:t>)</w:t>
      </w:r>
      <w:r w:rsidRPr="00B2045C">
        <w:rPr>
          <w:rFonts w:ascii="Times New Roman" w:hAnsi="Times New Roman" w:cs="Times New Roman"/>
          <w:sz w:val="24"/>
          <w:szCs w:val="24"/>
        </w:rPr>
        <w:t xml:space="preserve"> </w:t>
      </w:r>
      <w:r w:rsidRPr="00B2045C">
        <w:rPr>
          <w:rFonts w:ascii="Times New Roman" w:hAnsi="Times New Roman" w:cs="Times New Roman"/>
          <w:sz w:val="24"/>
          <w:szCs w:val="24"/>
          <w:lang w:eastAsia="en-GB"/>
        </w:rPr>
        <w:t>Teacher workload and wellbeing. New international evidence from the OECD TALIS study.</w:t>
      </w:r>
      <w:r w:rsidR="000F2E40">
        <w:rPr>
          <w:rFonts w:ascii="Times New Roman" w:hAnsi="Times New Roman" w:cs="Times New Roman"/>
          <w:sz w:val="24"/>
          <w:szCs w:val="24"/>
          <w:lang w:eastAsia="en-GB"/>
        </w:rPr>
        <w:t xml:space="preserve"> </w:t>
      </w:r>
      <w:r w:rsidR="000F2E40">
        <w:rPr>
          <w:rFonts w:ascii="Times New Roman" w:hAnsi="Times New Roman" w:cs="Times New Roman"/>
          <w:i/>
          <w:sz w:val="24"/>
          <w:szCs w:val="24"/>
          <w:lang w:eastAsia="en-GB"/>
        </w:rPr>
        <w:t>Teaching and Teacher Education (revise and resubmit).</w:t>
      </w:r>
    </w:p>
    <w:p w14:paraId="732782A6" w14:textId="3610FAEA" w:rsidR="00B2045C" w:rsidRPr="00B2045C" w:rsidRDefault="00B2045C" w:rsidP="003E23E1">
      <w:pPr>
        <w:spacing w:after="0"/>
        <w:jc w:val="both"/>
        <w:rPr>
          <w:rFonts w:ascii="Times New Roman" w:hAnsi="Times New Roman" w:cs="Times New Roman"/>
          <w:sz w:val="24"/>
          <w:szCs w:val="24"/>
          <w:lang w:eastAsia="en-GB"/>
        </w:rPr>
      </w:pPr>
      <w:r w:rsidRPr="00B2045C">
        <w:rPr>
          <w:rFonts w:ascii="Times New Roman" w:hAnsi="Times New Roman" w:cs="Times New Roman"/>
          <w:sz w:val="24"/>
          <w:szCs w:val="24"/>
          <w:lang w:eastAsia="en-GB"/>
        </w:rPr>
        <w:t xml:space="preserve">Jerrim, J. </w:t>
      </w:r>
      <w:r w:rsidR="00D6698C">
        <w:rPr>
          <w:rFonts w:ascii="Times New Roman" w:hAnsi="Times New Roman" w:cs="Times New Roman"/>
          <w:sz w:val="24"/>
          <w:szCs w:val="24"/>
          <w:lang w:eastAsia="en-GB"/>
        </w:rPr>
        <w:t>&amp;</w:t>
      </w:r>
      <w:r w:rsidRPr="00B2045C">
        <w:rPr>
          <w:rFonts w:ascii="Times New Roman" w:hAnsi="Times New Roman" w:cs="Times New Roman"/>
          <w:sz w:val="24"/>
          <w:szCs w:val="24"/>
          <w:lang w:eastAsia="en-GB"/>
        </w:rPr>
        <w:t xml:space="preserve"> Sims, S. </w:t>
      </w:r>
      <w:r w:rsidR="00D6698C">
        <w:rPr>
          <w:rFonts w:ascii="Times New Roman" w:hAnsi="Times New Roman" w:cs="Times New Roman"/>
          <w:sz w:val="24"/>
          <w:szCs w:val="24"/>
          <w:lang w:eastAsia="en-GB"/>
        </w:rPr>
        <w:t>(</w:t>
      </w:r>
      <w:r w:rsidRPr="00B2045C">
        <w:rPr>
          <w:rFonts w:ascii="Times New Roman" w:hAnsi="Times New Roman" w:cs="Times New Roman"/>
          <w:sz w:val="24"/>
          <w:szCs w:val="24"/>
          <w:lang w:eastAsia="en-GB"/>
        </w:rPr>
        <w:t>2020</w:t>
      </w:r>
      <w:r w:rsidR="0085263A">
        <w:rPr>
          <w:rFonts w:ascii="Times New Roman" w:hAnsi="Times New Roman" w:cs="Times New Roman"/>
          <w:sz w:val="24"/>
          <w:szCs w:val="24"/>
          <w:lang w:eastAsia="en-GB"/>
        </w:rPr>
        <w:t>c</w:t>
      </w:r>
      <w:r w:rsidR="00D6698C">
        <w:rPr>
          <w:rFonts w:ascii="Times New Roman" w:hAnsi="Times New Roman" w:cs="Times New Roman"/>
          <w:sz w:val="24"/>
          <w:szCs w:val="24"/>
          <w:lang w:eastAsia="en-GB"/>
        </w:rPr>
        <w:t>)</w:t>
      </w:r>
      <w:r w:rsidRPr="00B2045C">
        <w:rPr>
          <w:rFonts w:ascii="Times New Roman" w:hAnsi="Times New Roman" w:cs="Times New Roman"/>
          <w:sz w:val="24"/>
          <w:szCs w:val="24"/>
          <w:lang w:eastAsia="en-GB"/>
        </w:rPr>
        <w:t xml:space="preserve"> School accountability and teacher stress. International evid</w:t>
      </w:r>
      <w:r w:rsidR="003E23E1">
        <w:rPr>
          <w:rFonts w:ascii="Times New Roman" w:hAnsi="Times New Roman" w:cs="Times New Roman"/>
          <w:sz w:val="24"/>
          <w:szCs w:val="24"/>
          <w:lang w:eastAsia="en-GB"/>
        </w:rPr>
        <w:t>ence from the OECD TALIS study.</w:t>
      </w:r>
    </w:p>
    <w:p w14:paraId="2126A400" w14:textId="1A740B41" w:rsidR="00671BB5" w:rsidRDefault="00671BB5" w:rsidP="003E23E1">
      <w:pPr>
        <w:spacing w:after="0"/>
        <w:jc w:val="both"/>
        <w:rPr>
          <w:rFonts w:ascii="Times New Roman" w:hAnsi="Times New Roman" w:cs="Times New Roman"/>
          <w:sz w:val="24"/>
          <w:szCs w:val="24"/>
        </w:rPr>
      </w:pPr>
      <w:r w:rsidRPr="00B2045C">
        <w:rPr>
          <w:rFonts w:ascii="Times New Roman" w:hAnsi="Times New Roman" w:cs="Times New Roman"/>
          <w:sz w:val="24"/>
          <w:szCs w:val="24"/>
        </w:rPr>
        <w:t xml:space="preserve">Sims, S. </w:t>
      </w:r>
      <w:r w:rsidR="00D6698C">
        <w:rPr>
          <w:rFonts w:ascii="Times New Roman" w:hAnsi="Times New Roman" w:cs="Times New Roman"/>
          <w:sz w:val="24"/>
          <w:szCs w:val="24"/>
        </w:rPr>
        <w:t>&amp;</w:t>
      </w:r>
      <w:r w:rsidR="00D6698C" w:rsidRPr="00B2045C">
        <w:rPr>
          <w:rFonts w:ascii="Times New Roman" w:hAnsi="Times New Roman" w:cs="Times New Roman"/>
          <w:sz w:val="24"/>
          <w:szCs w:val="24"/>
        </w:rPr>
        <w:t xml:space="preserve"> </w:t>
      </w:r>
      <w:r w:rsidRPr="00B2045C">
        <w:rPr>
          <w:rFonts w:ascii="Times New Roman" w:hAnsi="Times New Roman" w:cs="Times New Roman"/>
          <w:sz w:val="24"/>
          <w:szCs w:val="24"/>
        </w:rPr>
        <w:t xml:space="preserve">Jerrim, J. </w:t>
      </w:r>
      <w:r w:rsidR="00D6698C">
        <w:rPr>
          <w:rFonts w:ascii="Times New Roman" w:hAnsi="Times New Roman" w:cs="Times New Roman"/>
          <w:sz w:val="24"/>
          <w:szCs w:val="24"/>
        </w:rPr>
        <w:t>(</w:t>
      </w:r>
      <w:r w:rsidRPr="00B2045C">
        <w:rPr>
          <w:rFonts w:ascii="Times New Roman" w:hAnsi="Times New Roman" w:cs="Times New Roman"/>
          <w:sz w:val="24"/>
          <w:szCs w:val="24"/>
        </w:rPr>
        <w:t>2020</w:t>
      </w:r>
      <w:r w:rsidR="00D6698C">
        <w:rPr>
          <w:rFonts w:ascii="Times New Roman" w:hAnsi="Times New Roman" w:cs="Times New Roman"/>
          <w:sz w:val="24"/>
          <w:szCs w:val="24"/>
        </w:rPr>
        <w:t>)</w:t>
      </w:r>
      <w:r w:rsidRPr="00B2045C">
        <w:rPr>
          <w:rFonts w:ascii="Times New Roman" w:hAnsi="Times New Roman" w:cs="Times New Roman"/>
          <w:sz w:val="24"/>
          <w:szCs w:val="24"/>
        </w:rPr>
        <w:t xml:space="preserve"> </w:t>
      </w:r>
      <w:proofErr w:type="gramStart"/>
      <w:r w:rsidRPr="00B2045C">
        <w:rPr>
          <w:rFonts w:ascii="Times New Roman" w:hAnsi="Times New Roman" w:cs="Times New Roman"/>
          <w:sz w:val="24"/>
          <w:szCs w:val="24"/>
          <w:lang w:eastAsia="en-GB"/>
        </w:rPr>
        <w:t>How</w:t>
      </w:r>
      <w:proofErr w:type="gramEnd"/>
      <w:r w:rsidRPr="00B2045C">
        <w:rPr>
          <w:rFonts w:ascii="Times New Roman" w:hAnsi="Times New Roman" w:cs="Times New Roman"/>
          <w:sz w:val="24"/>
          <w:szCs w:val="24"/>
          <w:lang w:eastAsia="en-GB"/>
        </w:rPr>
        <w:t xml:space="preserve"> does the school working environment predict teachers’ job satisfaction, stress and exit from the profession? Evidence from linked survey and administrative data</w:t>
      </w:r>
      <w:r w:rsidR="00B2045C" w:rsidRPr="00B2045C">
        <w:rPr>
          <w:rFonts w:ascii="Times New Roman" w:hAnsi="Times New Roman" w:cs="Times New Roman"/>
          <w:sz w:val="24"/>
          <w:szCs w:val="24"/>
          <w:lang w:eastAsia="en-GB"/>
        </w:rPr>
        <w:t>.</w:t>
      </w:r>
    </w:p>
    <w:p w14:paraId="33E21BD0" w14:textId="2EAD64C8" w:rsidR="0085263A" w:rsidRPr="00B2045C" w:rsidRDefault="0085263A" w:rsidP="003E23E1">
      <w:pPr>
        <w:spacing w:after="0"/>
        <w:jc w:val="both"/>
        <w:rPr>
          <w:rFonts w:ascii="Times New Roman" w:hAnsi="Times New Roman" w:cs="Times New Roman"/>
          <w:sz w:val="24"/>
          <w:szCs w:val="24"/>
        </w:rPr>
      </w:pPr>
      <w:r w:rsidRPr="00B2045C">
        <w:rPr>
          <w:rFonts w:ascii="Times New Roman" w:hAnsi="Times New Roman" w:cs="Times New Roman"/>
          <w:sz w:val="24"/>
          <w:szCs w:val="24"/>
        </w:rPr>
        <w:t>Sims, S.</w:t>
      </w:r>
      <w:r w:rsidR="006515DE">
        <w:rPr>
          <w:rFonts w:ascii="Times New Roman" w:hAnsi="Times New Roman" w:cs="Times New Roman"/>
          <w:sz w:val="24"/>
          <w:szCs w:val="24"/>
        </w:rPr>
        <w:t>,</w:t>
      </w:r>
      <w:r w:rsidRPr="00B2045C">
        <w:rPr>
          <w:rFonts w:ascii="Times New Roman" w:hAnsi="Times New Roman" w:cs="Times New Roman"/>
          <w:sz w:val="24"/>
          <w:szCs w:val="24"/>
        </w:rPr>
        <w:t xml:space="preserve"> Jerrim, J., Taylor, H. </w:t>
      </w:r>
      <w:r w:rsidR="006515DE">
        <w:rPr>
          <w:rFonts w:ascii="Times New Roman" w:hAnsi="Times New Roman" w:cs="Times New Roman"/>
          <w:sz w:val="24"/>
          <w:szCs w:val="24"/>
        </w:rPr>
        <w:t>&amp;</w:t>
      </w:r>
      <w:r w:rsidRPr="00B2045C">
        <w:rPr>
          <w:rFonts w:ascii="Times New Roman" w:hAnsi="Times New Roman" w:cs="Times New Roman"/>
          <w:sz w:val="24"/>
          <w:szCs w:val="24"/>
        </w:rPr>
        <w:t xml:space="preserve"> Allen, R. </w:t>
      </w:r>
      <w:r w:rsidR="006515DE">
        <w:rPr>
          <w:rFonts w:ascii="Times New Roman" w:hAnsi="Times New Roman" w:cs="Times New Roman"/>
          <w:sz w:val="24"/>
          <w:szCs w:val="24"/>
        </w:rPr>
        <w:t>(</w:t>
      </w:r>
      <w:r w:rsidRPr="00B2045C">
        <w:rPr>
          <w:rFonts w:ascii="Times New Roman" w:hAnsi="Times New Roman" w:cs="Times New Roman"/>
          <w:sz w:val="24"/>
          <w:szCs w:val="24"/>
        </w:rPr>
        <w:t>2020</w:t>
      </w:r>
      <w:r w:rsidR="006515DE">
        <w:rPr>
          <w:rFonts w:ascii="Times New Roman" w:hAnsi="Times New Roman" w:cs="Times New Roman"/>
          <w:sz w:val="24"/>
          <w:szCs w:val="24"/>
        </w:rPr>
        <w:t>)</w:t>
      </w:r>
      <w:r w:rsidRPr="00B2045C">
        <w:rPr>
          <w:rFonts w:ascii="Times New Roman" w:hAnsi="Times New Roman" w:cs="Times New Roman"/>
          <w:sz w:val="24"/>
          <w:szCs w:val="24"/>
        </w:rPr>
        <w:t xml:space="preserve"> </w:t>
      </w:r>
      <w:proofErr w:type="gramStart"/>
      <w:r w:rsidRPr="00B2045C">
        <w:rPr>
          <w:rFonts w:ascii="Times New Roman" w:hAnsi="Times New Roman" w:cs="Times New Roman"/>
          <w:bCs/>
          <w:sz w:val="24"/>
          <w:szCs w:val="24"/>
        </w:rPr>
        <w:t>Is</w:t>
      </w:r>
      <w:proofErr w:type="gramEnd"/>
      <w:r w:rsidRPr="00B2045C">
        <w:rPr>
          <w:rFonts w:ascii="Times New Roman" w:hAnsi="Times New Roman" w:cs="Times New Roman"/>
          <w:bCs/>
          <w:sz w:val="24"/>
          <w:szCs w:val="24"/>
        </w:rPr>
        <w:t xml:space="preserve"> teaching really bad for your health? New evidence from biomarker data.</w:t>
      </w:r>
      <w:r w:rsidR="000F2E40">
        <w:rPr>
          <w:rFonts w:ascii="Times New Roman" w:hAnsi="Times New Roman" w:cs="Times New Roman"/>
          <w:bCs/>
          <w:sz w:val="24"/>
          <w:szCs w:val="24"/>
        </w:rPr>
        <w:t xml:space="preserve"> </w:t>
      </w:r>
      <w:r w:rsidR="000F2E40" w:rsidRPr="000F2E40">
        <w:rPr>
          <w:rFonts w:ascii="Times New Roman" w:hAnsi="Times New Roman" w:cs="Times New Roman"/>
          <w:bCs/>
          <w:i/>
          <w:sz w:val="24"/>
          <w:szCs w:val="24"/>
        </w:rPr>
        <w:t>Oxford Review of Education</w:t>
      </w:r>
      <w:r w:rsidR="000F2E40">
        <w:rPr>
          <w:rFonts w:ascii="Times New Roman" w:hAnsi="Times New Roman" w:cs="Times New Roman"/>
          <w:bCs/>
          <w:sz w:val="24"/>
          <w:szCs w:val="24"/>
        </w:rPr>
        <w:t xml:space="preserve"> (revise and resubmit).</w:t>
      </w:r>
    </w:p>
    <w:p w14:paraId="1508659B" w14:textId="7711700D" w:rsidR="002F08EC" w:rsidRDefault="002F08EC" w:rsidP="002F08EC">
      <w:pPr>
        <w:spacing w:after="0"/>
        <w:rPr>
          <w:rFonts w:ascii="Times New Roman" w:hAnsi="Times New Roman" w:cs="Times New Roman"/>
          <w:b/>
          <w:sz w:val="24"/>
          <w:szCs w:val="24"/>
        </w:rPr>
      </w:pPr>
    </w:p>
    <w:p w14:paraId="73049523" w14:textId="77777777" w:rsidR="00FD1E83" w:rsidRDefault="00FD1E83" w:rsidP="002F08EC">
      <w:pPr>
        <w:spacing w:after="0"/>
        <w:rPr>
          <w:rFonts w:ascii="Times New Roman" w:hAnsi="Times New Roman" w:cs="Times New Roman"/>
          <w:b/>
          <w:sz w:val="24"/>
          <w:szCs w:val="24"/>
        </w:rPr>
      </w:pPr>
    </w:p>
    <w:p w14:paraId="7E2EA8BF" w14:textId="77777777" w:rsidR="002F08EC" w:rsidRDefault="002F08EC" w:rsidP="002F08EC">
      <w:pPr>
        <w:spacing w:after="0"/>
        <w:rPr>
          <w:rFonts w:ascii="Times New Roman" w:hAnsi="Times New Roman" w:cs="Times New Roman"/>
          <w:b/>
          <w:sz w:val="24"/>
          <w:szCs w:val="24"/>
        </w:rPr>
      </w:pPr>
      <w:r>
        <w:rPr>
          <w:rFonts w:ascii="Times New Roman" w:hAnsi="Times New Roman" w:cs="Times New Roman"/>
          <w:b/>
          <w:sz w:val="24"/>
          <w:szCs w:val="24"/>
        </w:rPr>
        <w:t>Acknowledgements</w:t>
      </w:r>
    </w:p>
    <w:p w14:paraId="5F0CA57D" w14:textId="67D1D7CA" w:rsidR="002F08EC" w:rsidRDefault="002F08EC" w:rsidP="002F08EC">
      <w:pPr>
        <w:spacing w:after="0"/>
        <w:jc w:val="both"/>
        <w:rPr>
          <w:rFonts w:ascii="Times New Roman" w:hAnsi="Times New Roman" w:cs="Times New Roman"/>
          <w:sz w:val="24"/>
          <w:szCs w:val="24"/>
        </w:rPr>
      </w:pPr>
      <w:r>
        <w:rPr>
          <w:rFonts w:ascii="Times New Roman" w:hAnsi="Times New Roman" w:cs="Times New Roman"/>
          <w:sz w:val="24"/>
          <w:szCs w:val="24"/>
        </w:rPr>
        <w:t>The Nuffield Foundation is an independent charitable trust with a mission to advance social wellbeing. It funds research that informs social policy, primarily in Education, Welfare, and Justice. It also funds student programmes that provide opportunities for young people to develop skills in quantitative and scientific methods. The Nuffield Foundation is the founder and co-</w:t>
      </w:r>
      <w:proofErr w:type="spellStart"/>
      <w:r>
        <w:rPr>
          <w:rFonts w:ascii="Times New Roman" w:hAnsi="Times New Roman" w:cs="Times New Roman"/>
          <w:sz w:val="24"/>
          <w:szCs w:val="24"/>
        </w:rPr>
        <w:t>funder</w:t>
      </w:r>
      <w:proofErr w:type="spellEnd"/>
      <w:r>
        <w:rPr>
          <w:rFonts w:ascii="Times New Roman" w:hAnsi="Times New Roman" w:cs="Times New Roman"/>
          <w:sz w:val="24"/>
          <w:szCs w:val="24"/>
        </w:rPr>
        <w:t xml:space="preserve"> of the Nuffield Council on Bioethics and the Ada Lovelace Institute. The Foundation has funded this project, but the views expressed are those of the authors and not necessarily the Foundation. Visit www.nuffieldfoundation.org. We are grateful for their support. Helpful comments have been received on the draft from our project advisory group, whom we would like to thank for their input and support.</w:t>
      </w:r>
    </w:p>
    <w:p w14:paraId="78504F20" w14:textId="77777777" w:rsidR="000C448D" w:rsidRDefault="000C448D" w:rsidP="002F08EC">
      <w:pPr>
        <w:spacing w:after="0"/>
        <w:jc w:val="both"/>
        <w:rPr>
          <w:rFonts w:ascii="Times New Roman" w:hAnsi="Times New Roman" w:cs="Times New Roman"/>
          <w:sz w:val="24"/>
          <w:szCs w:val="24"/>
        </w:rPr>
      </w:pPr>
    </w:p>
    <w:p w14:paraId="0335A13A" w14:textId="4581FEE2" w:rsidR="002F08EC" w:rsidRPr="000C448D" w:rsidRDefault="000C448D" w:rsidP="000C448D">
      <w:pPr>
        <w:spacing w:after="0"/>
        <w:rPr>
          <w:rFonts w:ascii="Times New Roman" w:hAnsi="Times New Roman" w:cs="Times New Roman"/>
          <w:b/>
          <w:sz w:val="24"/>
          <w:szCs w:val="24"/>
        </w:rPr>
      </w:pPr>
      <w:r>
        <w:rPr>
          <w:rFonts w:ascii="Times New Roman" w:hAnsi="Times New Roman" w:cs="Times New Roman"/>
          <w:b/>
          <w:sz w:val="24"/>
          <w:szCs w:val="24"/>
        </w:rPr>
        <w:t>Secure d</w:t>
      </w:r>
      <w:r w:rsidRPr="000C448D">
        <w:rPr>
          <w:rFonts w:ascii="Times New Roman" w:hAnsi="Times New Roman" w:cs="Times New Roman"/>
          <w:b/>
          <w:sz w:val="24"/>
          <w:szCs w:val="24"/>
        </w:rPr>
        <w:t>ata citations</w:t>
      </w:r>
    </w:p>
    <w:p w14:paraId="1C5FF9C9" w14:textId="71C8A3E6" w:rsidR="000C448D" w:rsidRPr="000C448D" w:rsidRDefault="000C448D" w:rsidP="000C448D">
      <w:pPr>
        <w:spacing w:after="0"/>
        <w:jc w:val="both"/>
        <w:rPr>
          <w:rFonts w:ascii="Times New Roman" w:hAnsi="Times New Roman" w:cs="Times New Roman"/>
          <w:i/>
          <w:color w:val="000000" w:themeColor="text1"/>
          <w:sz w:val="24"/>
          <w:szCs w:val="24"/>
          <w:shd w:val="clear" w:color="auto" w:fill="F9F9F9"/>
        </w:rPr>
      </w:pPr>
      <w:r w:rsidRPr="000C448D">
        <w:rPr>
          <w:rFonts w:ascii="Times New Roman" w:hAnsi="Times New Roman" w:cs="Times New Roman"/>
          <w:color w:val="333333"/>
          <w:sz w:val="24"/>
          <w:szCs w:val="24"/>
        </w:rPr>
        <w:t xml:space="preserve">This research has </w:t>
      </w:r>
      <w:r>
        <w:rPr>
          <w:rFonts w:ascii="Times New Roman" w:hAnsi="Times New Roman" w:cs="Times New Roman"/>
          <w:color w:val="333333"/>
          <w:sz w:val="24"/>
          <w:szCs w:val="24"/>
        </w:rPr>
        <w:t>used</w:t>
      </w:r>
      <w:r w:rsidRPr="000C448D">
        <w:rPr>
          <w:rFonts w:ascii="Times New Roman" w:hAnsi="Times New Roman" w:cs="Times New Roman"/>
          <w:color w:val="333333"/>
          <w:sz w:val="24"/>
          <w:szCs w:val="24"/>
        </w:rPr>
        <w:t xml:space="preserve"> the UK Biobank Resource </w:t>
      </w:r>
      <w:r>
        <w:rPr>
          <w:rStyle w:val="Emphasis"/>
          <w:rFonts w:ascii="Times New Roman" w:hAnsi="Times New Roman" w:cs="Times New Roman"/>
          <w:i w:val="0"/>
          <w:color w:val="333333"/>
          <w:sz w:val="24"/>
          <w:szCs w:val="24"/>
        </w:rPr>
        <w:t xml:space="preserve">under Application Number </w:t>
      </w:r>
      <w:r w:rsidRPr="000C448D">
        <w:rPr>
          <w:rStyle w:val="Emphasis"/>
          <w:rFonts w:ascii="Times New Roman" w:hAnsi="Times New Roman" w:cs="Times New Roman"/>
          <w:i w:val="0"/>
          <w:color w:val="333333"/>
          <w:sz w:val="24"/>
          <w:szCs w:val="24"/>
        </w:rPr>
        <w:t>48217</w:t>
      </w:r>
      <w:r>
        <w:rPr>
          <w:rStyle w:val="Emphasis"/>
          <w:rFonts w:ascii="Times New Roman" w:hAnsi="Times New Roman" w:cs="Times New Roman"/>
          <w:i w:val="0"/>
          <w:color w:val="333333"/>
          <w:sz w:val="24"/>
          <w:szCs w:val="24"/>
        </w:rPr>
        <w:t>, as well as the Annual Population Survey under the following citation:</w:t>
      </w:r>
    </w:p>
    <w:p w14:paraId="523AD488" w14:textId="17FA3D05" w:rsidR="000C448D" w:rsidRPr="000C448D" w:rsidRDefault="000C448D" w:rsidP="000C448D">
      <w:pPr>
        <w:jc w:val="both"/>
        <w:rPr>
          <w:rFonts w:ascii="Times New Roman" w:hAnsi="Times New Roman" w:cs="Times New Roman"/>
          <w:color w:val="000000" w:themeColor="text1"/>
          <w:sz w:val="24"/>
          <w:szCs w:val="24"/>
        </w:rPr>
      </w:pPr>
      <w:r w:rsidRPr="000C448D">
        <w:rPr>
          <w:rFonts w:ascii="Times New Roman" w:hAnsi="Times New Roman" w:cs="Times New Roman"/>
          <w:color w:val="000000" w:themeColor="text1"/>
          <w:sz w:val="24"/>
          <w:szCs w:val="24"/>
          <w:shd w:val="clear" w:color="auto" w:fill="F9F9F9"/>
        </w:rPr>
        <w:t xml:space="preserve">Office for National Statistics, Social Survey Division (2019) </w:t>
      </w:r>
      <w:r w:rsidRPr="000C448D">
        <w:rPr>
          <w:rFonts w:ascii="Times New Roman" w:hAnsi="Times New Roman" w:cs="Times New Roman"/>
          <w:i/>
          <w:iCs/>
          <w:color w:val="000000" w:themeColor="text1"/>
          <w:sz w:val="24"/>
          <w:szCs w:val="24"/>
        </w:rPr>
        <w:t>Annual Population Survey, 2004-2018: Secure Access</w:t>
      </w:r>
      <w:r w:rsidRPr="000C448D">
        <w:rPr>
          <w:rFonts w:ascii="Times New Roman" w:hAnsi="Times New Roman" w:cs="Times New Roman"/>
          <w:color w:val="000000" w:themeColor="text1"/>
          <w:sz w:val="24"/>
          <w:szCs w:val="24"/>
          <w:shd w:val="clear" w:color="auto" w:fill="F9F9F9"/>
        </w:rPr>
        <w:t>. [</w:t>
      </w:r>
      <w:proofErr w:type="gramStart"/>
      <w:r w:rsidRPr="000C448D">
        <w:rPr>
          <w:rFonts w:ascii="Times New Roman" w:hAnsi="Times New Roman" w:cs="Times New Roman"/>
          <w:color w:val="000000" w:themeColor="text1"/>
          <w:sz w:val="24"/>
          <w:szCs w:val="24"/>
          <w:shd w:val="clear" w:color="auto" w:fill="F9F9F9"/>
        </w:rPr>
        <w:t>data</w:t>
      </w:r>
      <w:proofErr w:type="gramEnd"/>
      <w:r w:rsidRPr="000C448D">
        <w:rPr>
          <w:rFonts w:ascii="Times New Roman" w:hAnsi="Times New Roman" w:cs="Times New Roman"/>
          <w:color w:val="000000" w:themeColor="text1"/>
          <w:sz w:val="24"/>
          <w:szCs w:val="24"/>
          <w:shd w:val="clear" w:color="auto" w:fill="F9F9F9"/>
        </w:rPr>
        <w:t xml:space="preserve"> collection]. </w:t>
      </w:r>
      <w:r w:rsidRPr="000C448D">
        <w:rPr>
          <w:rFonts w:ascii="Times New Roman" w:hAnsi="Times New Roman" w:cs="Times New Roman"/>
          <w:i/>
          <w:iCs/>
          <w:color w:val="000000" w:themeColor="text1"/>
          <w:sz w:val="24"/>
          <w:szCs w:val="24"/>
        </w:rPr>
        <w:t xml:space="preserve">14th Edition. </w:t>
      </w:r>
      <w:r w:rsidRPr="000C448D">
        <w:rPr>
          <w:rFonts w:ascii="Times New Roman" w:hAnsi="Times New Roman" w:cs="Times New Roman"/>
          <w:color w:val="000000" w:themeColor="text1"/>
          <w:sz w:val="24"/>
          <w:szCs w:val="24"/>
          <w:shd w:val="clear" w:color="auto" w:fill="F9F9F9"/>
        </w:rPr>
        <w:t xml:space="preserve">UK Data Service. SN: 6721, </w:t>
      </w:r>
      <w:hyperlink r:id="rId14" w:history="1">
        <w:r w:rsidRPr="000C448D">
          <w:rPr>
            <w:rStyle w:val="Hyperlink"/>
            <w:rFonts w:ascii="Times New Roman" w:hAnsi="Times New Roman" w:cs="Times New Roman"/>
            <w:color w:val="000000" w:themeColor="text1"/>
            <w:sz w:val="24"/>
            <w:szCs w:val="24"/>
          </w:rPr>
          <w:t>http://doi.org/10.5255/UKDA-SN-6721-13</w:t>
        </w:r>
      </w:hyperlink>
    </w:p>
    <w:p w14:paraId="35F84504" w14:textId="070AD2D5" w:rsidR="000C448D" w:rsidRPr="000C448D" w:rsidRDefault="000C448D" w:rsidP="000C448D">
      <w:pPr>
        <w:jc w:val="both"/>
        <w:rPr>
          <w:rFonts w:ascii="Times New Roman" w:hAnsi="Times New Roman" w:cs="Times New Roman"/>
          <w:color w:val="000000" w:themeColor="text1"/>
          <w:sz w:val="24"/>
          <w:szCs w:val="24"/>
        </w:rPr>
      </w:pPr>
      <w:r w:rsidRPr="000C448D">
        <w:rPr>
          <w:rFonts w:ascii="Times New Roman" w:hAnsi="Times New Roman" w:cs="Times New Roman"/>
          <w:color w:val="000000" w:themeColor="text1"/>
          <w:sz w:val="24"/>
          <w:szCs w:val="24"/>
          <w:shd w:val="clear" w:color="auto" w:fill="F9F9F9"/>
        </w:rPr>
        <w:t xml:space="preserve">Office for National Statistics, Social Survey Division (2016) </w:t>
      </w:r>
      <w:r w:rsidRPr="000C448D">
        <w:rPr>
          <w:rFonts w:ascii="Times New Roman" w:hAnsi="Times New Roman" w:cs="Times New Roman"/>
          <w:i/>
          <w:iCs/>
          <w:color w:val="000000" w:themeColor="text1"/>
          <w:sz w:val="24"/>
          <w:szCs w:val="24"/>
        </w:rPr>
        <w:t>Annual Population Survey: Well-Being, April 2011 - March 2015: Secure Access</w:t>
      </w:r>
      <w:r w:rsidRPr="000C448D">
        <w:rPr>
          <w:rFonts w:ascii="Times New Roman" w:hAnsi="Times New Roman" w:cs="Times New Roman"/>
          <w:color w:val="000000" w:themeColor="text1"/>
          <w:sz w:val="24"/>
          <w:szCs w:val="24"/>
          <w:shd w:val="clear" w:color="auto" w:fill="F9F9F9"/>
        </w:rPr>
        <w:t>. [</w:t>
      </w:r>
      <w:proofErr w:type="gramStart"/>
      <w:r w:rsidRPr="000C448D">
        <w:rPr>
          <w:rFonts w:ascii="Times New Roman" w:hAnsi="Times New Roman" w:cs="Times New Roman"/>
          <w:color w:val="000000" w:themeColor="text1"/>
          <w:sz w:val="24"/>
          <w:szCs w:val="24"/>
          <w:shd w:val="clear" w:color="auto" w:fill="F9F9F9"/>
        </w:rPr>
        <w:t>data</w:t>
      </w:r>
      <w:proofErr w:type="gramEnd"/>
      <w:r w:rsidRPr="000C448D">
        <w:rPr>
          <w:rFonts w:ascii="Times New Roman" w:hAnsi="Times New Roman" w:cs="Times New Roman"/>
          <w:color w:val="000000" w:themeColor="text1"/>
          <w:sz w:val="24"/>
          <w:szCs w:val="24"/>
          <w:shd w:val="clear" w:color="auto" w:fill="F9F9F9"/>
        </w:rPr>
        <w:t xml:space="preserve"> collection]. UK Data Service. SN: 7961, </w:t>
      </w:r>
      <w:hyperlink r:id="rId15" w:history="1">
        <w:r w:rsidRPr="000C448D">
          <w:rPr>
            <w:rStyle w:val="Hyperlink"/>
            <w:rFonts w:ascii="Times New Roman" w:hAnsi="Times New Roman" w:cs="Times New Roman"/>
            <w:color w:val="000000" w:themeColor="text1"/>
            <w:sz w:val="24"/>
            <w:szCs w:val="24"/>
          </w:rPr>
          <w:t>http://doi.org/10.5255/UKDA-SN-7961-1</w:t>
        </w:r>
      </w:hyperlink>
    </w:p>
    <w:p w14:paraId="7EC5684B" w14:textId="4E11A3EB" w:rsidR="000C448D" w:rsidRDefault="000C448D" w:rsidP="002F08EC">
      <w:pPr>
        <w:rPr>
          <w:rFonts w:ascii="Times New Roman" w:hAnsi="Times New Roman" w:cs="Times New Roman"/>
          <w:b/>
          <w:sz w:val="24"/>
          <w:szCs w:val="24"/>
        </w:rPr>
      </w:pPr>
    </w:p>
    <w:p w14:paraId="3B76E85D" w14:textId="77777777" w:rsidR="002F08EC" w:rsidRDefault="002F08EC" w:rsidP="002F08EC">
      <w:pPr>
        <w:rPr>
          <w:rFonts w:ascii="Times New Roman" w:hAnsi="Times New Roman" w:cs="Times New Roman"/>
          <w:b/>
          <w:sz w:val="24"/>
          <w:szCs w:val="24"/>
        </w:rPr>
      </w:pPr>
      <w:r>
        <w:rPr>
          <w:b/>
          <w:noProof/>
          <w:lang w:eastAsia="en-GB"/>
        </w:rPr>
        <w:drawing>
          <wp:inline distT="0" distB="0" distL="0" distR="0" wp14:anchorId="05ABFE16" wp14:editId="323F5102">
            <wp:extent cx="1657350" cy="952500"/>
            <wp:effectExtent l="0" t="0" r="0" b="0"/>
            <wp:docPr id="1" name="Picture 1" descr="22441E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441EB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7350" cy="952500"/>
                    </a:xfrm>
                    <a:prstGeom prst="rect">
                      <a:avLst/>
                    </a:prstGeom>
                    <a:noFill/>
                    <a:ln>
                      <a:noFill/>
                    </a:ln>
                  </pic:spPr>
                </pic:pic>
              </a:graphicData>
            </a:graphic>
          </wp:inline>
        </w:drawing>
      </w:r>
    </w:p>
    <w:p w14:paraId="5BBD1DC3" w14:textId="77777777" w:rsidR="002F08EC" w:rsidRDefault="002F08EC" w:rsidP="002F08EC">
      <w:pPr>
        <w:ind w:left="720" w:hanging="360"/>
        <w:jc w:val="center"/>
        <w:rPr>
          <w:rFonts w:ascii="Times New Roman" w:hAnsi="Times New Roman" w:cs="Times New Roman"/>
          <w:b/>
          <w:color w:val="000000" w:themeColor="text1"/>
          <w:sz w:val="36"/>
          <w:szCs w:val="36"/>
        </w:rPr>
      </w:pPr>
    </w:p>
    <w:p w14:paraId="012BBADA" w14:textId="60F01205" w:rsidR="00141B6D" w:rsidRDefault="00141B6D"/>
    <w:p w14:paraId="74F02873" w14:textId="0C3DA4C6" w:rsidR="009025C2" w:rsidRDefault="009025C2"/>
    <w:p w14:paraId="33E6E924" w14:textId="49888C75" w:rsidR="000F2E40" w:rsidRDefault="000F2E40"/>
    <w:p w14:paraId="16813F18" w14:textId="04F53B0F" w:rsidR="000F2E40" w:rsidRDefault="000F2E40"/>
    <w:p w14:paraId="4EE765AC" w14:textId="1B9F897B" w:rsidR="000F2E40" w:rsidRDefault="000F2E40"/>
    <w:p w14:paraId="5269E43D" w14:textId="7C82F916" w:rsidR="00022F4C" w:rsidRDefault="00022F4C"/>
    <w:p w14:paraId="479AAC5D" w14:textId="3877E062" w:rsidR="00022F4C" w:rsidRDefault="00022F4C"/>
    <w:p w14:paraId="69E7E910" w14:textId="7F30ED0B" w:rsidR="00022F4C" w:rsidRDefault="00022F4C"/>
    <w:p w14:paraId="1302C7F8" w14:textId="77777777" w:rsidR="00022F4C" w:rsidRDefault="00022F4C"/>
    <w:p w14:paraId="66E4601D" w14:textId="11ECDFCC" w:rsidR="000F2E40" w:rsidRDefault="000F2E40" w:rsidP="00A84BDB">
      <w:pPr>
        <w:spacing w:after="0" w:line="240" w:lineRule="auto"/>
        <w:jc w:val="both"/>
        <w:rPr>
          <w:rFonts w:ascii="Times New Roman" w:hAnsi="Times New Roman" w:cs="Times New Roman"/>
          <w:b/>
          <w:sz w:val="40"/>
          <w:szCs w:val="40"/>
        </w:rPr>
      </w:pPr>
      <w:r>
        <w:rPr>
          <w:rFonts w:ascii="Times New Roman" w:hAnsi="Times New Roman" w:cs="Times New Roman"/>
          <w:b/>
          <w:sz w:val="40"/>
          <w:szCs w:val="40"/>
        </w:rPr>
        <w:lastRenderedPageBreak/>
        <w:t>Contents</w:t>
      </w:r>
    </w:p>
    <w:sdt>
      <w:sdtPr>
        <w:rPr>
          <w:rFonts w:asciiTheme="minorHAnsi" w:eastAsiaTheme="minorHAnsi" w:hAnsiTheme="minorHAnsi" w:cstheme="minorBidi"/>
          <w:b w:val="0"/>
          <w:color w:val="auto"/>
          <w:sz w:val="22"/>
          <w:szCs w:val="22"/>
          <w:lang w:val="en-GB"/>
        </w:rPr>
        <w:id w:val="370582508"/>
        <w:docPartObj>
          <w:docPartGallery w:val="Table of Contents"/>
          <w:docPartUnique/>
        </w:docPartObj>
      </w:sdtPr>
      <w:sdtEndPr>
        <w:rPr>
          <w:bCs/>
          <w:noProof/>
        </w:rPr>
      </w:sdtEndPr>
      <w:sdtContent>
        <w:p w14:paraId="0B21DCEF" w14:textId="7A6DA231" w:rsidR="00111A76" w:rsidRPr="005540D1" w:rsidRDefault="00111A76">
          <w:pPr>
            <w:pStyle w:val="TOCHeading"/>
            <w:rPr>
              <w:color w:val="auto"/>
            </w:rPr>
          </w:pPr>
        </w:p>
        <w:p w14:paraId="7565DF65" w14:textId="6F10476D" w:rsidR="00111A76" w:rsidRPr="002F7612" w:rsidRDefault="00111A76" w:rsidP="0040181E">
          <w:pPr>
            <w:pStyle w:val="TOC1"/>
            <w:rPr>
              <w:rFonts w:eastAsiaTheme="minorEastAsia"/>
              <w:lang w:eastAsia="en-GB"/>
            </w:rPr>
          </w:pPr>
          <w:r>
            <w:rPr>
              <w:noProof w:val="0"/>
            </w:rPr>
            <w:fldChar w:fldCharType="begin"/>
          </w:r>
          <w:r>
            <w:instrText xml:space="preserve"> TOC \o "1-3" \h \z \u </w:instrText>
          </w:r>
          <w:r>
            <w:rPr>
              <w:noProof w:val="0"/>
            </w:rPr>
            <w:fldChar w:fldCharType="separate"/>
          </w:r>
          <w:hyperlink w:anchor="_Toc67405999" w:history="1">
            <w:r w:rsidRPr="002F7612">
              <w:rPr>
                <w:rStyle w:val="Hyperlink"/>
              </w:rPr>
              <w:t>Executive summary</w:t>
            </w:r>
            <w:r w:rsidRPr="002F7612">
              <w:rPr>
                <w:webHidden/>
              </w:rPr>
              <w:tab/>
            </w:r>
            <w:r w:rsidRPr="00EA76A6">
              <w:rPr>
                <w:webHidden/>
              </w:rPr>
              <w:fldChar w:fldCharType="begin"/>
            </w:r>
            <w:r w:rsidRPr="002F7612">
              <w:rPr>
                <w:webHidden/>
              </w:rPr>
              <w:instrText xml:space="preserve"> PAGEREF _Toc67405999 \h </w:instrText>
            </w:r>
            <w:r w:rsidRPr="00EA76A6">
              <w:rPr>
                <w:webHidden/>
              </w:rPr>
            </w:r>
            <w:r w:rsidRPr="00EA76A6">
              <w:rPr>
                <w:webHidden/>
              </w:rPr>
              <w:fldChar w:fldCharType="separate"/>
            </w:r>
            <w:r w:rsidR="004A78DF">
              <w:rPr>
                <w:webHidden/>
              </w:rPr>
              <w:t>2</w:t>
            </w:r>
            <w:r w:rsidRPr="00EA76A6">
              <w:rPr>
                <w:webHidden/>
              </w:rPr>
              <w:fldChar w:fldCharType="end"/>
            </w:r>
          </w:hyperlink>
        </w:p>
        <w:p w14:paraId="6038108A" w14:textId="4347A540" w:rsidR="00111A76" w:rsidRPr="001F739A" w:rsidRDefault="004A78DF" w:rsidP="0040181E">
          <w:pPr>
            <w:pStyle w:val="TOC1"/>
            <w:rPr>
              <w:rFonts w:eastAsiaTheme="minorEastAsia"/>
              <w:lang w:eastAsia="en-GB"/>
            </w:rPr>
          </w:pPr>
          <w:hyperlink w:anchor="_Toc67406000" w:history="1">
            <w:r w:rsidR="00111A76" w:rsidRPr="001F739A">
              <w:rPr>
                <w:rStyle w:val="Hyperlink"/>
              </w:rPr>
              <w:t>Chapter 1 Introduction</w:t>
            </w:r>
            <w:r w:rsidR="00111A76" w:rsidRPr="001F739A">
              <w:rPr>
                <w:webHidden/>
              </w:rPr>
              <w:tab/>
            </w:r>
            <w:r w:rsidR="00111A76" w:rsidRPr="00EA76A6">
              <w:rPr>
                <w:webHidden/>
              </w:rPr>
              <w:fldChar w:fldCharType="begin"/>
            </w:r>
            <w:r w:rsidR="00111A76" w:rsidRPr="001F739A">
              <w:rPr>
                <w:webHidden/>
              </w:rPr>
              <w:instrText xml:space="preserve"> PAGEREF _Toc67406000 \h </w:instrText>
            </w:r>
            <w:r w:rsidR="00111A76" w:rsidRPr="00EA76A6">
              <w:rPr>
                <w:webHidden/>
              </w:rPr>
            </w:r>
            <w:r w:rsidR="00111A76" w:rsidRPr="00EA76A6">
              <w:rPr>
                <w:webHidden/>
              </w:rPr>
              <w:fldChar w:fldCharType="separate"/>
            </w:r>
            <w:r>
              <w:rPr>
                <w:webHidden/>
              </w:rPr>
              <w:t>8</w:t>
            </w:r>
            <w:r w:rsidR="00111A76" w:rsidRPr="00EA76A6">
              <w:rPr>
                <w:webHidden/>
              </w:rPr>
              <w:fldChar w:fldCharType="end"/>
            </w:r>
          </w:hyperlink>
        </w:p>
        <w:p w14:paraId="61DF58DF" w14:textId="18E3EB7B" w:rsidR="00111A76" w:rsidRPr="001F739A" w:rsidRDefault="004A78DF" w:rsidP="0040181E">
          <w:pPr>
            <w:pStyle w:val="TOC1"/>
            <w:rPr>
              <w:rFonts w:eastAsiaTheme="minorEastAsia"/>
              <w:lang w:eastAsia="en-GB"/>
            </w:rPr>
          </w:pPr>
          <w:hyperlink w:anchor="_Toc67406001" w:history="1">
            <w:r w:rsidR="00111A76" w:rsidRPr="001F739A">
              <w:rPr>
                <w:rStyle w:val="Hyperlink"/>
              </w:rPr>
              <w:t>Chapter 2 How does the mental health and wellbeing of teachers in England compare to other countries?</w:t>
            </w:r>
            <w:r w:rsidR="00111A76" w:rsidRPr="001F739A">
              <w:rPr>
                <w:webHidden/>
              </w:rPr>
              <w:tab/>
            </w:r>
            <w:r w:rsidR="00111A76" w:rsidRPr="00EA76A6">
              <w:rPr>
                <w:webHidden/>
              </w:rPr>
              <w:fldChar w:fldCharType="begin"/>
            </w:r>
            <w:r w:rsidR="00111A76" w:rsidRPr="001F739A">
              <w:rPr>
                <w:webHidden/>
              </w:rPr>
              <w:instrText xml:space="preserve"> PAGEREF _Toc67406001 \h </w:instrText>
            </w:r>
            <w:r w:rsidR="00111A76" w:rsidRPr="00EA76A6">
              <w:rPr>
                <w:webHidden/>
              </w:rPr>
            </w:r>
            <w:r w:rsidR="00111A76" w:rsidRPr="00EA76A6">
              <w:rPr>
                <w:webHidden/>
              </w:rPr>
              <w:fldChar w:fldCharType="separate"/>
            </w:r>
            <w:r>
              <w:rPr>
                <w:webHidden/>
              </w:rPr>
              <w:t>15</w:t>
            </w:r>
            <w:r w:rsidR="00111A76" w:rsidRPr="00EA76A6">
              <w:rPr>
                <w:webHidden/>
              </w:rPr>
              <w:fldChar w:fldCharType="end"/>
            </w:r>
          </w:hyperlink>
        </w:p>
        <w:p w14:paraId="50613B94" w14:textId="39CC88F6" w:rsidR="00111A76" w:rsidRPr="001F739A" w:rsidRDefault="004A78DF" w:rsidP="0040181E">
          <w:pPr>
            <w:pStyle w:val="TOC1"/>
            <w:rPr>
              <w:rFonts w:eastAsiaTheme="minorEastAsia"/>
              <w:lang w:eastAsia="en-GB"/>
            </w:rPr>
          </w:pPr>
          <w:hyperlink w:anchor="_Toc67406002" w:history="1">
            <w:r w:rsidR="00111A76" w:rsidRPr="001F739A">
              <w:rPr>
                <w:rStyle w:val="Hyperlink"/>
              </w:rPr>
              <w:t>Chapter 3 How does the mental health and wellbeing of teachers compare to workers in other professions?</w:t>
            </w:r>
            <w:r w:rsidR="00111A76" w:rsidRPr="001F739A">
              <w:rPr>
                <w:webHidden/>
              </w:rPr>
              <w:tab/>
            </w:r>
            <w:r w:rsidR="00111A76" w:rsidRPr="00EA76A6">
              <w:rPr>
                <w:webHidden/>
              </w:rPr>
              <w:fldChar w:fldCharType="begin"/>
            </w:r>
            <w:r w:rsidR="00111A76" w:rsidRPr="001F739A">
              <w:rPr>
                <w:webHidden/>
              </w:rPr>
              <w:instrText xml:space="preserve"> PAGEREF _Toc67406002 \h </w:instrText>
            </w:r>
            <w:r w:rsidR="00111A76" w:rsidRPr="00EA76A6">
              <w:rPr>
                <w:webHidden/>
              </w:rPr>
            </w:r>
            <w:r w:rsidR="00111A76" w:rsidRPr="00EA76A6">
              <w:rPr>
                <w:webHidden/>
              </w:rPr>
              <w:fldChar w:fldCharType="separate"/>
            </w:r>
            <w:r>
              <w:rPr>
                <w:webHidden/>
              </w:rPr>
              <w:t>29</w:t>
            </w:r>
            <w:r w:rsidR="00111A76" w:rsidRPr="00EA76A6">
              <w:rPr>
                <w:webHidden/>
              </w:rPr>
              <w:fldChar w:fldCharType="end"/>
            </w:r>
          </w:hyperlink>
        </w:p>
        <w:p w14:paraId="12133DE6" w14:textId="38557A07" w:rsidR="00111A76" w:rsidRPr="001F739A" w:rsidRDefault="004A78DF" w:rsidP="0040181E">
          <w:pPr>
            <w:pStyle w:val="TOC1"/>
            <w:rPr>
              <w:rFonts w:eastAsiaTheme="minorEastAsia"/>
              <w:lang w:eastAsia="en-GB"/>
            </w:rPr>
          </w:pPr>
          <w:hyperlink w:anchor="_Toc67406003" w:history="1">
            <w:r w:rsidR="00111A76" w:rsidRPr="001F739A">
              <w:rPr>
                <w:rStyle w:val="Hyperlink"/>
                <w:lang w:eastAsia="en-GB"/>
              </w:rPr>
              <w:t>Chapter 4 Evidence of teacher health using biomarker data</w:t>
            </w:r>
            <w:r w:rsidR="00111A76" w:rsidRPr="001F739A">
              <w:rPr>
                <w:webHidden/>
              </w:rPr>
              <w:tab/>
            </w:r>
            <w:r w:rsidR="00111A76" w:rsidRPr="00EA76A6">
              <w:rPr>
                <w:webHidden/>
              </w:rPr>
              <w:fldChar w:fldCharType="begin"/>
            </w:r>
            <w:r w:rsidR="00111A76" w:rsidRPr="001F739A">
              <w:rPr>
                <w:webHidden/>
              </w:rPr>
              <w:instrText xml:space="preserve"> PAGEREF _Toc67406003 \h </w:instrText>
            </w:r>
            <w:r w:rsidR="00111A76" w:rsidRPr="00EA76A6">
              <w:rPr>
                <w:webHidden/>
              </w:rPr>
            </w:r>
            <w:r w:rsidR="00111A76" w:rsidRPr="00EA76A6">
              <w:rPr>
                <w:webHidden/>
              </w:rPr>
              <w:fldChar w:fldCharType="separate"/>
            </w:r>
            <w:r>
              <w:rPr>
                <w:webHidden/>
              </w:rPr>
              <w:t>45</w:t>
            </w:r>
            <w:r w:rsidR="00111A76" w:rsidRPr="00EA76A6">
              <w:rPr>
                <w:webHidden/>
              </w:rPr>
              <w:fldChar w:fldCharType="end"/>
            </w:r>
          </w:hyperlink>
        </w:p>
        <w:p w14:paraId="073A686A" w14:textId="5C1BD208" w:rsidR="00111A76" w:rsidRPr="001F739A" w:rsidRDefault="004A78DF" w:rsidP="0040181E">
          <w:pPr>
            <w:pStyle w:val="TOC1"/>
            <w:rPr>
              <w:rFonts w:eastAsiaTheme="minorEastAsia"/>
              <w:lang w:eastAsia="en-GB"/>
            </w:rPr>
          </w:pPr>
          <w:hyperlink w:anchor="_Toc67406005" w:history="1">
            <w:r w:rsidR="00111A76" w:rsidRPr="001F739A">
              <w:rPr>
                <w:rStyle w:val="Hyperlink"/>
              </w:rPr>
              <w:t>Chapter 5 Has the mental health and wellbeing of teachers in England improved or declined over time?</w:t>
            </w:r>
            <w:r w:rsidR="00111A76" w:rsidRPr="001F739A">
              <w:rPr>
                <w:webHidden/>
              </w:rPr>
              <w:tab/>
            </w:r>
            <w:r w:rsidR="00111A76" w:rsidRPr="00EA76A6">
              <w:rPr>
                <w:webHidden/>
              </w:rPr>
              <w:fldChar w:fldCharType="begin"/>
            </w:r>
            <w:r w:rsidR="00111A76" w:rsidRPr="001F739A">
              <w:rPr>
                <w:webHidden/>
              </w:rPr>
              <w:instrText xml:space="preserve"> PAGEREF _Toc67406005 \h </w:instrText>
            </w:r>
            <w:r w:rsidR="00111A76" w:rsidRPr="00EA76A6">
              <w:rPr>
                <w:webHidden/>
              </w:rPr>
            </w:r>
            <w:r w:rsidR="00111A76" w:rsidRPr="00EA76A6">
              <w:rPr>
                <w:webHidden/>
              </w:rPr>
              <w:fldChar w:fldCharType="separate"/>
            </w:r>
            <w:r>
              <w:rPr>
                <w:webHidden/>
              </w:rPr>
              <w:t>50</w:t>
            </w:r>
            <w:r w:rsidR="00111A76" w:rsidRPr="00EA76A6">
              <w:rPr>
                <w:webHidden/>
              </w:rPr>
              <w:fldChar w:fldCharType="end"/>
            </w:r>
          </w:hyperlink>
        </w:p>
        <w:p w14:paraId="66C46566" w14:textId="0EC570DF" w:rsidR="00111A76" w:rsidRPr="001F739A" w:rsidRDefault="004A78DF" w:rsidP="0040181E">
          <w:pPr>
            <w:pStyle w:val="TOC1"/>
            <w:rPr>
              <w:rFonts w:eastAsiaTheme="minorEastAsia"/>
              <w:lang w:eastAsia="en-GB"/>
            </w:rPr>
          </w:pPr>
          <w:hyperlink w:anchor="_Toc67406006" w:history="1">
            <w:r w:rsidR="00111A76" w:rsidRPr="001F739A">
              <w:rPr>
                <w:rStyle w:val="Hyperlink"/>
                <w:lang w:eastAsia="en-GB"/>
              </w:rPr>
              <w:t>Chapter 6 How does unhappiness and anxiety amongst teachers in England vary over the academic year?</w:t>
            </w:r>
            <w:r w:rsidR="00111A76" w:rsidRPr="001F739A">
              <w:rPr>
                <w:webHidden/>
              </w:rPr>
              <w:tab/>
            </w:r>
            <w:r w:rsidR="00111A76" w:rsidRPr="00EA76A6">
              <w:rPr>
                <w:webHidden/>
              </w:rPr>
              <w:fldChar w:fldCharType="begin"/>
            </w:r>
            <w:r w:rsidR="00111A76" w:rsidRPr="001F739A">
              <w:rPr>
                <w:webHidden/>
              </w:rPr>
              <w:instrText xml:space="preserve"> PAGEREF _Toc67406006 \h </w:instrText>
            </w:r>
            <w:r w:rsidR="00111A76" w:rsidRPr="00EA76A6">
              <w:rPr>
                <w:webHidden/>
              </w:rPr>
            </w:r>
            <w:r w:rsidR="00111A76" w:rsidRPr="00EA76A6">
              <w:rPr>
                <w:webHidden/>
              </w:rPr>
              <w:fldChar w:fldCharType="separate"/>
            </w:r>
            <w:r>
              <w:rPr>
                <w:webHidden/>
              </w:rPr>
              <w:t>62</w:t>
            </w:r>
            <w:r w:rsidR="00111A76" w:rsidRPr="00EA76A6">
              <w:rPr>
                <w:webHidden/>
              </w:rPr>
              <w:fldChar w:fldCharType="end"/>
            </w:r>
          </w:hyperlink>
        </w:p>
        <w:p w14:paraId="1772F16B" w14:textId="42DDC27E" w:rsidR="00111A76" w:rsidRPr="001F739A" w:rsidRDefault="004A78DF" w:rsidP="0040181E">
          <w:pPr>
            <w:pStyle w:val="TOC1"/>
            <w:rPr>
              <w:rFonts w:eastAsiaTheme="minorEastAsia"/>
              <w:lang w:eastAsia="en-GB"/>
            </w:rPr>
          </w:pPr>
          <w:hyperlink w:anchor="_Toc67406007" w:history="1">
            <w:r w:rsidR="00111A76" w:rsidRPr="001F739A">
              <w:rPr>
                <w:rStyle w:val="Hyperlink"/>
              </w:rPr>
              <w:t>Chapter 7 The wellbeing and lifestyles of recently qualified teachers</w:t>
            </w:r>
            <w:r w:rsidR="00111A76" w:rsidRPr="001F739A">
              <w:rPr>
                <w:webHidden/>
              </w:rPr>
              <w:tab/>
            </w:r>
            <w:r w:rsidR="00111A76" w:rsidRPr="00EA76A6">
              <w:rPr>
                <w:webHidden/>
              </w:rPr>
              <w:fldChar w:fldCharType="begin"/>
            </w:r>
            <w:r w:rsidR="00111A76" w:rsidRPr="001F739A">
              <w:rPr>
                <w:webHidden/>
              </w:rPr>
              <w:instrText xml:space="preserve"> PAGEREF _Toc67406007 \h </w:instrText>
            </w:r>
            <w:r w:rsidR="00111A76" w:rsidRPr="00EA76A6">
              <w:rPr>
                <w:webHidden/>
              </w:rPr>
            </w:r>
            <w:r w:rsidR="00111A76" w:rsidRPr="00EA76A6">
              <w:rPr>
                <w:webHidden/>
              </w:rPr>
              <w:fldChar w:fldCharType="separate"/>
            </w:r>
            <w:r>
              <w:rPr>
                <w:webHidden/>
              </w:rPr>
              <w:t>68</w:t>
            </w:r>
            <w:r w:rsidR="00111A76" w:rsidRPr="00EA76A6">
              <w:rPr>
                <w:webHidden/>
              </w:rPr>
              <w:fldChar w:fldCharType="end"/>
            </w:r>
          </w:hyperlink>
        </w:p>
        <w:p w14:paraId="2FA456E9" w14:textId="214BDF24" w:rsidR="00111A76" w:rsidRPr="001F739A" w:rsidRDefault="004A78DF" w:rsidP="0040181E">
          <w:pPr>
            <w:pStyle w:val="TOC1"/>
            <w:rPr>
              <w:rFonts w:eastAsiaTheme="minorEastAsia"/>
              <w:lang w:eastAsia="en-GB"/>
            </w:rPr>
          </w:pPr>
          <w:hyperlink w:anchor="_Toc67406008" w:history="1">
            <w:r w:rsidR="00111A76" w:rsidRPr="001F739A">
              <w:rPr>
                <w:rStyle w:val="Hyperlink"/>
              </w:rPr>
              <w:t xml:space="preserve">Chapter 8 </w:t>
            </w:r>
            <w:r w:rsidR="00111A76" w:rsidRPr="001F739A">
              <w:rPr>
                <w:rStyle w:val="Hyperlink"/>
                <w:lang w:eastAsia="en-GB"/>
              </w:rPr>
              <w:t>Is there an association between leaving teaching and improvements in mental health?</w:t>
            </w:r>
            <w:r w:rsidR="00111A76" w:rsidRPr="001F739A">
              <w:rPr>
                <w:webHidden/>
              </w:rPr>
              <w:tab/>
            </w:r>
            <w:r w:rsidR="00111A76" w:rsidRPr="00EA76A6">
              <w:rPr>
                <w:webHidden/>
              </w:rPr>
              <w:fldChar w:fldCharType="begin"/>
            </w:r>
            <w:r w:rsidR="00111A76" w:rsidRPr="001F739A">
              <w:rPr>
                <w:webHidden/>
              </w:rPr>
              <w:instrText xml:space="preserve"> PAGEREF _Toc67406008 \h </w:instrText>
            </w:r>
            <w:r w:rsidR="00111A76" w:rsidRPr="00EA76A6">
              <w:rPr>
                <w:webHidden/>
              </w:rPr>
            </w:r>
            <w:r w:rsidR="00111A76" w:rsidRPr="00EA76A6">
              <w:rPr>
                <w:webHidden/>
              </w:rPr>
              <w:fldChar w:fldCharType="separate"/>
            </w:r>
            <w:r>
              <w:rPr>
                <w:webHidden/>
              </w:rPr>
              <w:t>78</w:t>
            </w:r>
            <w:r w:rsidR="00111A76" w:rsidRPr="00EA76A6">
              <w:rPr>
                <w:webHidden/>
              </w:rPr>
              <w:fldChar w:fldCharType="end"/>
            </w:r>
          </w:hyperlink>
        </w:p>
        <w:p w14:paraId="09804E2D" w14:textId="2C59C727" w:rsidR="00111A76" w:rsidRPr="001F739A" w:rsidRDefault="004A78DF" w:rsidP="0040181E">
          <w:pPr>
            <w:pStyle w:val="TOC1"/>
            <w:rPr>
              <w:rFonts w:eastAsiaTheme="minorEastAsia"/>
              <w:lang w:eastAsia="en-GB"/>
            </w:rPr>
          </w:pPr>
          <w:hyperlink w:anchor="_Toc67406009" w:history="1">
            <w:r w:rsidR="00111A76" w:rsidRPr="001F739A">
              <w:rPr>
                <w:rStyle w:val="Hyperlink"/>
              </w:rPr>
              <w:t xml:space="preserve">Chapter 9 </w:t>
            </w:r>
            <w:r w:rsidR="00111A76" w:rsidRPr="001F739A">
              <w:rPr>
                <w:rStyle w:val="Hyperlink"/>
                <w:lang w:eastAsia="en-GB"/>
              </w:rPr>
              <w:t>New evidence on teachers’ hours of work</w:t>
            </w:r>
            <w:r w:rsidR="00111A76" w:rsidRPr="001F739A">
              <w:rPr>
                <w:webHidden/>
              </w:rPr>
              <w:tab/>
            </w:r>
            <w:r w:rsidR="00111A76" w:rsidRPr="00EA76A6">
              <w:rPr>
                <w:webHidden/>
              </w:rPr>
              <w:fldChar w:fldCharType="begin"/>
            </w:r>
            <w:r w:rsidR="00111A76" w:rsidRPr="001F739A">
              <w:rPr>
                <w:webHidden/>
              </w:rPr>
              <w:instrText xml:space="preserve"> PAGEREF _Toc67406009 \h </w:instrText>
            </w:r>
            <w:r w:rsidR="00111A76" w:rsidRPr="00EA76A6">
              <w:rPr>
                <w:webHidden/>
              </w:rPr>
            </w:r>
            <w:r w:rsidR="00111A76" w:rsidRPr="00EA76A6">
              <w:rPr>
                <w:webHidden/>
              </w:rPr>
              <w:fldChar w:fldCharType="separate"/>
            </w:r>
            <w:r>
              <w:rPr>
                <w:webHidden/>
              </w:rPr>
              <w:t>86</w:t>
            </w:r>
            <w:r w:rsidR="00111A76" w:rsidRPr="00EA76A6">
              <w:rPr>
                <w:webHidden/>
              </w:rPr>
              <w:fldChar w:fldCharType="end"/>
            </w:r>
          </w:hyperlink>
        </w:p>
        <w:p w14:paraId="1A43D22B" w14:textId="47C0A906" w:rsidR="00111A76" w:rsidRPr="001F739A" w:rsidRDefault="004A78DF" w:rsidP="0040181E">
          <w:pPr>
            <w:pStyle w:val="TOC1"/>
            <w:rPr>
              <w:rFonts w:eastAsiaTheme="minorEastAsia"/>
              <w:lang w:eastAsia="en-GB"/>
            </w:rPr>
          </w:pPr>
          <w:hyperlink w:anchor="_Toc67406017" w:history="1">
            <w:r w:rsidR="00111A76" w:rsidRPr="001F739A">
              <w:rPr>
                <w:rStyle w:val="Hyperlink"/>
                <w:lang w:eastAsia="en-GB"/>
              </w:rPr>
              <w:t>Chapter 10 The link between teacher workload and wellbeing</w:t>
            </w:r>
            <w:r w:rsidR="00111A76" w:rsidRPr="001F739A">
              <w:rPr>
                <w:webHidden/>
              </w:rPr>
              <w:tab/>
            </w:r>
            <w:r w:rsidR="00111A76" w:rsidRPr="00EA76A6">
              <w:rPr>
                <w:webHidden/>
              </w:rPr>
              <w:fldChar w:fldCharType="begin"/>
            </w:r>
            <w:r w:rsidR="00111A76" w:rsidRPr="001F739A">
              <w:rPr>
                <w:webHidden/>
              </w:rPr>
              <w:instrText xml:space="preserve"> PAGEREF _Toc67406017 \h </w:instrText>
            </w:r>
            <w:r w:rsidR="00111A76" w:rsidRPr="00EA76A6">
              <w:rPr>
                <w:webHidden/>
              </w:rPr>
            </w:r>
            <w:r w:rsidR="00111A76" w:rsidRPr="00EA76A6">
              <w:rPr>
                <w:webHidden/>
              </w:rPr>
              <w:fldChar w:fldCharType="separate"/>
            </w:r>
            <w:r>
              <w:rPr>
                <w:webHidden/>
              </w:rPr>
              <w:t>98</w:t>
            </w:r>
            <w:r w:rsidR="00111A76" w:rsidRPr="00EA76A6">
              <w:rPr>
                <w:webHidden/>
              </w:rPr>
              <w:fldChar w:fldCharType="end"/>
            </w:r>
          </w:hyperlink>
        </w:p>
        <w:p w14:paraId="36E2697A" w14:textId="231D47EC" w:rsidR="00111A76" w:rsidRPr="001F739A" w:rsidRDefault="004A78DF" w:rsidP="0040181E">
          <w:pPr>
            <w:pStyle w:val="TOC1"/>
            <w:rPr>
              <w:rFonts w:eastAsiaTheme="minorEastAsia"/>
              <w:lang w:eastAsia="en-GB"/>
            </w:rPr>
          </w:pPr>
          <w:hyperlink w:anchor="_Toc67406018" w:history="1">
            <w:r w:rsidR="00111A76" w:rsidRPr="001F739A">
              <w:rPr>
                <w:rStyle w:val="Hyperlink"/>
                <w:lang w:eastAsia="en-GB"/>
              </w:rPr>
              <w:t>Chapter 11 School accountability and teacher stress International evidence from the OECD TALIS study</w:t>
            </w:r>
            <w:r w:rsidR="00111A76" w:rsidRPr="001F739A">
              <w:rPr>
                <w:webHidden/>
              </w:rPr>
              <w:tab/>
            </w:r>
            <w:r w:rsidR="00111A76" w:rsidRPr="00EA76A6">
              <w:rPr>
                <w:webHidden/>
              </w:rPr>
              <w:fldChar w:fldCharType="begin"/>
            </w:r>
            <w:r w:rsidR="00111A76" w:rsidRPr="001F739A">
              <w:rPr>
                <w:webHidden/>
              </w:rPr>
              <w:instrText xml:space="preserve"> PAGEREF _Toc67406018 \h </w:instrText>
            </w:r>
            <w:r w:rsidR="00111A76" w:rsidRPr="00EA76A6">
              <w:rPr>
                <w:webHidden/>
              </w:rPr>
            </w:r>
            <w:r w:rsidR="00111A76" w:rsidRPr="00EA76A6">
              <w:rPr>
                <w:webHidden/>
              </w:rPr>
              <w:fldChar w:fldCharType="separate"/>
            </w:r>
            <w:r>
              <w:rPr>
                <w:webHidden/>
              </w:rPr>
              <w:t>109</w:t>
            </w:r>
            <w:r w:rsidR="00111A76" w:rsidRPr="00EA76A6">
              <w:rPr>
                <w:webHidden/>
              </w:rPr>
              <w:fldChar w:fldCharType="end"/>
            </w:r>
          </w:hyperlink>
        </w:p>
        <w:p w14:paraId="15A46FE2" w14:textId="4958B42E" w:rsidR="00111A76" w:rsidRPr="001F739A" w:rsidRDefault="004A78DF" w:rsidP="0040181E">
          <w:pPr>
            <w:pStyle w:val="TOC1"/>
            <w:rPr>
              <w:rFonts w:eastAsiaTheme="minorEastAsia"/>
              <w:lang w:eastAsia="en-GB"/>
            </w:rPr>
          </w:pPr>
          <w:hyperlink w:anchor="_Toc67406019" w:history="1">
            <w:r w:rsidR="00111A76" w:rsidRPr="001F739A">
              <w:rPr>
                <w:rStyle w:val="Hyperlink"/>
                <w:lang w:eastAsia="en-GB"/>
              </w:rPr>
              <w:t>Chapter 12 The link between the school working environment and teachers’ job satisfaction, stress and exit from the profession?</w:t>
            </w:r>
            <w:r w:rsidR="00111A76" w:rsidRPr="001F739A">
              <w:rPr>
                <w:webHidden/>
              </w:rPr>
              <w:tab/>
            </w:r>
            <w:r w:rsidR="00111A76" w:rsidRPr="00EA76A6">
              <w:rPr>
                <w:webHidden/>
              </w:rPr>
              <w:fldChar w:fldCharType="begin"/>
            </w:r>
            <w:r w:rsidR="00111A76" w:rsidRPr="001F739A">
              <w:rPr>
                <w:webHidden/>
              </w:rPr>
              <w:instrText xml:space="preserve"> PAGEREF _Toc67406019 \h </w:instrText>
            </w:r>
            <w:r w:rsidR="00111A76" w:rsidRPr="00EA76A6">
              <w:rPr>
                <w:webHidden/>
              </w:rPr>
            </w:r>
            <w:r w:rsidR="00111A76" w:rsidRPr="00EA76A6">
              <w:rPr>
                <w:webHidden/>
              </w:rPr>
              <w:fldChar w:fldCharType="separate"/>
            </w:r>
            <w:r>
              <w:rPr>
                <w:webHidden/>
              </w:rPr>
              <w:t>122</w:t>
            </w:r>
            <w:r w:rsidR="00111A76" w:rsidRPr="00EA76A6">
              <w:rPr>
                <w:webHidden/>
              </w:rPr>
              <w:fldChar w:fldCharType="end"/>
            </w:r>
          </w:hyperlink>
        </w:p>
        <w:p w14:paraId="6064F86F" w14:textId="41D9EC90" w:rsidR="00111A76" w:rsidRPr="001F739A" w:rsidRDefault="004A78DF" w:rsidP="0040181E">
          <w:pPr>
            <w:pStyle w:val="TOC1"/>
            <w:rPr>
              <w:rFonts w:eastAsiaTheme="minorEastAsia"/>
              <w:lang w:eastAsia="en-GB"/>
            </w:rPr>
          </w:pPr>
          <w:hyperlink w:anchor="_Toc67406022" w:history="1">
            <w:r w:rsidR="00111A76" w:rsidRPr="001F739A">
              <w:rPr>
                <w:rStyle w:val="Hyperlink"/>
                <w:lang w:eastAsia="en-GB"/>
              </w:rPr>
              <w:t>Chapter 13 How did the early stages of the Covid-19 pandemic affect teacher wellbeing?</w:t>
            </w:r>
            <w:r w:rsidR="00111A76" w:rsidRPr="001F739A">
              <w:rPr>
                <w:webHidden/>
              </w:rPr>
              <w:tab/>
            </w:r>
            <w:r w:rsidR="00111A76" w:rsidRPr="00EA76A6">
              <w:rPr>
                <w:webHidden/>
              </w:rPr>
              <w:fldChar w:fldCharType="begin"/>
            </w:r>
            <w:r w:rsidR="00111A76" w:rsidRPr="001F739A">
              <w:rPr>
                <w:webHidden/>
              </w:rPr>
              <w:instrText xml:space="preserve"> PAGEREF _Toc67406022 \h </w:instrText>
            </w:r>
            <w:r w:rsidR="00111A76" w:rsidRPr="00EA76A6">
              <w:rPr>
                <w:webHidden/>
              </w:rPr>
            </w:r>
            <w:r w:rsidR="00111A76" w:rsidRPr="00EA76A6">
              <w:rPr>
                <w:webHidden/>
              </w:rPr>
              <w:fldChar w:fldCharType="separate"/>
            </w:r>
            <w:r>
              <w:rPr>
                <w:webHidden/>
              </w:rPr>
              <w:t>130</w:t>
            </w:r>
            <w:r w:rsidR="00111A76" w:rsidRPr="00EA76A6">
              <w:rPr>
                <w:webHidden/>
              </w:rPr>
              <w:fldChar w:fldCharType="end"/>
            </w:r>
          </w:hyperlink>
        </w:p>
        <w:p w14:paraId="1C9B912B" w14:textId="3F02630C" w:rsidR="00111A76" w:rsidRPr="001F739A" w:rsidRDefault="004A78DF" w:rsidP="0040181E">
          <w:pPr>
            <w:pStyle w:val="TOC1"/>
            <w:rPr>
              <w:rFonts w:eastAsiaTheme="minorEastAsia"/>
              <w:lang w:eastAsia="en-GB"/>
            </w:rPr>
          </w:pPr>
          <w:hyperlink w:anchor="_Toc67406023" w:history="1">
            <w:r w:rsidR="00111A76" w:rsidRPr="001F739A">
              <w:rPr>
                <w:rStyle w:val="Hyperlink"/>
                <w:lang w:eastAsia="en-GB"/>
              </w:rPr>
              <w:t>Chapter 14 Conclusions</w:t>
            </w:r>
            <w:r w:rsidR="00111A76" w:rsidRPr="001F739A">
              <w:rPr>
                <w:webHidden/>
              </w:rPr>
              <w:tab/>
            </w:r>
            <w:r w:rsidR="00111A76" w:rsidRPr="00EA76A6">
              <w:rPr>
                <w:webHidden/>
              </w:rPr>
              <w:fldChar w:fldCharType="begin"/>
            </w:r>
            <w:r w:rsidR="00111A76" w:rsidRPr="001F739A">
              <w:rPr>
                <w:webHidden/>
              </w:rPr>
              <w:instrText xml:space="preserve"> PAGEREF _Toc67406023 \h </w:instrText>
            </w:r>
            <w:r w:rsidR="00111A76" w:rsidRPr="00EA76A6">
              <w:rPr>
                <w:webHidden/>
              </w:rPr>
            </w:r>
            <w:r w:rsidR="00111A76" w:rsidRPr="00EA76A6">
              <w:rPr>
                <w:webHidden/>
              </w:rPr>
              <w:fldChar w:fldCharType="separate"/>
            </w:r>
            <w:r>
              <w:rPr>
                <w:webHidden/>
              </w:rPr>
              <w:t>144</w:t>
            </w:r>
            <w:r w:rsidR="00111A76" w:rsidRPr="00EA76A6">
              <w:rPr>
                <w:webHidden/>
              </w:rPr>
              <w:fldChar w:fldCharType="end"/>
            </w:r>
          </w:hyperlink>
        </w:p>
        <w:p w14:paraId="03A96850" w14:textId="332FD427" w:rsidR="00111A76" w:rsidRPr="001F739A" w:rsidRDefault="004A78DF" w:rsidP="0040181E">
          <w:pPr>
            <w:pStyle w:val="TOC1"/>
            <w:rPr>
              <w:rFonts w:eastAsiaTheme="minorEastAsia"/>
              <w:lang w:eastAsia="en-GB"/>
            </w:rPr>
          </w:pPr>
          <w:hyperlink w:anchor="_Toc67406024" w:history="1">
            <w:r w:rsidR="00111A76" w:rsidRPr="001F739A">
              <w:rPr>
                <w:rStyle w:val="Hyperlink"/>
              </w:rPr>
              <w:t>References</w:t>
            </w:r>
            <w:r w:rsidR="00111A76" w:rsidRPr="001F739A">
              <w:rPr>
                <w:webHidden/>
              </w:rPr>
              <w:tab/>
            </w:r>
            <w:r w:rsidR="00111A76" w:rsidRPr="00EA76A6">
              <w:rPr>
                <w:webHidden/>
              </w:rPr>
              <w:fldChar w:fldCharType="begin"/>
            </w:r>
            <w:r w:rsidR="00111A76" w:rsidRPr="001F739A">
              <w:rPr>
                <w:webHidden/>
              </w:rPr>
              <w:instrText xml:space="preserve"> PAGEREF _Toc67406024 \h </w:instrText>
            </w:r>
            <w:r w:rsidR="00111A76" w:rsidRPr="00EA76A6">
              <w:rPr>
                <w:webHidden/>
              </w:rPr>
            </w:r>
            <w:r w:rsidR="00111A76" w:rsidRPr="00EA76A6">
              <w:rPr>
                <w:webHidden/>
              </w:rPr>
              <w:fldChar w:fldCharType="separate"/>
            </w:r>
            <w:r>
              <w:rPr>
                <w:webHidden/>
              </w:rPr>
              <w:t>153</w:t>
            </w:r>
            <w:r w:rsidR="00111A76" w:rsidRPr="00EA76A6">
              <w:rPr>
                <w:webHidden/>
              </w:rPr>
              <w:fldChar w:fldCharType="end"/>
            </w:r>
          </w:hyperlink>
        </w:p>
        <w:p w14:paraId="2D257060" w14:textId="5E2BEFDF" w:rsidR="00111A76" w:rsidRDefault="00111A76">
          <w:r>
            <w:rPr>
              <w:b/>
              <w:bCs/>
              <w:noProof/>
            </w:rPr>
            <w:fldChar w:fldCharType="end"/>
          </w:r>
        </w:p>
      </w:sdtContent>
    </w:sdt>
    <w:p w14:paraId="3CE66A60" w14:textId="77777777" w:rsidR="009039C0" w:rsidRPr="00320113" w:rsidRDefault="009039C0" w:rsidP="00EF4E76">
      <w:pPr>
        <w:jc w:val="both"/>
        <w:rPr>
          <w:rFonts w:ascii="Times New Roman" w:hAnsi="Times New Roman" w:cs="Times New Roman"/>
          <w:sz w:val="24"/>
          <w:szCs w:val="24"/>
          <w:lang w:eastAsia="en-GB"/>
        </w:rPr>
      </w:pPr>
    </w:p>
    <w:p w14:paraId="3AF4A74F" w14:textId="77777777" w:rsidR="00EF4E76" w:rsidRDefault="00EF4E76" w:rsidP="00EF4E76">
      <w:pPr>
        <w:jc w:val="both"/>
        <w:rPr>
          <w:rFonts w:ascii="Times New Roman" w:hAnsi="Times New Roman" w:cs="Times New Roman"/>
          <w:sz w:val="24"/>
          <w:szCs w:val="24"/>
          <w:lang w:eastAsia="en-GB"/>
        </w:rPr>
      </w:pPr>
    </w:p>
    <w:p w14:paraId="6CC0F9B2" w14:textId="09EC753B" w:rsidR="00EF4E76" w:rsidRDefault="00EF4E76" w:rsidP="00EF4E76">
      <w:pPr>
        <w:jc w:val="both"/>
        <w:rPr>
          <w:rFonts w:ascii="Times New Roman" w:hAnsi="Times New Roman" w:cs="Times New Roman"/>
          <w:sz w:val="24"/>
          <w:szCs w:val="24"/>
          <w:lang w:eastAsia="en-GB"/>
        </w:rPr>
      </w:pPr>
    </w:p>
    <w:p w14:paraId="4F5A2157" w14:textId="69C5402B" w:rsidR="00EF4E76" w:rsidRDefault="00EF4E76" w:rsidP="00EF4E76">
      <w:pPr>
        <w:jc w:val="both"/>
        <w:rPr>
          <w:rFonts w:ascii="Times New Roman" w:hAnsi="Times New Roman" w:cs="Times New Roman"/>
          <w:sz w:val="24"/>
          <w:szCs w:val="24"/>
          <w:lang w:eastAsia="en-GB"/>
        </w:rPr>
      </w:pPr>
    </w:p>
    <w:p w14:paraId="4F3BA6BC" w14:textId="0F231466" w:rsidR="00EF4E76" w:rsidRDefault="00EF4E76" w:rsidP="00EF4E76">
      <w:pPr>
        <w:jc w:val="both"/>
        <w:rPr>
          <w:rFonts w:ascii="Times New Roman" w:hAnsi="Times New Roman" w:cs="Times New Roman"/>
          <w:sz w:val="24"/>
          <w:szCs w:val="24"/>
          <w:lang w:eastAsia="en-GB"/>
        </w:rPr>
      </w:pPr>
    </w:p>
    <w:p w14:paraId="4FD2579C" w14:textId="4D1D20F5" w:rsidR="00EF4E76" w:rsidRDefault="00EF4E76" w:rsidP="00EF4E76">
      <w:pPr>
        <w:jc w:val="both"/>
        <w:rPr>
          <w:rFonts w:ascii="Times New Roman" w:hAnsi="Times New Roman" w:cs="Times New Roman"/>
          <w:sz w:val="24"/>
          <w:szCs w:val="24"/>
          <w:lang w:eastAsia="en-GB"/>
        </w:rPr>
      </w:pPr>
    </w:p>
    <w:p w14:paraId="718636AF" w14:textId="1DC47C86" w:rsidR="00EF4E76" w:rsidRDefault="00EF4E76" w:rsidP="00EF4E76">
      <w:pPr>
        <w:jc w:val="both"/>
        <w:rPr>
          <w:rFonts w:ascii="Times New Roman" w:hAnsi="Times New Roman" w:cs="Times New Roman"/>
          <w:sz w:val="24"/>
          <w:szCs w:val="24"/>
          <w:lang w:eastAsia="en-GB"/>
        </w:rPr>
      </w:pPr>
    </w:p>
    <w:p w14:paraId="15E9D7D4" w14:textId="185F618B" w:rsidR="00EF4E76" w:rsidRDefault="00EF4E76" w:rsidP="00EF4E76">
      <w:pPr>
        <w:jc w:val="both"/>
        <w:rPr>
          <w:rFonts w:ascii="Times New Roman" w:hAnsi="Times New Roman" w:cs="Times New Roman"/>
          <w:sz w:val="24"/>
          <w:szCs w:val="24"/>
          <w:lang w:eastAsia="en-GB"/>
        </w:rPr>
      </w:pPr>
    </w:p>
    <w:p w14:paraId="0AE1264D" w14:textId="4B59CB16" w:rsidR="00EF4E76" w:rsidRPr="00EF4E76" w:rsidRDefault="00EF4E76" w:rsidP="00EF4E76">
      <w:pPr>
        <w:jc w:val="both"/>
        <w:rPr>
          <w:rFonts w:ascii="Times New Roman" w:hAnsi="Times New Roman" w:cs="Times New Roman"/>
          <w:sz w:val="24"/>
          <w:szCs w:val="24"/>
        </w:rPr>
      </w:pPr>
    </w:p>
    <w:p w14:paraId="6E1A93A9" w14:textId="3C052DBB" w:rsidR="008B1591" w:rsidRDefault="009025C2" w:rsidP="001E0132">
      <w:pPr>
        <w:pStyle w:val="Heading1UCL"/>
      </w:pPr>
      <w:bookmarkStart w:id="1" w:name="_Toc67406000"/>
      <w:r w:rsidRPr="008B1591">
        <w:lastRenderedPageBreak/>
        <w:t>Chapter 1 Introduction</w:t>
      </w:r>
      <w:bookmarkEnd w:id="1"/>
    </w:p>
    <w:p w14:paraId="2DB83D32" w14:textId="77777777" w:rsidR="001715C7" w:rsidRPr="008B1591" w:rsidRDefault="001715C7" w:rsidP="008B4E20">
      <w:pPr>
        <w:pStyle w:val="Heading1UCL"/>
      </w:pPr>
    </w:p>
    <w:p w14:paraId="08CB9C99" w14:textId="77777777" w:rsidR="009025C2" w:rsidRDefault="009025C2" w:rsidP="00697230">
      <w:pPr>
        <w:pStyle w:val="ListParagraph"/>
        <w:numPr>
          <w:ilvl w:val="1"/>
          <w:numId w:val="2"/>
        </w:numPr>
        <w:spacing w:line="360" w:lineRule="auto"/>
        <w:jc w:val="both"/>
        <w:rPr>
          <w:rFonts w:ascii="Times New Roman" w:hAnsi="Times New Roman" w:cs="Times New Roman"/>
          <w:b/>
          <w:sz w:val="24"/>
          <w:szCs w:val="24"/>
        </w:rPr>
      </w:pPr>
      <w:r w:rsidRPr="004D39F3">
        <w:rPr>
          <w:rFonts w:ascii="Times New Roman" w:hAnsi="Times New Roman" w:cs="Times New Roman"/>
          <w:b/>
          <w:sz w:val="24"/>
          <w:szCs w:val="24"/>
        </w:rPr>
        <w:t>Overview</w:t>
      </w:r>
    </w:p>
    <w:p w14:paraId="06435142" w14:textId="32F28AB9" w:rsidR="009025C2" w:rsidRPr="00F33BFF" w:rsidRDefault="009025C2" w:rsidP="009025C2">
      <w:pPr>
        <w:spacing w:line="360" w:lineRule="auto"/>
        <w:jc w:val="both"/>
        <w:rPr>
          <w:rFonts w:ascii="Times New Roman" w:hAnsi="Times New Roman" w:cs="Times New Roman"/>
          <w:sz w:val="24"/>
          <w:szCs w:val="24"/>
        </w:rPr>
      </w:pPr>
      <w:r w:rsidRPr="00F33BFF">
        <w:rPr>
          <w:rFonts w:ascii="Times New Roman" w:hAnsi="Times New Roman" w:cs="Times New Roman"/>
          <w:sz w:val="24"/>
          <w:szCs w:val="24"/>
        </w:rPr>
        <w:t>Over the last decade there has been renewed academic and public policy interest in wellbeing and mental health. This has coincided with a notable increase in reported mental health problems across the UK, including the proportion of individuals taking prescription medicines for illnesses such as anxiety and depression (</w:t>
      </w:r>
      <w:proofErr w:type="spellStart"/>
      <w:r w:rsidRPr="00F33BFF">
        <w:rPr>
          <w:rFonts w:ascii="Times New Roman" w:hAnsi="Times New Roman" w:cs="Times New Roman"/>
          <w:color w:val="000000" w:themeColor="text1"/>
          <w:sz w:val="24"/>
          <w:szCs w:val="24"/>
        </w:rPr>
        <w:t>Iacobucci</w:t>
      </w:r>
      <w:proofErr w:type="spellEnd"/>
      <w:r w:rsidR="009E6966">
        <w:rPr>
          <w:rFonts w:ascii="Times New Roman" w:hAnsi="Times New Roman" w:cs="Times New Roman"/>
          <w:color w:val="000000" w:themeColor="text1"/>
          <w:sz w:val="24"/>
          <w:szCs w:val="24"/>
        </w:rPr>
        <w:t>,</w:t>
      </w:r>
      <w:r w:rsidRPr="00F33BFF">
        <w:rPr>
          <w:rStyle w:val="Hyperlink"/>
          <w:rFonts w:ascii="Times New Roman" w:hAnsi="Times New Roman" w:cs="Times New Roman"/>
          <w:color w:val="000000" w:themeColor="text1"/>
          <w:sz w:val="24"/>
          <w:szCs w:val="24"/>
          <w:u w:val="none"/>
        </w:rPr>
        <w:t xml:space="preserve"> 2019</w:t>
      </w:r>
      <w:r w:rsidRPr="00F33BFF">
        <w:rPr>
          <w:rFonts w:ascii="Times New Roman" w:hAnsi="Times New Roman" w:cs="Times New Roman"/>
          <w:color w:val="000000" w:themeColor="text1"/>
          <w:sz w:val="24"/>
          <w:szCs w:val="24"/>
        </w:rPr>
        <w:t xml:space="preserve">). </w:t>
      </w:r>
      <w:r w:rsidRPr="00F33BFF">
        <w:rPr>
          <w:rFonts w:ascii="Times New Roman" w:hAnsi="Times New Roman" w:cs="Times New Roman"/>
          <w:sz w:val="24"/>
          <w:szCs w:val="24"/>
        </w:rPr>
        <w:t>It is well known that the prevalence of mental illness varies by key demographic characteristics, such as age, gender, ethnicity and socio-economic status (Health and Safety Executive, 2019). Yet previous research has also suggested that mental ill</w:t>
      </w:r>
      <w:r w:rsidR="002C1828">
        <w:rPr>
          <w:rFonts w:ascii="Times New Roman" w:hAnsi="Times New Roman" w:cs="Times New Roman"/>
          <w:sz w:val="24"/>
          <w:szCs w:val="24"/>
        </w:rPr>
        <w:t xml:space="preserve"> </w:t>
      </w:r>
      <w:r w:rsidRPr="00F33BFF">
        <w:rPr>
          <w:rFonts w:ascii="Times New Roman" w:hAnsi="Times New Roman" w:cs="Times New Roman"/>
          <w:sz w:val="24"/>
          <w:szCs w:val="24"/>
        </w:rPr>
        <w:t>health, and low levels of wellbeing, differs between professions (</w:t>
      </w:r>
      <w:r w:rsidRPr="00F33BFF">
        <w:rPr>
          <w:rFonts w:ascii="Times New Roman" w:hAnsi="Times New Roman" w:cs="Times New Roman"/>
          <w:color w:val="000000" w:themeColor="text1"/>
          <w:sz w:val="24"/>
          <w:szCs w:val="24"/>
          <w:shd w:val="clear" w:color="auto" w:fill="FFFFFF"/>
        </w:rPr>
        <w:t>Johnson et al., 2005</w:t>
      </w:r>
      <w:r w:rsidRPr="00F33BFF">
        <w:rPr>
          <w:rFonts w:ascii="Times New Roman" w:hAnsi="Times New Roman" w:cs="Times New Roman"/>
          <w:sz w:val="24"/>
          <w:szCs w:val="24"/>
        </w:rPr>
        <w:t xml:space="preserve">). </w:t>
      </w:r>
    </w:p>
    <w:p w14:paraId="5F9102E1" w14:textId="4448E291" w:rsidR="009025C2" w:rsidRDefault="009025C2" w:rsidP="009025C2">
      <w:pPr>
        <w:spacing w:line="360" w:lineRule="auto"/>
        <w:jc w:val="both"/>
        <w:rPr>
          <w:rFonts w:ascii="Times New Roman" w:hAnsi="Times New Roman" w:cs="Times New Roman"/>
          <w:sz w:val="24"/>
          <w:szCs w:val="24"/>
        </w:rPr>
      </w:pPr>
      <w:r w:rsidRPr="00F33BFF">
        <w:rPr>
          <w:rFonts w:ascii="Times New Roman" w:hAnsi="Times New Roman" w:cs="Times New Roman"/>
          <w:sz w:val="24"/>
          <w:szCs w:val="24"/>
        </w:rPr>
        <w:t>One occupation where there has been particular concern about mental health problems is teaching (</w:t>
      </w:r>
      <w:proofErr w:type="spellStart"/>
      <w:r w:rsidRPr="00F33BFF">
        <w:rPr>
          <w:rFonts w:ascii="Times New Roman" w:hAnsi="Times New Roman" w:cs="Times New Roman"/>
          <w:color w:val="000000" w:themeColor="text1"/>
          <w:sz w:val="24"/>
          <w:szCs w:val="24"/>
          <w:shd w:val="clear" w:color="auto" w:fill="FFFFFF"/>
        </w:rPr>
        <w:t>Stansfeld</w:t>
      </w:r>
      <w:proofErr w:type="spellEnd"/>
      <w:r w:rsidRPr="00F33BFF">
        <w:rPr>
          <w:rFonts w:ascii="Times New Roman" w:hAnsi="Times New Roman" w:cs="Times New Roman"/>
          <w:color w:val="000000" w:themeColor="text1"/>
          <w:sz w:val="24"/>
          <w:szCs w:val="24"/>
          <w:shd w:val="clear" w:color="auto" w:fill="FFFFFF"/>
        </w:rPr>
        <w:t xml:space="preserve"> et al., 2011; Johnson et al., 2005</w:t>
      </w:r>
      <w:r w:rsidRPr="00F33BFF">
        <w:rPr>
          <w:rFonts w:ascii="Times New Roman" w:hAnsi="Times New Roman" w:cs="Times New Roman"/>
          <w:sz w:val="24"/>
          <w:szCs w:val="24"/>
        </w:rPr>
        <w:t>), with staff working long hours during term</w:t>
      </w:r>
      <w:r w:rsidR="000B1ABF">
        <w:rPr>
          <w:rFonts w:ascii="Times New Roman" w:hAnsi="Times New Roman" w:cs="Times New Roman"/>
          <w:sz w:val="24"/>
          <w:szCs w:val="24"/>
        </w:rPr>
        <w:t xml:space="preserve"> </w:t>
      </w:r>
      <w:r w:rsidRPr="00F33BFF">
        <w:rPr>
          <w:rFonts w:ascii="Times New Roman" w:hAnsi="Times New Roman" w:cs="Times New Roman"/>
          <w:sz w:val="24"/>
          <w:szCs w:val="24"/>
        </w:rPr>
        <w:t>time (Allen et al., 2019) and under ever</w:t>
      </w:r>
      <w:r w:rsidR="008949CD">
        <w:rPr>
          <w:rFonts w:ascii="Times New Roman" w:hAnsi="Times New Roman" w:cs="Times New Roman"/>
          <w:sz w:val="24"/>
          <w:szCs w:val="24"/>
        </w:rPr>
        <w:t>-</w:t>
      </w:r>
      <w:r w:rsidRPr="00F33BFF">
        <w:rPr>
          <w:rFonts w:ascii="Times New Roman" w:hAnsi="Times New Roman" w:cs="Times New Roman"/>
          <w:sz w:val="24"/>
          <w:szCs w:val="24"/>
        </w:rPr>
        <w:t>increasing pressure from the system of school accountability (Perryman &amp; Calvert, 2019). This has, in turn, contributed to ongoing difficulties with recruiting and retaining sufficient numbers of high-quality teaching staff (Cooper-Gibson Research, 2018), further compounded by the fact that almost 4,000 teachers in England are on long-term sickness leave due to stress (Liberal Democrats, 201</w:t>
      </w:r>
      <w:r w:rsidR="008B4E20">
        <w:rPr>
          <w:rFonts w:ascii="Times New Roman" w:hAnsi="Times New Roman" w:cs="Times New Roman"/>
          <w:sz w:val="24"/>
          <w:szCs w:val="24"/>
        </w:rPr>
        <w:t>8</w:t>
      </w:r>
      <w:r w:rsidRPr="00F33BFF">
        <w:rPr>
          <w:rFonts w:ascii="Times New Roman" w:hAnsi="Times New Roman" w:cs="Times New Roman"/>
          <w:sz w:val="24"/>
          <w:szCs w:val="24"/>
        </w:rPr>
        <w:t>).</w:t>
      </w:r>
      <w:r>
        <w:rPr>
          <w:rFonts w:ascii="Times New Roman" w:hAnsi="Times New Roman" w:cs="Times New Roman"/>
          <w:sz w:val="24"/>
          <w:szCs w:val="24"/>
        </w:rPr>
        <w:t xml:space="preserve"> </w:t>
      </w:r>
    </w:p>
    <w:p w14:paraId="59284A87" w14:textId="1B49438C" w:rsidR="009025C2"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t>There are many potential causes thought to be leading to these low</w:t>
      </w:r>
      <w:r w:rsidR="00E2529F">
        <w:rPr>
          <w:rFonts w:ascii="Times New Roman" w:hAnsi="Times New Roman" w:cs="Times New Roman"/>
          <w:sz w:val="24"/>
          <w:szCs w:val="24"/>
        </w:rPr>
        <w:t xml:space="preserve"> </w:t>
      </w:r>
      <w:r>
        <w:rPr>
          <w:rFonts w:ascii="Times New Roman" w:hAnsi="Times New Roman" w:cs="Times New Roman"/>
          <w:sz w:val="24"/>
          <w:szCs w:val="24"/>
        </w:rPr>
        <w:t>levels of wellbeing amongst teaching staff. Recent policy attention in England has focused upon the issue of workload, given that teachers are known to work long and often unsociable hours (at least during term</w:t>
      </w:r>
      <w:r w:rsidR="009A730F">
        <w:rPr>
          <w:rFonts w:ascii="Times New Roman" w:hAnsi="Times New Roman" w:cs="Times New Roman"/>
          <w:sz w:val="24"/>
          <w:szCs w:val="24"/>
        </w:rPr>
        <w:t xml:space="preserve"> </w:t>
      </w:r>
      <w:r>
        <w:rPr>
          <w:rFonts w:ascii="Times New Roman" w:hAnsi="Times New Roman" w:cs="Times New Roman"/>
          <w:sz w:val="24"/>
          <w:szCs w:val="24"/>
        </w:rPr>
        <w:t xml:space="preserve">time). Yet other key challenges include the data-driven culture of school accountability that has become an important element of the education system in England. Such issues may be either exacerbated or diminished by aspects of the school working environment, including attitudes towards pupil discipline, the extent of collaboration amongst teachers and the support teachers receive from senior leaders.  </w:t>
      </w:r>
    </w:p>
    <w:p w14:paraId="12D8BA5F" w14:textId="0F2C8317" w:rsidR="007F377C" w:rsidRDefault="009025C2" w:rsidP="008B4E2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main aim of this report is to provide new, independent academic evidence into the important education policy issue of teacher wellbeing and mental health. In doing so, it provides the largest and most comprehensive assessment on the mental health and wellbeing of teachers in England to date. </w:t>
      </w:r>
      <w:r w:rsidR="007F377C">
        <w:rPr>
          <w:rFonts w:ascii="Times New Roman" w:hAnsi="Times New Roman" w:cs="Times New Roman"/>
          <w:sz w:val="24"/>
          <w:szCs w:val="24"/>
        </w:rPr>
        <w:br w:type="page"/>
      </w:r>
    </w:p>
    <w:p w14:paraId="1BD1F2BB" w14:textId="77777777" w:rsidR="009025C2" w:rsidRDefault="009025C2" w:rsidP="00697230">
      <w:pPr>
        <w:pStyle w:val="ListParagraph"/>
        <w:numPr>
          <w:ilvl w:val="1"/>
          <w:numId w:val="2"/>
        </w:num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Previous literature</w:t>
      </w:r>
    </w:p>
    <w:p w14:paraId="6059A73B" w14:textId="77777777" w:rsidR="009025C2"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There has been a reasonable degree of previous research into the mental health and wellbeing of teachers. This can be divided into two broad strands. The first is descriptive in nature, and seeks to understand whether working as a teacher is correlated with worse mental health outcomes and lower levels of wellbeing than other occupational groups. The second is devoted to the potential drivers of low levels of wellbeing amongst teachers, focusing upon the specific contribution made by particular aspects of their job. Here, we provide a brief overview of the existing literature for both.  </w:t>
      </w:r>
    </w:p>
    <w:p w14:paraId="6A715E38" w14:textId="6F80009F" w:rsidR="009025C2" w:rsidRPr="00A92855"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Starting with the former, </w:t>
      </w:r>
      <w:r w:rsidRPr="00A92855">
        <w:rPr>
          <w:rFonts w:ascii="Times New Roman" w:hAnsi="Times New Roman" w:cs="Times New Roman"/>
          <w:sz w:val="24"/>
          <w:szCs w:val="24"/>
        </w:rPr>
        <w:t>Johnson et al. (200</w:t>
      </w:r>
      <w:r w:rsidR="008B4E20">
        <w:rPr>
          <w:rFonts w:ascii="Times New Roman" w:hAnsi="Times New Roman" w:cs="Times New Roman"/>
          <w:sz w:val="24"/>
          <w:szCs w:val="24"/>
        </w:rPr>
        <w:t>5</w:t>
      </w:r>
      <w:r w:rsidRPr="00A92855">
        <w:rPr>
          <w:rFonts w:ascii="Times New Roman" w:hAnsi="Times New Roman" w:cs="Times New Roman"/>
          <w:sz w:val="24"/>
          <w:szCs w:val="24"/>
        </w:rPr>
        <w:t xml:space="preserve">) investigated work-related stress across 26 occupations, finding that teachers had one of the lowest levels of psychological wellbeing out of any of the professions considered. Surveying 555 teachers using the Warwick-Edinburgh Mental Wellbeing Scale (WEMWBS), </w:t>
      </w:r>
      <w:proofErr w:type="spellStart"/>
      <w:r w:rsidRPr="00A92855">
        <w:rPr>
          <w:rFonts w:ascii="Times New Roman" w:hAnsi="Times New Roman" w:cs="Times New Roman"/>
          <w:sz w:val="24"/>
          <w:szCs w:val="24"/>
        </w:rPr>
        <w:t>Kidger</w:t>
      </w:r>
      <w:proofErr w:type="spellEnd"/>
      <w:r w:rsidRPr="00A92855">
        <w:rPr>
          <w:rFonts w:ascii="Times New Roman" w:hAnsi="Times New Roman" w:cs="Times New Roman"/>
          <w:sz w:val="24"/>
          <w:szCs w:val="24"/>
        </w:rPr>
        <w:t xml:space="preserve"> et al. (2016) suggested that ‘</w:t>
      </w:r>
      <w:r w:rsidRPr="00A92855">
        <w:rPr>
          <w:rFonts w:ascii="Times New Roman" w:hAnsi="Times New Roman" w:cs="Times New Roman"/>
          <w:i/>
          <w:sz w:val="24"/>
          <w:szCs w:val="24"/>
        </w:rPr>
        <w:t>the mean teacher wellbeing score was lower than reported in working population samples’</w:t>
      </w:r>
      <w:r w:rsidR="00C53298">
        <w:rPr>
          <w:rStyle w:val="FootnoteReference"/>
          <w:rFonts w:ascii="Times New Roman" w:hAnsi="Times New Roman" w:cs="Times New Roman"/>
          <w:i/>
          <w:sz w:val="24"/>
          <w:szCs w:val="24"/>
        </w:rPr>
        <w:footnoteReference w:id="1"/>
      </w:r>
      <w:r w:rsidRPr="00A92855">
        <w:rPr>
          <w:rFonts w:ascii="Times New Roman" w:hAnsi="Times New Roman" w:cs="Times New Roman"/>
          <w:sz w:val="24"/>
          <w:szCs w:val="24"/>
        </w:rPr>
        <w:t>, concluding that ‘</w:t>
      </w:r>
      <w:r w:rsidRPr="00A92855">
        <w:rPr>
          <w:rFonts w:ascii="Times New Roman" w:hAnsi="Times New Roman" w:cs="Times New Roman"/>
          <w:i/>
          <w:sz w:val="24"/>
          <w:szCs w:val="24"/>
        </w:rPr>
        <w:t>wellbeing is low and depressive symptoms high amongst teachers</w:t>
      </w:r>
      <w:r w:rsidR="008E0D16">
        <w:rPr>
          <w:rFonts w:ascii="Times New Roman" w:hAnsi="Times New Roman" w:cs="Times New Roman"/>
          <w:i/>
          <w:sz w:val="24"/>
          <w:szCs w:val="24"/>
        </w:rPr>
        <w:t>’</w:t>
      </w:r>
      <w:r w:rsidRPr="00A92855">
        <w:rPr>
          <w:rFonts w:ascii="Times New Roman" w:hAnsi="Times New Roman" w:cs="Times New Roman"/>
          <w:sz w:val="24"/>
          <w:szCs w:val="24"/>
        </w:rPr>
        <w:t xml:space="preserve">. Similarly, in a random sample of over 1,500 teachers, </w:t>
      </w:r>
      <w:r w:rsidRPr="00A92855">
        <w:rPr>
          <w:rFonts w:ascii="Times New Roman" w:eastAsia="Times New Roman" w:hAnsi="Times New Roman" w:cs="Times New Roman"/>
          <w:sz w:val="24"/>
          <w:szCs w:val="24"/>
        </w:rPr>
        <w:t>Travers et al. (1993) found that teachers reported ‘</w:t>
      </w:r>
      <w:r w:rsidRPr="00A92855">
        <w:rPr>
          <w:rFonts w:ascii="Times New Roman" w:eastAsia="Times New Roman" w:hAnsi="Times New Roman" w:cs="Times New Roman"/>
          <w:i/>
          <w:sz w:val="24"/>
          <w:szCs w:val="24"/>
        </w:rPr>
        <w:t>stress-related manifestations that were far higher than the population norms and of other comparable occupational groups</w:t>
      </w:r>
      <w:r w:rsidR="008E0D16">
        <w:rPr>
          <w:rFonts w:ascii="Times New Roman" w:eastAsia="Times New Roman" w:hAnsi="Times New Roman" w:cs="Times New Roman"/>
          <w:i/>
          <w:sz w:val="24"/>
          <w:szCs w:val="24"/>
        </w:rPr>
        <w:t>’</w:t>
      </w:r>
      <w:r w:rsidRPr="00A92855">
        <w:rPr>
          <w:rFonts w:ascii="Times New Roman" w:eastAsia="Times New Roman" w:hAnsi="Times New Roman" w:cs="Times New Roman"/>
          <w:sz w:val="24"/>
          <w:szCs w:val="24"/>
        </w:rPr>
        <w:t xml:space="preserve">. Based upon an investigation of 290 school leaders, Phillips, Sen and McNamee (2008) found a similar result for </w:t>
      </w:r>
      <w:proofErr w:type="spellStart"/>
      <w:r w:rsidRPr="00A92855">
        <w:rPr>
          <w:rFonts w:ascii="Times New Roman" w:eastAsia="Times New Roman" w:hAnsi="Times New Roman" w:cs="Times New Roman"/>
          <w:sz w:val="24"/>
          <w:szCs w:val="24"/>
        </w:rPr>
        <w:t>headteachers</w:t>
      </w:r>
      <w:proofErr w:type="spellEnd"/>
      <w:r w:rsidRPr="00A92855">
        <w:rPr>
          <w:rFonts w:ascii="Times New Roman" w:eastAsia="Times New Roman" w:hAnsi="Times New Roman" w:cs="Times New Roman"/>
          <w:sz w:val="24"/>
          <w:szCs w:val="24"/>
        </w:rPr>
        <w:t>, with this group having ‘</w:t>
      </w:r>
      <w:r w:rsidRPr="00A92855">
        <w:rPr>
          <w:rFonts w:ascii="Times New Roman" w:eastAsia="Times New Roman" w:hAnsi="Times New Roman" w:cs="Times New Roman"/>
          <w:i/>
          <w:sz w:val="24"/>
          <w:szCs w:val="24"/>
        </w:rPr>
        <w:t>poor physical and mental health compared to the general population of workers</w:t>
      </w:r>
      <w:r w:rsidRPr="00A92855">
        <w:rPr>
          <w:rFonts w:ascii="Times New Roman" w:eastAsia="Times New Roman" w:hAnsi="Times New Roman" w:cs="Times New Roman"/>
          <w:sz w:val="24"/>
          <w:szCs w:val="24"/>
        </w:rPr>
        <w:t>’. This is consistent with a recent analysis by the school inspectorate in England, Ofsted, who found teachers to have lower levels of life</w:t>
      </w:r>
      <w:r w:rsidR="001739E2">
        <w:rPr>
          <w:rFonts w:ascii="Times New Roman" w:eastAsia="Times New Roman" w:hAnsi="Times New Roman" w:cs="Times New Roman"/>
          <w:sz w:val="24"/>
          <w:szCs w:val="24"/>
        </w:rPr>
        <w:t xml:space="preserve"> </w:t>
      </w:r>
      <w:r w:rsidRPr="00A92855">
        <w:rPr>
          <w:rFonts w:ascii="Times New Roman" w:eastAsia="Times New Roman" w:hAnsi="Times New Roman" w:cs="Times New Roman"/>
          <w:sz w:val="24"/>
          <w:szCs w:val="24"/>
        </w:rPr>
        <w:t xml:space="preserve">satisfaction than the population as a whole </w:t>
      </w:r>
      <w:r w:rsidRPr="00A92855">
        <w:rPr>
          <w:rFonts w:ascii="Times New Roman" w:hAnsi="Times New Roman" w:cs="Times New Roman"/>
          <w:color w:val="000000" w:themeColor="text1"/>
          <w:sz w:val="24"/>
          <w:szCs w:val="24"/>
        </w:rPr>
        <w:t>(Ofsted</w:t>
      </w:r>
      <w:r w:rsidR="008E7BBA">
        <w:rPr>
          <w:rFonts w:ascii="Times New Roman" w:hAnsi="Times New Roman" w:cs="Times New Roman"/>
          <w:color w:val="000000" w:themeColor="text1"/>
          <w:sz w:val="24"/>
          <w:szCs w:val="24"/>
        </w:rPr>
        <w:t>,</w:t>
      </w:r>
      <w:r w:rsidRPr="00A92855">
        <w:rPr>
          <w:rFonts w:ascii="Times New Roman" w:hAnsi="Times New Roman" w:cs="Times New Roman"/>
          <w:color w:val="000000" w:themeColor="text1"/>
          <w:sz w:val="24"/>
          <w:szCs w:val="24"/>
        </w:rPr>
        <w:t xml:space="preserve"> 2019). Another recent analysis by </w:t>
      </w:r>
      <w:r w:rsidRPr="00A92855">
        <w:rPr>
          <w:rFonts w:ascii="Times New Roman" w:hAnsi="Times New Roman" w:cs="Times New Roman"/>
          <w:sz w:val="24"/>
          <w:szCs w:val="24"/>
        </w:rPr>
        <w:t xml:space="preserve">Worth and Van den </w:t>
      </w:r>
      <w:proofErr w:type="spellStart"/>
      <w:r w:rsidRPr="00A92855">
        <w:rPr>
          <w:rFonts w:ascii="Times New Roman" w:hAnsi="Times New Roman" w:cs="Times New Roman"/>
          <w:sz w:val="24"/>
          <w:szCs w:val="24"/>
        </w:rPr>
        <w:t>Brande</w:t>
      </w:r>
      <w:proofErr w:type="spellEnd"/>
      <w:r w:rsidRPr="00A92855">
        <w:rPr>
          <w:rFonts w:ascii="Times New Roman" w:hAnsi="Times New Roman" w:cs="Times New Roman"/>
          <w:sz w:val="24"/>
          <w:szCs w:val="24"/>
        </w:rPr>
        <w:t xml:space="preserve"> (2019) reached a similar conclusion, with teachers feeling tenser and more worried about their job than those employed in other occupations. Likewise, Rose (2003) found that primary teachers had one of the highest levels of work-related stress, while </w:t>
      </w:r>
      <w:proofErr w:type="spellStart"/>
      <w:r w:rsidRPr="00A92855">
        <w:rPr>
          <w:rFonts w:ascii="Times New Roman" w:hAnsi="Times New Roman" w:cs="Times New Roman"/>
          <w:sz w:val="24"/>
          <w:szCs w:val="24"/>
        </w:rPr>
        <w:t>Stansfeld</w:t>
      </w:r>
      <w:proofErr w:type="spellEnd"/>
      <w:r w:rsidRPr="00A92855">
        <w:rPr>
          <w:rFonts w:ascii="Times New Roman" w:hAnsi="Times New Roman" w:cs="Times New Roman"/>
          <w:sz w:val="24"/>
          <w:szCs w:val="24"/>
        </w:rPr>
        <w:t xml:space="preserve"> et al. (2011) claim teachers to be at above average risk of suffering mental ill</w:t>
      </w:r>
      <w:r w:rsidR="002C1828">
        <w:rPr>
          <w:rFonts w:ascii="Times New Roman" w:hAnsi="Times New Roman" w:cs="Times New Roman"/>
          <w:sz w:val="24"/>
          <w:szCs w:val="24"/>
        </w:rPr>
        <w:t xml:space="preserve"> </w:t>
      </w:r>
      <w:r w:rsidRPr="00A92855">
        <w:rPr>
          <w:rFonts w:ascii="Times New Roman" w:hAnsi="Times New Roman" w:cs="Times New Roman"/>
          <w:sz w:val="24"/>
          <w:szCs w:val="24"/>
        </w:rPr>
        <w:t>health. Relatedly, Bamford and Worth (2017) discovered that teachers who left the profession for another job experienced a large increase in job satisfaction, and a small increase in subjective wellbeing, compared to those who stayed. Yet there are also studies that reach rather different conclusions. For instance, Bryson, Stokes and Wilkinson (2019) conclude that ‘</w:t>
      </w:r>
      <w:r w:rsidRPr="00A92855">
        <w:rPr>
          <w:rFonts w:ascii="Times New Roman" w:hAnsi="Times New Roman" w:cs="Times New Roman"/>
          <w:i/>
          <w:sz w:val="24"/>
          <w:szCs w:val="24"/>
        </w:rPr>
        <w:t>school staff are more satisfied and more contented with their jobs than like employees in other workplaces</w:t>
      </w:r>
      <w:r w:rsidRPr="00A92855">
        <w:rPr>
          <w:rFonts w:ascii="Times New Roman" w:hAnsi="Times New Roman" w:cs="Times New Roman"/>
          <w:sz w:val="24"/>
          <w:szCs w:val="24"/>
        </w:rPr>
        <w:t xml:space="preserve">’. </w:t>
      </w:r>
    </w:p>
    <w:p w14:paraId="1A3877BE" w14:textId="0CFD9529" w:rsidR="009025C2" w:rsidRPr="006F09FF"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With respect to the</w:t>
      </w:r>
      <w:r w:rsidRPr="00E029FD">
        <w:rPr>
          <w:rFonts w:ascii="Times New Roman" w:hAnsi="Times New Roman" w:cs="Times New Roman"/>
          <w:sz w:val="24"/>
          <w:szCs w:val="24"/>
        </w:rPr>
        <w:t xml:space="preserve"> potential factors that drive low levels of wellbeing amongst teachers</w:t>
      </w:r>
      <w:r>
        <w:rPr>
          <w:rFonts w:ascii="Times New Roman" w:hAnsi="Times New Roman" w:cs="Times New Roman"/>
          <w:sz w:val="24"/>
          <w:szCs w:val="24"/>
        </w:rPr>
        <w:t>,</w:t>
      </w:r>
      <w:r w:rsidRPr="00E029FD">
        <w:rPr>
          <w:rFonts w:ascii="Times New Roman" w:hAnsi="Times New Roman" w:cs="Times New Roman"/>
          <w:sz w:val="24"/>
          <w:szCs w:val="24"/>
        </w:rPr>
        <w:t xml:space="preserve"> </w:t>
      </w:r>
      <w:r>
        <w:rPr>
          <w:rFonts w:ascii="Times New Roman" w:hAnsi="Times New Roman" w:cs="Times New Roman"/>
          <w:sz w:val="24"/>
          <w:szCs w:val="24"/>
        </w:rPr>
        <w:t>t</w:t>
      </w:r>
      <w:r w:rsidRPr="00E029FD">
        <w:rPr>
          <w:rFonts w:ascii="Times New Roman" w:hAnsi="Times New Roman" w:cs="Times New Roman"/>
          <w:sz w:val="24"/>
          <w:szCs w:val="24"/>
        </w:rPr>
        <w:t xml:space="preserve">here is a small but growing qualitative literature on working hours and the changing composition of workload within the teaching profession. </w:t>
      </w:r>
      <w:r w:rsidRPr="006F09FF">
        <w:rPr>
          <w:rFonts w:ascii="Times New Roman" w:hAnsi="Times New Roman" w:cs="Times New Roman"/>
          <w:sz w:val="24"/>
          <w:szCs w:val="24"/>
        </w:rPr>
        <w:t xml:space="preserve">This research tends to find that teachers are dissatisfied with their workload (Cooper-Gibson, 2018; Lam &amp; Yan, 2011; Perryman &amp; Calvert, 2019) but also emphasises that certain aspects of workload are viewed more negatively than others. In particular, the growing demands of assessment, marking and data entry, often in order to comply with (perceived) demands of accountability systems are particularly unpopular with teachers (Bradbury &amp; Roberts-Holmes, 2018; Perryman &amp; Calvert, 2019; </w:t>
      </w:r>
      <w:proofErr w:type="spellStart"/>
      <w:r w:rsidRPr="006F09FF">
        <w:rPr>
          <w:rFonts w:ascii="Times New Roman" w:hAnsi="Times New Roman" w:cs="Times New Roman"/>
          <w:sz w:val="24"/>
          <w:szCs w:val="24"/>
        </w:rPr>
        <w:t>Selwin</w:t>
      </w:r>
      <w:proofErr w:type="spellEnd"/>
      <w:r w:rsidRPr="006F09FF">
        <w:rPr>
          <w:rFonts w:ascii="Times New Roman" w:hAnsi="Times New Roman" w:cs="Times New Roman"/>
          <w:sz w:val="24"/>
          <w:szCs w:val="24"/>
        </w:rPr>
        <w:t xml:space="preserve">, </w:t>
      </w:r>
      <w:proofErr w:type="spellStart"/>
      <w:r w:rsidRPr="006F09FF">
        <w:rPr>
          <w:rFonts w:ascii="Times New Roman" w:hAnsi="Times New Roman" w:cs="Times New Roman"/>
          <w:sz w:val="24"/>
          <w:szCs w:val="24"/>
        </w:rPr>
        <w:t>Nemorin</w:t>
      </w:r>
      <w:proofErr w:type="spellEnd"/>
      <w:r w:rsidRPr="006F09FF">
        <w:rPr>
          <w:rFonts w:ascii="Times New Roman" w:hAnsi="Times New Roman" w:cs="Times New Roman"/>
          <w:sz w:val="24"/>
          <w:szCs w:val="24"/>
        </w:rPr>
        <w:t>, &amp; Johnson, 2017). Moreover, a related literature has found that teachers who experience greater demands in the workplace are more likely to experience burnout (</w:t>
      </w:r>
      <w:proofErr w:type="spellStart"/>
      <w:r w:rsidRPr="006F09FF">
        <w:rPr>
          <w:rFonts w:ascii="Times New Roman" w:hAnsi="Times New Roman" w:cs="Times New Roman"/>
          <w:sz w:val="24"/>
          <w:szCs w:val="24"/>
        </w:rPr>
        <w:t>Fernet</w:t>
      </w:r>
      <w:proofErr w:type="spellEnd"/>
      <w:r w:rsidRPr="006F09FF">
        <w:rPr>
          <w:rFonts w:ascii="Times New Roman" w:hAnsi="Times New Roman" w:cs="Times New Roman"/>
          <w:sz w:val="24"/>
          <w:szCs w:val="24"/>
        </w:rPr>
        <w:t xml:space="preserve"> et al., 2012; </w:t>
      </w:r>
      <w:proofErr w:type="spellStart"/>
      <w:r w:rsidRPr="006F09FF">
        <w:rPr>
          <w:rFonts w:ascii="Times New Roman" w:hAnsi="Times New Roman" w:cs="Times New Roman"/>
          <w:sz w:val="24"/>
          <w:szCs w:val="24"/>
        </w:rPr>
        <w:t>Hakanen</w:t>
      </w:r>
      <w:proofErr w:type="spellEnd"/>
      <w:r w:rsidRPr="006F09FF">
        <w:rPr>
          <w:rFonts w:ascii="Times New Roman" w:hAnsi="Times New Roman" w:cs="Times New Roman"/>
          <w:sz w:val="24"/>
          <w:szCs w:val="24"/>
        </w:rPr>
        <w:t xml:space="preserve">, Bakker, &amp; </w:t>
      </w:r>
      <w:proofErr w:type="spellStart"/>
      <w:r w:rsidRPr="006F09FF">
        <w:rPr>
          <w:rFonts w:ascii="Times New Roman" w:hAnsi="Times New Roman" w:cs="Times New Roman"/>
          <w:sz w:val="24"/>
          <w:szCs w:val="24"/>
        </w:rPr>
        <w:t>Schaufeli</w:t>
      </w:r>
      <w:proofErr w:type="spellEnd"/>
      <w:r w:rsidRPr="006F09FF">
        <w:rPr>
          <w:rFonts w:ascii="Times New Roman" w:hAnsi="Times New Roman" w:cs="Times New Roman"/>
          <w:sz w:val="24"/>
          <w:szCs w:val="24"/>
        </w:rPr>
        <w:t xml:space="preserve">, 2006; </w:t>
      </w:r>
      <w:r w:rsidRPr="006F09FF">
        <w:rPr>
          <w:rFonts w:ascii="Times New Roman" w:hAnsi="Times New Roman" w:cs="Times New Roman"/>
          <w:color w:val="222222"/>
          <w:sz w:val="24"/>
          <w:szCs w:val="24"/>
          <w:shd w:val="clear" w:color="auto" w:fill="FFFFFF"/>
        </w:rPr>
        <w:t>Kokkinos, 2007</w:t>
      </w:r>
      <w:r w:rsidRPr="006F09FF">
        <w:rPr>
          <w:rFonts w:ascii="Times New Roman" w:hAnsi="Times New Roman" w:cs="Times New Roman"/>
          <w:sz w:val="24"/>
          <w:szCs w:val="24"/>
        </w:rPr>
        <w:t>) and reduced job satisfaction (</w:t>
      </w:r>
      <w:proofErr w:type="spellStart"/>
      <w:r w:rsidRPr="006F09FF">
        <w:rPr>
          <w:rFonts w:ascii="Times New Roman" w:hAnsi="Times New Roman" w:cs="Times New Roman"/>
          <w:sz w:val="24"/>
          <w:szCs w:val="24"/>
        </w:rPr>
        <w:t>Kinman</w:t>
      </w:r>
      <w:proofErr w:type="spellEnd"/>
      <w:r w:rsidRPr="006F09FF">
        <w:rPr>
          <w:rFonts w:ascii="Times New Roman" w:hAnsi="Times New Roman" w:cs="Times New Roman"/>
          <w:sz w:val="24"/>
          <w:szCs w:val="24"/>
        </w:rPr>
        <w:t xml:space="preserve">, Wray, &amp; Strange, 2011; </w:t>
      </w:r>
      <w:proofErr w:type="spellStart"/>
      <w:r w:rsidRPr="006F09FF">
        <w:rPr>
          <w:rFonts w:ascii="Times New Roman" w:hAnsi="Times New Roman" w:cs="Times New Roman"/>
          <w:sz w:val="24"/>
          <w:szCs w:val="24"/>
        </w:rPr>
        <w:t>Skaalvik</w:t>
      </w:r>
      <w:proofErr w:type="spellEnd"/>
      <w:r w:rsidRPr="006F09FF">
        <w:rPr>
          <w:rFonts w:ascii="Times New Roman" w:hAnsi="Times New Roman" w:cs="Times New Roman"/>
          <w:sz w:val="24"/>
          <w:szCs w:val="24"/>
        </w:rPr>
        <w:t xml:space="preserve"> &amp; </w:t>
      </w:r>
      <w:proofErr w:type="spellStart"/>
      <w:r w:rsidRPr="006F09FF">
        <w:rPr>
          <w:rFonts w:ascii="Times New Roman" w:hAnsi="Times New Roman" w:cs="Times New Roman"/>
          <w:sz w:val="24"/>
          <w:szCs w:val="24"/>
        </w:rPr>
        <w:t>Skaalvik</w:t>
      </w:r>
      <w:proofErr w:type="spellEnd"/>
      <w:r w:rsidRPr="006F09FF">
        <w:rPr>
          <w:rFonts w:ascii="Times New Roman" w:hAnsi="Times New Roman" w:cs="Times New Roman"/>
          <w:sz w:val="24"/>
          <w:szCs w:val="24"/>
        </w:rPr>
        <w:t>, 2009). Such research often stresses the importance of teachers acting autonomously</w:t>
      </w:r>
      <w:r w:rsidR="00D53430">
        <w:rPr>
          <w:rFonts w:ascii="Times New Roman" w:hAnsi="Times New Roman" w:cs="Times New Roman"/>
          <w:sz w:val="24"/>
          <w:szCs w:val="24"/>
        </w:rPr>
        <w:t xml:space="preserve"> </w:t>
      </w:r>
      <w:r w:rsidR="00D53430" w:rsidRPr="00746679">
        <w:rPr>
          <w:rFonts w:ascii="Times New Roman" w:hAnsi="Times New Roman" w:cs="Times New Roman"/>
          <w:sz w:val="24"/>
          <w:szCs w:val="24"/>
        </w:rPr>
        <w:t>–</w:t>
      </w:r>
      <w:r w:rsidR="00D53430">
        <w:rPr>
          <w:rFonts w:ascii="Times New Roman" w:hAnsi="Times New Roman" w:cs="Times New Roman"/>
          <w:sz w:val="24"/>
          <w:szCs w:val="24"/>
        </w:rPr>
        <w:t xml:space="preserve"> </w:t>
      </w:r>
      <w:r w:rsidRPr="006F09FF">
        <w:rPr>
          <w:rFonts w:ascii="Times New Roman" w:hAnsi="Times New Roman" w:cs="Times New Roman"/>
          <w:sz w:val="24"/>
          <w:szCs w:val="24"/>
        </w:rPr>
        <w:t>in the sense of endorsing the value of the tasks they are required to undertake – rather than doing them solely in order to comply with outside demands (</w:t>
      </w:r>
      <w:proofErr w:type="spellStart"/>
      <w:r w:rsidRPr="006F09FF">
        <w:rPr>
          <w:rFonts w:ascii="Times New Roman" w:hAnsi="Times New Roman" w:cs="Times New Roman"/>
          <w:sz w:val="24"/>
          <w:szCs w:val="24"/>
        </w:rPr>
        <w:t>Fernet</w:t>
      </w:r>
      <w:proofErr w:type="spellEnd"/>
      <w:r w:rsidRPr="006F09FF">
        <w:rPr>
          <w:rFonts w:ascii="Times New Roman" w:hAnsi="Times New Roman" w:cs="Times New Roman"/>
          <w:sz w:val="24"/>
          <w:szCs w:val="24"/>
        </w:rPr>
        <w:t xml:space="preserve"> et al., 2011; </w:t>
      </w:r>
      <w:proofErr w:type="spellStart"/>
      <w:r w:rsidRPr="006F09FF">
        <w:rPr>
          <w:rFonts w:ascii="Times New Roman" w:hAnsi="Times New Roman" w:cs="Times New Roman"/>
          <w:sz w:val="24"/>
          <w:szCs w:val="24"/>
        </w:rPr>
        <w:t>Skaalvik</w:t>
      </w:r>
      <w:proofErr w:type="spellEnd"/>
      <w:r w:rsidRPr="006F09FF">
        <w:rPr>
          <w:rFonts w:ascii="Times New Roman" w:hAnsi="Times New Roman" w:cs="Times New Roman"/>
          <w:sz w:val="24"/>
          <w:szCs w:val="24"/>
        </w:rPr>
        <w:t xml:space="preserve"> &amp; </w:t>
      </w:r>
      <w:proofErr w:type="spellStart"/>
      <w:r w:rsidRPr="006F09FF">
        <w:rPr>
          <w:rFonts w:ascii="Times New Roman" w:hAnsi="Times New Roman" w:cs="Times New Roman"/>
          <w:sz w:val="24"/>
          <w:szCs w:val="24"/>
        </w:rPr>
        <w:t>Skaalvik</w:t>
      </w:r>
      <w:proofErr w:type="spellEnd"/>
      <w:r w:rsidRPr="006F09FF">
        <w:rPr>
          <w:rFonts w:ascii="Times New Roman" w:hAnsi="Times New Roman" w:cs="Times New Roman"/>
          <w:sz w:val="24"/>
          <w:szCs w:val="24"/>
        </w:rPr>
        <w:t xml:space="preserve">, 2009). </w:t>
      </w:r>
    </w:p>
    <w:p w14:paraId="03566EFF" w14:textId="48AFD1C4" w:rsidR="009025C2" w:rsidRPr="006F09FF" w:rsidRDefault="009025C2" w:rsidP="009025C2">
      <w:pPr>
        <w:spacing w:line="360" w:lineRule="auto"/>
        <w:jc w:val="both"/>
        <w:rPr>
          <w:rFonts w:ascii="Times New Roman" w:hAnsi="Times New Roman" w:cs="Times New Roman"/>
          <w:sz w:val="24"/>
          <w:szCs w:val="24"/>
        </w:rPr>
      </w:pPr>
      <w:r w:rsidRPr="006F09FF">
        <w:rPr>
          <w:rFonts w:ascii="Times New Roman" w:hAnsi="Times New Roman" w:cs="Times New Roman"/>
          <w:sz w:val="24"/>
          <w:szCs w:val="24"/>
        </w:rPr>
        <w:t>Outside of working hours and workload, accountability (holding teachers responsible for pupil achievement) has also often been cited as having a detrimental impact upon teachers’ mental health. Large-scale quantitative research on this matter has, however, often been conducted in the United States. Ryan et al</w:t>
      </w:r>
      <w:r w:rsidR="002A655B">
        <w:rPr>
          <w:rFonts w:ascii="Times New Roman" w:hAnsi="Times New Roman" w:cs="Times New Roman"/>
          <w:sz w:val="24"/>
          <w:szCs w:val="24"/>
        </w:rPr>
        <w:t>.</w:t>
      </w:r>
      <w:r w:rsidRPr="006F09FF">
        <w:rPr>
          <w:rFonts w:ascii="Times New Roman" w:hAnsi="Times New Roman" w:cs="Times New Roman"/>
          <w:sz w:val="24"/>
          <w:szCs w:val="24"/>
        </w:rPr>
        <w:t xml:space="preserve"> (2017), for instance</w:t>
      </w:r>
      <w:r w:rsidR="008A6951">
        <w:rPr>
          <w:rFonts w:ascii="Times New Roman" w:hAnsi="Times New Roman" w:cs="Times New Roman"/>
          <w:sz w:val="24"/>
          <w:szCs w:val="24"/>
        </w:rPr>
        <w:t>,</w:t>
      </w:r>
      <w:r w:rsidRPr="006F09FF">
        <w:rPr>
          <w:rFonts w:ascii="Times New Roman" w:hAnsi="Times New Roman" w:cs="Times New Roman"/>
          <w:sz w:val="24"/>
          <w:szCs w:val="24"/>
        </w:rPr>
        <w:t xml:space="preserve"> found that </w:t>
      </w:r>
      <w:r w:rsidR="008A6951">
        <w:rPr>
          <w:rFonts w:ascii="Times New Roman" w:hAnsi="Times New Roman" w:cs="Times New Roman"/>
          <w:sz w:val="24"/>
          <w:szCs w:val="24"/>
        </w:rPr>
        <w:t>‘</w:t>
      </w:r>
      <w:r w:rsidRPr="006F09FF">
        <w:rPr>
          <w:rFonts w:ascii="Times New Roman" w:hAnsi="Times New Roman" w:cs="Times New Roman"/>
          <w:i/>
          <w:sz w:val="24"/>
          <w:szCs w:val="24"/>
        </w:rPr>
        <w:t>accountability policies may affect teacher stress</w:t>
      </w:r>
      <w:r w:rsidR="008A6951">
        <w:rPr>
          <w:rFonts w:ascii="Times New Roman" w:hAnsi="Times New Roman" w:cs="Times New Roman"/>
          <w:sz w:val="24"/>
          <w:szCs w:val="24"/>
        </w:rPr>
        <w:t>’</w:t>
      </w:r>
      <w:r w:rsidRPr="006F09FF">
        <w:rPr>
          <w:rFonts w:ascii="Times New Roman" w:hAnsi="Times New Roman" w:cs="Times New Roman"/>
          <w:sz w:val="24"/>
          <w:szCs w:val="24"/>
        </w:rPr>
        <w:t>, which in</w:t>
      </w:r>
      <w:r w:rsidR="008A6951">
        <w:rPr>
          <w:rFonts w:ascii="Times New Roman" w:hAnsi="Times New Roman" w:cs="Times New Roman"/>
          <w:sz w:val="24"/>
          <w:szCs w:val="24"/>
        </w:rPr>
        <w:t xml:space="preserve"> </w:t>
      </w:r>
      <w:r w:rsidRPr="006F09FF">
        <w:rPr>
          <w:rFonts w:ascii="Times New Roman" w:hAnsi="Times New Roman" w:cs="Times New Roman"/>
          <w:sz w:val="24"/>
          <w:szCs w:val="24"/>
        </w:rPr>
        <w:t xml:space="preserve">turn leads to greater levels of teacher </w:t>
      </w:r>
      <w:r w:rsidRPr="006F09FF">
        <w:rPr>
          <w:rFonts w:ascii="Times New Roman" w:hAnsi="Times New Roman" w:cs="Times New Roman"/>
          <w:color w:val="000000" w:themeColor="text1"/>
          <w:sz w:val="24"/>
          <w:szCs w:val="24"/>
        </w:rPr>
        <w:t xml:space="preserve">turnover. Likewise, Berryhill, </w:t>
      </w:r>
      <w:proofErr w:type="spellStart"/>
      <w:r w:rsidRPr="006F09FF">
        <w:rPr>
          <w:rFonts w:ascii="Times New Roman" w:hAnsi="Times New Roman" w:cs="Times New Roman"/>
          <w:color w:val="000000" w:themeColor="text1"/>
          <w:sz w:val="24"/>
          <w:szCs w:val="24"/>
          <w:shd w:val="clear" w:color="auto" w:fill="FFFFFF"/>
        </w:rPr>
        <w:t>Linney</w:t>
      </w:r>
      <w:proofErr w:type="spellEnd"/>
      <w:r w:rsidRPr="006F09FF">
        <w:rPr>
          <w:rFonts w:ascii="Times New Roman" w:hAnsi="Times New Roman" w:cs="Times New Roman"/>
          <w:color w:val="000000" w:themeColor="text1"/>
          <w:sz w:val="24"/>
          <w:szCs w:val="24"/>
          <w:shd w:val="clear" w:color="auto" w:fill="FFFFFF"/>
        </w:rPr>
        <w:t xml:space="preserve"> </w:t>
      </w:r>
      <w:proofErr w:type="gramStart"/>
      <w:r w:rsidRPr="006F09FF">
        <w:rPr>
          <w:rFonts w:ascii="Times New Roman" w:hAnsi="Times New Roman" w:cs="Times New Roman"/>
          <w:color w:val="000000" w:themeColor="text1"/>
          <w:sz w:val="24"/>
          <w:szCs w:val="24"/>
          <w:shd w:val="clear" w:color="auto" w:fill="FFFFFF"/>
        </w:rPr>
        <w:t xml:space="preserve">and </w:t>
      </w:r>
      <w:r w:rsidR="00E27AF2" w:rsidRPr="006F09FF">
        <w:rPr>
          <w:rFonts w:ascii="Times New Roman" w:hAnsi="Times New Roman" w:cs="Times New Roman"/>
          <w:color w:val="000000" w:themeColor="text1"/>
          <w:sz w:val="24"/>
          <w:szCs w:val="24"/>
          <w:shd w:val="clear" w:color="auto" w:fill="FFFFFF"/>
        </w:rPr>
        <w:t xml:space="preserve"> </w:t>
      </w:r>
      <w:proofErr w:type="spellStart"/>
      <w:r w:rsidRPr="006F09FF">
        <w:rPr>
          <w:rFonts w:ascii="Times New Roman" w:hAnsi="Times New Roman" w:cs="Times New Roman"/>
          <w:color w:val="000000" w:themeColor="text1"/>
          <w:sz w:val="24"/>
          <w:szCs w:val="24"/>
          <w:shd w:val="clear" w:color="auto" w:fill="FFFFFF"/>
        </w:rPr>
        <w:t>Fromewick</w:t>
      </w:r>
      <w:proofErr w:type="spellEnd"/>
      <w:proofErr w:type="gramEnd"/>
      <w:r w:rsidRPr="006F09FF">
        <w:rPr>
          <w:rFonts w:ascii="Times New Roman" w:hAnsi="Times New Roman" w:cs="Times New Roman"/>
          <w:color w:val="000000" w:themeColor="text1"/>
          <w:sz w:val="24"/>
          <w:szCs w:val="24"/>
          <w:shd w:val="clear" w:color="auto" w:fill="FFFFFF"/>
        </w:rPr>
        <w:t xml:space="preserve"> </w:t>
      </w:r>
      <w:r w:rsidRPr="006F09FF">
        <w:rPr>
          <w:rFonts w:ascii="Times New Roman" w:hAnsi="Times New Roman" w:cs="Times New Roman"/>
          <w:color w:val="000000" w:themeColor="text1"/>
          <w:sz w:val="24"/>
          <w:szCs w:val="24"/>
        </w:rPr>
        <w:t xml:space="preserve">(2009) </w:t>
      </w:r>
      <w:r w:rsidRPr="006F09FF">
        <w:rPr>
          <w:rFonts w:ascii="Times New Roman" w:hAnsi="Times New Roman" w:cs="Times New Roman"/>
          <w:sz w:val="24"/>
          <w:szCs w:val="24"/>
        </w:rPr>
        <w:t>suggested that certain types of accountability can lead to role conflict and reduced self-</w:t>
      </w:r>
      <w:r w:rsidRPr="006F09FF">
        <w:rPr>
          <w:rFonts w:ascii="Times New Roman" w:hAnsi="Times New Roman" w:cs="Times New Roman"/>
          <w:color w:val="000000" w:themeColor="text1"/>
          <w:sz w:val="24"/>
          <w:szCs w:val="24"/>
        </w:rPr>
        <w:t>efficacy amongst staff. After reviewing a range of literature, Saeki et al</w:t>
      </w:r>
      <w:r w:rsidR="002A655B">
        <w:rPr>
          <w:rFonts w:ascii="Times New Roman" w:hAnsi="Times New Roman" w:cs="Times New Roman"/>
          <w:color w:val="000000" w:themeColor="text1"/>
          <w:sz w:val="24"/>
          <w:szCs w:val="24"/>
        </w:rPr>
        <w:t>.</w:t>
      </w:r>
      <w:r w:rsidRPr="006F09FF">
        <w:rPr>
          <w:rFonts w:ascii="Times New Roman" w:hAnsi="Times New Roman" w:cs="Times New Roman"/>
          <w:color w:val="000000" w:themeColor="text1"/>
          <w:sz w:val="24"/>
          <w:szCs w:val="24"/>
        </w:rPr>
        <w:t xml:space="preserve"> (2015) conclude that </w:t>
      </w:r>
      <w:r w:rsidR="006357A4">
        <w:rPr>
          <w:rFonts w:ascii="Times New Roman" w:hAnsi="Times New Roman" w:cs="Times New Roman"/>
          <w:color w:val="000000" w:themeColor="text1"/>
          <w:sz w:val="24"/>
          <w:szCs w:val="24"/>
        </w:rPr>
        <w:t>‘</w:t>
      </w:r>
      <w:r w:rsidRPr="006F09FF">
        <w:rPr>
          <w:rFonts w:ascii="Times New Roman" w:hAnsi="Times New Roman" w:cs="Times New Roman"/>
          <w:i/>
          <w:color w:val="000000" w:themeColor="text1"/>
          <w:sz w:val="24"/>
          <w:szCs w:val="24"/>
        </w:rPr>
        <w:t>accumulating research suggests that test-based accountability practices have unintended, negative effects on teacher wellbeing, instructional practices, and student learning</w:t>
      </w:r>
      <w:r w:rsidR="006357A4">
        <w:rPr>
          <w:rFonts w:ascii="Times New Roman" w:hAnsi="Times New Roman" w:cs="Times New Roman"/>
          <w:color w:val="000000" w:themeColor="text1"/>
          <w:sz w:val="24"/>
          <w:szCs w:val="24"/>
        </w:rPr>
        <w:t>’</w:t>
      </w:r>
      <w:r w:rsidRPr="006F09FF">
        <w:rPr>
          <w:rFonts w:ascii="Times New Roman" w:hAnsi="Times New Roman" w:cs="Times New Roman"/>
          <w:color w:val="000000" w:themeColor="text1"/>
          <w:sz w:val="24"/>
          <w:szCs w:val="24"/>
        </w:rPr>
        <w:t xml:space="preserve">, while Jones and </w:t>
      </w:r>
      <w:proofErr w:type="spellStart"/>
      <w:r w:rsidRPr="006F09FF">
        <w:rPr>
          <w:rFonts w:ascii="Times New Roman" w:hAnsi="Times New Roman" w:cs="Times New Roman"/>
          <w:color w:val="000000" w:themeColor="text1"/>
          <w:sz w:val="24"/>
          <w:szCs w:val="24"/>
        </w:rPr>
        <w:t>Egley</w:t>
      </w:r>
      <w:proofErr w:type="spellEnd"/>
      <w:r w:rsidRPr="006F09FF">
        <w:rPr>
          <w:rFonts w:ascii="Times New Roman" w:hAnsi="Times New Roman" w:cs="Times New Roman"/>
          <w:color w:val="000000" w:themeColor="text1"/>
          <w:sz w:val="24"/>
          <w:szCs w:val="24"/>
        </w:rPr>
        <w:t xml:space="preserve"> (2004) found that teachers in Florida felt accountability was having a negative effect upon the curriculum, teaching and learning and teacher motivation. Similar notions were highlighted by </w:t>
      </w:r>
      <w:proofErr w:type="spellStart"/>
      <w:r w:rsidRPr="006F09FF">
        <w:rPr>
          <w:rFonts w:ascii="Times New Roman" w:hAnsi="Times New Roman" w:cs="Times New Roman"/>
          <w:color w:val="000000" w:themeColor="text1"/>
          <w:sz w:val="24"/>
          <w:szCs w:val="24"/>
          <w:shd w:val="clear" w:color="auto" w:fill="FFFFFF"/>
        </w:rPr>
        <w:t>Valli</w:t>
      </w:r>
      <w:proofErr w:type="spellEnd"/>
      <w:r w:rsidRPr="006F09FF">
        <w:rPr>
          <w:rFonts w:ascii="Times New Roman" w:hAnsi="Times New Roman" w:cs="Times New Roman"/>
          <w:color w:val="000000" w:themeColor="text1"/>
          <w:sz w:val="24"/>
          <w:szCs w:val="24"/>
          <w:shd w:val="clear" w:color="auto" w:fill="FFFFFF"/>
        </w:rPr>
        <w:t xml:space="preserve"> and </w:t>
      </w:r>
      <w:proofErr w:type="spellStart"/>
      <w:r w:rsidRPr="006F09FF">
        <w:rPr>
          <w:rFonts w:ascii="Times New Roman" w:hAnsi="Times New Roman" w:cs="Times New Roman"/>
          <w:color w:val="000000" w:themeColor="text1"/>
          <w:sz w:val="24"/>
          <w:szCs w:val="24"/>
          <w:shd w:val="clear" w:color="auto" w:fill="FFFFFF"/>
        </w:rPr>
        <w:t>Buese</w:t>
      </w:r>
      <w:proofErr w:type="spellEnd"/>
      <w:r w:rsidRPr="006F09FF">
        <w:rPr>
          <w:rFonts w:ascii="Times New Roman" w:hAnsi="Times New Roman" w:cs="Times New Roman"/>
          <w:color w:val="000000" w:themeColor="text1"/>
          <w:sz w:val="24"/>
          <w:szCs w:val="24"/>
          <w:shd w:val="clear" w:color="auto" w:fill="FFFFFF"/>
        </w:rPr>
        <w:t xml:space="preserve"> (2007), </w:t>
      </w:r>
      <w:r w:rsidR="00800FE1">
        <w:rPr>
          <w:rFonts w:ascii="Times New Roman" w:hAnsi="Times New Roman" w:cs="Times New Roman"/>
          <w:color w:val="000000" w:themeColor="text1"/>
          <w:sz w:val="24"/>
          <w:szCs w:val="24"/>
          <w:shd w:val="clear" w:color="auto" w:fill="FFFFFF"/>
        </w:rPr>
        <w:t>who</w:t>
      </w:r>
      <w:r w:rsidR="00800FE1" w:rsidRPr="006F09FF">
        <w:rPr>
          <w:rFonts w:ascii="Times New Roman" w:hAnsi="Times New Roman" w:cs="Times New Roman"/>
          <w:color w:val="000000" w:themeColor="text1"/>
          <w:sz w:val="24"/>
          <w:szCs w:val="24"/>
          <w:shd w:val="clear" w:color="auto" w:fill="FFFFFF"/>
        </w:rPr>
        <w:t xml:space="preserve"> </w:t>
      </w:r>
      <w:r w:rsidRPr="006F09FF">
        <w:rPr>
          <w:rFonts w:ascii="Times New Roman" w:hAnsi="Times New Roman" w:cs="Times New Roman"/>
          <w:color w:val="000000" w:themeColor="text1"/>
          <w:sz w:val="24"/>
          <w:szCs w:val="24"/>
          <w:shd w:val="clear" w:color="auto" w:fill="FFFFFF"/>
        </w:rPr>
        <w:t xml:space="preserve">claimed that accountability had increased the expectations placed upon primary schoolteachers in the United States, with negative, unintended consequences for </w:t>
      </w:r>
      <w:r w:rsidR="00800FE1">
        <w:rPr>
          <w:rFonts w:ascii="Times New Roman" w:hAnsi="Times New Roman" w:cs="Times New Roman"/>
          <w:color w:val="000000" w:themeColor="text1"/>
          <w:sz w:val="24"/>
          <w:szCs w:val="24"/>
          <w:shd w:val="clear" w:color="auto" w:fill="FFFFFF"/>
        </w:rPr>
        <w:t>‘</w:t>
      </w:r>
      <w:r w:rsidRPr="006F09FF">
        <w:rPr>
          <w:rFonts w:ascii="Times New Roman" w:hAnsi="Times New Roman" w:cs="Times New Roman"/>
          <w:i/>
          <w:sz w:val="24"/>
          <w:szCs w:val="24"/>
        </w:rPr>
        <w:t>teachers’ relationships with students, pedagogy, and sense of professional well-being</w:t>
      </w:r>
      <w:r w:rsidR="00800FE1">
        <w:rPr>
          <w:rFonts w:ascii="Times New Roman" w:hAnsi="Times New Roman" w:cs="Times New Roman"/>
          <w:sz w:val="24"/>
          <w:szCs w:val="24"/>
        </w:rPr>
        <w:t>’</w:t>
      </w:r>
      <w:r w:rsidRPr="006F09FF">
        <w:rPr>
          <w:rFonts w:ascii="Times New Roman" w:hAnsi="Times New Roman" w:cs="Times New Roman"/>
          <w:sz w:val="24"/>
          <w:szCs w:val="24"/>
        </w:rPr>
        <w:t xml:space="preserve">. This was echoed by Richards (2012), who found that the </w:t>
      </w:r>
      <w:r w:rsidR="008D27C0">
        <w:rPr>
          <w:rFonts w:ascii="Times New Roman" w:hAnsi="Times New Roman" w:cs="Times New Roman"/>
          <w:sz w:val="24"/>
          <w:szCs w:val="24"/>
        </w:rPr>
        <w:t>‘</w:t>
      </w:r>
      <w:r w:rsidRPr="006F09FF">
        <w:rPr>
          <w:rFonts w:ascii="Times New Roman" w:hAnsi="Times New Roman" w:cs="Times New Roman"/>
          <w:i/>
          <w:sz w:val="24"/>
          <w:szCs w:val="24"/>
        </w:rPr>
        <w:t>constant pressure of being accountable</w:t>
      </w:r>
      <w:r w:rsidR="008D27C0">
        <w:rPr>
          <w:rFonts w:ascii="Times New Roman" w:hAnsi="Times New Roman" w:cs="Times New Roman"/>
          <w:sz w:val="24"/>
          <w:szCs w:val="24"/>
        </w:rPr>
        <w:t>’</w:t>
      </w:r>
      <w:r w:rsidRPr="006F09FF">
        <w:rPr>
          <w:rFonts w:ascii="Times New Roman" w:hAnsi="Times New Roman" w:cs="Times New Roman"/>
          <w:sz w:val="24"/>
          <w:szCs w:val="24"/>
        </w:rPr>
        <w:t xml:space="preserve"> was one of the top</w:t>
      </w:r>
      <w:r w:rsidR="008D27C0">
        <w:rPr>
          <w:rFonts w:ascii="Times New Roman" w:hAnsi="Times New Roman" w:cs="Times New Roman"/>
          <w:sz w:val="24"/>
          <w:szCs w:val="24"/>
        </w:rPr>
        <w:t xml:space="preserve"> </w:t>
      </w:r>
      <w:r w:rsidRPr="006F09FF">
        <w:rPr>
          <w:rFonts w:ascii="Times New Roman" w:hAnsi="Times New Roman" w:cs="Times New Roman"/>
          <w:sz w:val="24"/>
          <w:szCs w:val="24"/>
        </w:rPr>
        <w:t xml:space="preserve">five sources of stress in teachers’ jobs. </w:t>
      </w:r>
    </w:p>
    <w:p w14:paraId="25ECDE3E" w14:textId="0C80E22E" w:rsidR="009025C2" w:rsidRPr="00A92855" w:rsidRDefault="009025C2" w:rsidP="009025C2">
      <w:pPr>
        <w:spacing w:line="360" w:lineRule="auto"/>
        <w:jc w:val="both"/>
        <w:rPr>
          <w:rFonts w:ascii="Times New Roman" w:hAnsi="Times New Roman" w:cs="Times New Roman"/>
          <w:sz w:val="24"/>
          <w:szCs w:val="24"/>
        </w:rPr>
      </w:pPr>
      <w:r w:rsidRPr="00D03F30">
        <w:rPr>
          <w:rFonts w:ascii="Times New Roman" w:hAnsi="Times New Roman" w:cs="Times New Roman"/>
          <w:sz w:val="24"/>
          <w:szCs w:val="24"/>
        </w:rPr>
        <w:lastRenderedPageBreak/>
        <w:t xml:space="preserve">Finally, research suggests that the quality of the working environment </w:t>
      </w:r>
      <w:r w:rsidR="00D53430" w:rsidRPr="00746679">
        <w:rPr>
          <w:rFonts w:ascii="Times New Roman" w:hAnsi="Times New Roman" w:cs="Times New Roman"/>
          <w:sz w:val="24"/>
          <w:szCs w:val="24"/>
        </w:rPr>
        <w:t>–</w:t>
      </w:r>
      <w:r w:rsidRPr="00D03F30">
        <w:rPr>
          <w:rFonts w:ascii="Times New Roman" w:hAnsi="Times New Roman" w:cs="Times New Roman"/>
          <w:sz w:val="24"/>
          <w:szCs w:val="24"/>
        </w:rPr>
        <w:t xml:space="preserve"> defined as policies and shared ways of working that are within the proximal control of school leadership and affect teachers’ ability to fulfil their job roles </w:t>
      </w:r>
      <w:r w:rsidR="00D53430" w:rsidRPr="00746679">
        <w:rPr>
          <w:rFonts w:ascii="Times New Roman" w:hAnsi="Times New Roman" w:cs="Times New Roman"/>
          <w:sz w:val="24"/>
          <w:szCs w:val="24"/>
        </w:rPr>
        <w:t>–</w:t>
      </w:r>
      <w:r w:rsidRPr="00D03F30">
        <w:rPr>
          <w:rFonts w:ascii="Times New Roman" w:hAnsi="Times New Roman" w:cs="Times New Roman"/>
          <w:sz w:val="24"/>
          <w:szCs w:val="24"/>
        </w:rPr>
        <w:t xml:space="preserve"> has an important influence upon teachers (Simon &amp; Johnson, 2015). Supportive school leadership has repeatedly been found to be particularly important (Boyd et al., 2011; Ladd, 2011, Kraft et al., 2016). However, the importance of other aspects of the working environment remain</w:t>
      </w:r>
      <w:r w:rsidR="00BD780D">
        <w:rPr>
          <w:rFonts w:ascii="Times New Roman" w:hAnsi="Times New Roman" w:cs="Times New Roman"/>
          <w:sz w:val="24"/>
          <w:szCs w:val="24"/>
        </w:rPr>
        <w:t>s</w:t>
      </w:r>
      <w:r w:rsidRPr="00D03F30">
        <w:rPr>
          <w:rFonts w:ascii="Times New Roman" w:hAnsi="Times New Roman" w:cs="Times New Roman"/>
          <w:sz w:val="24"/>
          <w:szCs w:val="24"/>
        </w:rPr>
        <w:t xml:space="preserve"> unclear, with conflicting findings on the importance of disciplinary standards </w:t>
      </w:r>
      <w:r w:rsidRPr="00D03F30">
        <w:rPr>
          <w:rFonts w:ascii="Times New Roman" w:hAnsi="Times New Roman" w:cs="Times New Roman"/>
          <w:color w:val="000000" w:themeColor="text1"/>
          <w:sz w:val="24"/>
          <w:szCs w:val="24"/>
        </w:rPr>
        <w:t>(Boyd et al., 2011; Kraft et al., 2016), teacher collaboration (</w:t>
      </w:r>
      <w:r w:rsidRPr="00D03F30">
        <w:rPr>
          <w:rFonts w:ascii="Times New Roman" w:hAnsi="Times New Roman" w:cs="Times New Roman"/>
          <w:sz w:val="24"/>
          <w:szCs w:val="24"/>
        </w:rPr>
        <w:t>Kraft et al.,</w:t>
      </w:r>
      <w:r w:rsidRPr="00D03F30">
        <w:rPr>
          <w:rFonts w:ascii="Times New Roman" w:hAnsi="Times New Roman" w:cs="Times New Roman"/>
          <w:i/>
          <w:sz w:val="24"/>
          <w:szCs w:val="24"/>
        </w:rPr>
        <w:t xml:space="preserve"> </w:t>
      </w:r>
      <w:r w:rsidRPr="00D03F30">
        <w:rPr>
          <w:rFonts w:ascii="Times New Roman" w:hAnsi="Times New Roman" w:cs="Times New Roman"/>
          <w:sz w:val="24"/>
          <w:szCs w:val="24"/>
        </w:rPr>
        <w:t>2016) and workload (</w:t>
      </w:r>
      <w:r w:rsidRPr="00D03F30">
        <w:rPr>
          <w:rFonts w:ascii="Times New Roman" w:hAnsi="Times New Roman" w:cs="Times New Roman"/>
          <w:color w:val="000000" w:themeColor="text1"/>
          <w:sz w:val="24"/>
          <w:szCs w:val="24"/>
        </w:rPr>
        <w:t>Ladd, 2011</w:t>
      </w:r>
      <w:r w:rsidRPr="00D03F30">
        <w:rPr>
          <w:rFonts w:ascii="Times New Roman" w:hAnsi="Times New Roman" w:cs="Times New Roman"/>
          <w:sz w:val="24"/>
          <w:szCs w:val="24"/>
        </w:rPr>
        <w:t>).</w:t>
      </w:r>
    </w:p>
    <w:p w14:paraId="0B16AD72" w14:textId="77777777" w:rsidR="009025C2" w:rsidRDefault="009025C2" w:rsidP="00697230">
      <w:pPr>
        <w:pStyle w:val="ListParagraph"/>
        <w:numPr>
          <w:ilvl w:val="1"/>
          <w:numId w:val="2"/>
        </w:numPr>
        <w:spacing w:line="360" w:lineRule="auto"/>
        <w:jc w:val="both"/>
        <w:rPr>
          <w:rFonts w:ascii="Times New Roman" w:hAnsi="Times New Roman" w:cs="Times New Roman"/>
          <w:b/>
          <w:sz w:val="24"/>
          <w:szCs w:val="24"/>
        </w:rPr>
      </w:pPr>
      <w:r>
        <w:rPr>
          <w:rFonts w:ascii="Times New Roman" w:hAnsi="Times New Roman" w:cs="Times New Roman"/>
          <w:b/>
          <w:sz w:val="24"/>
          <w:szCs w:val="24"/>
        </w:rPr>
        <w:t>Policy background</w:t>
      </w:r>
    </w:p>
    <w:p w14:paraId="00089562" w14:textId="40954FD0" w:rsidR="009025C2" w:rsidRPr="00F3588B"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t>There has been increased concern across government in the mental health and wellbeing of the population over the last decade. This started with the commitment m</w:t>
      </w:r>
      <w:r w:rsidRPr="005973DE">
        <w:rPr>
          <w:rFonts w:ascii="Times New Roman" w:hAnsi="Times New Roman" w:cs="Times New Roman"/>
          <w:sz w:val="24"/>
          <w:szCs w:val="24"/>
        </w:rPr>
        <w:t>ade by David Cameron to regularly measure personal wellbeing across society (Cameron</w:t>
      </w:r>
      <w:r w:rsidR="00FB7B31">
        <w:rPr>
          <w:rFonts w:ascii="Times New Roman" w:hAnsi="Times New Roman" w:cs="Times New Roman"/>
          <w:sz w:val="24"/>
          <w:szCs w:val="24"/>
        </w:rPr>
        <w:t>,</w:t>
      </w:r>
      <w:r w:rsidRPr="005973DE">
        <w:rPr>
          <w:rFonts w:ascii="Times New Roman" w:hAnsi="Times New Roman" w:cs="Times New Roman"/>
          <w:sz w:val="24"/>
          <w:szCs w:val="24"/>
        </w:rPr>
        <w:t xml:space="preserve"> 2010</w:t>
      </w:r>
      <w:r>
        <w:rPr>
          <w:rFonts w:ascii="Times New Roman" w:hAnsi="Times New Roman" w:cs="Times New Roman"/>
          <w:sz w:val="24"/>
          <w:szCs w:val="24"/>
        </w:rPr>
        <w:t xml:space="preserve">). Further initiatives were introduced by Theresa May, including training for teachers into how to spot mental health problems within schools and extra support provided to local authorities to deal with mental health issues (Prime </w:t>
      </w:r>
      <w:r w:rsidRPr="00746679">
        <w:rPr>
          <w:rFonts w:ascii="Times New Roman" w:hAnsi="Times New Roman" w:cs="Times New Roman"/>
          <w:sz w:val="24"/>
          <w:szCs w:val="24"/>
        </w:rPr>
        <w:t>Minister’s Office</w:t>
      </w:r>
      <w:r w:rsidR="00335FEA">
        <w:rPr>
          <w:rFonts w:ascii="Times New Roman" w:hAnsi="Times New Roman" w:cs="Times New Roman"/>
          <w:sz w:val="24"/>
          <w:szCs w:val="24"/>
        </w:rPr>
        <w:t>,</w:t>
      </w:r>
      <w:r w:rsidRPr="00746679">
        <w:rPr>
          <w:rFonts w:ascii="Times New Roman" w:hAnsi="Times New Roman" w:cs="Times New Roman"/>
          <w:sz w:val="24"/>
          <w:szCs w:val="24"/>
        </w:rPr>
        <w:t xml:space="preserve"> 2019). At the same time, there has been a major drive amongst education policymakers in England over the last five years to reduce teacher workload – thought, by many, to be a key driver of low</w:t>
      </w:r>
      <w:r w:rsidR="00AA1A2D">
        <w:rPr>
          <w:rFonts w:ascii="Times New Roman" w:hAnsi="Times New Roman" w:cs="Times New Roman"/>
          <w:sz w:val="24"/>
          <w:szCs w:val="24"/>
        </w:rPr>
        <w:t xml:space="preserve"> </w:t>
      </w:r>
      <w:r w:rsidRPr="00746679">
        <w:rPr>
          <w:rFonts w:ascii="Times New Roman" w:hAnsi="Times New Roman" w:cs="Times New Roman"/>
          <w:sz w:val="24"/>
          <w:szCs w:val="24"/>
        </w:rPr>
        <w:t>levels of teacher wellbeing. This included issuing a consultation on teacher workload, the Department for Education setting up independent review groups</w:t>
      </w:r>
      <w:r w:rsidR="005A26DD">
        <w:rPr>
          <w:rFonts w:ascii="Times New Roman" w:hAnsi="Times New Roman" w:cs="Times New Roman"/>
          <w:sz w:val="24"/>
          <w:szCs w:val="24"/>
        </w:rPr>
        <w:t>,</w:t>
      </w:r>
      <w:r w:rsidRPr="00746679">
        <w:rPr>
          <w:rFonts w:ascii="Times New Roman" w:hAnsi="Times New Roman" w:cs="Times New Roman"/>
          <w:sz w:val="24"/>
          <w:szCs w:val="24"/>
        </w:rPr>
        <w:t xml:space="preserve"> committing to measuring teacher workload biannually</w:t>
      </w:r>
      <w:r w:rsidR="005A26DD">
        <w:rPr>
          <w:rFonts w:ascii="Times New Roman" w:hAnsi="Times New Roman" w:cs="Times New Roman"/>
          <w:sz w:val="24"/>
          <w:szCs w:val="24"/>
        </w:rPr>
        <w:t>,</w:t>
      </w:r>
      <w:r w:rsidR="005A26DD" w:rsidRPr="00746679">
        <w:rPr>
          <w:rFonts w:ascii="Times New Roman" w:hAnsi="Times New Roman" w:cs="Times New Roman"/>
          <w:sz w:val="24"/>
          <w:szCs w:val="24"/>
        </w:rPr>
        <w:t xml:space="preserve"> </w:t>
      </w:r>
      <w:r w:rsidRPr="00746679">
        <w:rPr>
          <w:rFonts w:ascii="Times New Roman" w:hAnsi="Times New Roman" w:cs="Times New Roman"/>
          <w:sz w:val="24"/>
          <w:szCs w:val="24"/>
        </w:rPr>
        <w:t>publishing advice and guidance to schools on how workload can be reduced</w:t>
      </w:r>
      <w:r w:rsidR="005A26DD">
        <w:rPr>
          <w:rFonts w:ascii="Times New Roman" w:hAnsi="Times New Roman" w:cs="Times New Roman"/>
          <w:sz w:val="24"/>
          <w:szCs w:val="24"/>
        </w:rPr>
        <w:t>,</w:t>
      </w:r>
      <w:r w:rsidR="005A26DD" w:rsidRPr="00746679">
        <w:rPr>
          <w:rFonts w:ascii="Times New Roman" w:hAnsi="Times New Roman" w:cs="Times New Roman"/>
          <w:sz w:val="24"/>
          <w:szCs w:val="24"/>
        </w:rPr>
        <w:t xml:space="preserve"> </w:t>
      </w:r>
      <w:r w:rsidRPr="00746679">
        <w:rPr>
          <w:rFonts w:ascii="Times New Roman" w:hAnsi="Times New Roman" w:cs="Times New Roman"/>
          <w:sz w:val="24"/>
          <w:szCs w:val="24"/>
        </w:rPr>
        <w:t>and funding collaborative projects to reduce workload (Department for Education</w:t>
      </w:r>
      <w:r w:rsidR="00335FEA">
        <w:rPr>
          <w:rFonts w:ascii="Times New Roman" w:hAnsi="Times New Roman" w:cs="Times New Roman"/>
          <w:sz w:val="24"/>
          <w:szCs w:val="24"/>
        </w:rPr>
        <w:t>,</w:t>
      </w:r>
      <w:r w:rsidRPr="00746679">
        <w:rPr>
          <w:rFonts w:ascii="Times New Roman" w:hAnsi="Times New Roman" w:cs="Times New Roman"/>
          <w:sz w:val="24"/>
          <w:szCs w:val="24"/>
        </w:rPr>
        <w:t xml:space="preserve"> 2019</w:t>
      </w:r>
      <w:r>
        <w:rPr>
          <w:rFonts w:ascii="Times New Roman" w:hAnsi="Times New Roman" w:cs="Times New Roman"/>
          <w:sz w:val="24"/>
          <w:szCs w:val="24"/>
        </w:rPr>
        <w:t>a</w:t>
      </w:r>
      <w:r w:rsidRPr="00746679">
        <w:rPr>
          <w:rFonts w:ascii="Times New Roman" w:hAnsi="Times New Roman" w:cs="Times New Roman"/>
          <w:sz w:val="24"/>
          <w:szCs w:val="24"/>
        </w:rPr>
        <w:t>).</w:t>
      </w:r>
    </w:p>
    <w:p w14:paraId="64576F18" w14:textId="02E2D64B" w:rsidR="009025C2" w:rsidRPr="00486BEC"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t>In January 2019, the Department for Education then published their retention and recruitment strategy (Department for Education</w:t>
      </w:r>
      <w:r w:rsidR="00F75ACC">
        <w:rPr>
          <w:rFonts w:ascii="Times New Roman" w:hAnsi="Times New Roman" w:cs="Times New Roman"/>
          <w:sz w:val="24"/>
          <w:szCs w:val="24"/>
        </w:rPr>
        <w:t>,</w:t>
      </w:r>
      <w:r>
        <w:rPr>
          <w:rFonts w:ascii="Times New Roman" w:hAnsi="Times New Roman" w:cs="Times New Roman"/>
          <w:sz w:val="24"/>
          <w:szCs w:val="24"/>
        </w:rPr>
        <w:t xml:space="preserve"> 2019b). This included many elements that were designed – either implicitly or explicitly – to improve teacher wellbeing. It included simplifying the accountability system and reduc</w:t>
      </w:r>
      <w:r w:rsidR="00606D04">
        <w:rPr>
          <w:rFonts w:ascii="Times New Roman" w:hAnsi="Times New Roman" w:cs="Times New Roman"/>
          <w:sz w:val="24"/>
          <w:szCs w:val="24"/>
        </w:rPr>
        <w:t>ing</w:t>
      </w:r>
      <w:r>
        <w:rPr>
          <w:rFonts w:ascii="Times New Roman" w:hAnsi="Times New Roman" w:cs="Times New Roman"/>
          <w:sz w:val="24"/>
          <w:szCs w:val="24"/>
        </w:rPr>
        <w:t xml:space="preserve"> the pressure that this was placing upon teachers. There were also key commitments to try and reduce the workload placed upon teachers, particularly time that is spent upon unnecessary tasks. Similarly, a key part of the strategy was to make teaching more attractive as a profession, in terms of fitting in with modern lifestyles and other aspects of teachers’ lives. This included the possibility of flexible working. Likewise, it proposed that additional support should be put in place to better support early</w:t>
      </w:r>
      <w:r w:rsidR="00F85FFA">
        <w:rPr>
          <w:rFonts w:ascii="Times New Roman" w:hAnsi="Times New Roman" w:cs="Times New Roman"/>
          <w:sz w:val="24"/>
          <w:szCs w:val="24"/>
        </w:rPr>
        <w:t xml:space="preserve"> </w:t>
      </w:r>
      <w:r>
        <w:rPr>
          <w:rFonts w:ascii="Times New Roman" w:hAnsi="Times New Roman" w:cs="Times New Roman"/>
          <w:sz w:val="24"/>
          <w:szCs w:val="24"/>
        </w:rPr>
        <w:t xml:space="preserve">career teachers, including a reduced timetable and providing the resources they need to undertake the appropriate professional development. </w:t>
      </w:r>
    </w:p>
    <w:p w14:paraId="094DE927" w14:textId="12B770E4" w:rsidR="009025C2"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With the wellbeing of teachers being a key focus of this strategy, the Department for Education then set up an expert group to provide further suggestions a</w:t>
      </w:r>
      <w:r w:rsidRPr="00044811">
        <w:rPr>
          <w:rFonts w:ascii="Times New Roman" w:hAnsi="Times New Roman" w:cs="Times New Roman"/>
          <w:sz w:val="24"/>
          <w:szCs w:val="24"/>
        </w:rPr>
        <w:t>s to how the teaching profession could be better supported (Department for Education</w:t>
      </w:r>
      <w:r w:rsidR="00F75ACC">
        <w:rPr>
          <w:rFonts w:ascii="Times New Roman" w:hAnsi="Times New Roman" w:cs="Times New Roman"/>
          <w:sz w:val="24"/>
          <w:szCs w:val="24"/>
        </w:rPr>
        <w:t>,</w:t>
      </w:r>
      <w:r w:rsidRPr="00044811">
        <w:rPr>
          <w:rFonts w:ascii="Times New Roman" w:hAnsi="Times New Roman" w:cs="Times New Roman"/>
          <w:sz w:val="24"/>
          <w:szCs w:val="24"/>
        </w:rPr>
        <w:t xml:space="preserve"> 2019</w:t>
      </w:r>
      <w:r>
        <w:rPr>
          <w:rFonts w:ascii="Times New Roman" w:hAnsi="Times New Roman" w:cs="Times New Roman"/>
          <w:sz w:val="24"/>
          <w:szCs w:val="24"/>
        </w:rPr>
        <w:t>c). Seven recommendations were made by this advisory group in June 2020, echoing some of the calls made within the academic papers upon which this report is based. This included working with the sector to develop a wellbeing charter that receives ministerial backing, improving access to online resources designed to support teachers’ mental health and measuring the wellbeing of teaching staff at regular intervals, along with a commitment to review the impact of its approach (Gibb</w:t>
      </w:r>
      <w:r w:rsidR="005A2588">
        <w:rPr>
          <w:rFonts w:ascii="Times New Roman" w:hAnsi="Times New Roman" w:cs="Times New Roman"/>
          <w:sz w:val="24"/>
          <w:szCs w:val="24"/>
        </w:rPr>
        <w:t>,</w:t>
      </w:r>
      <w:r>
        <w:rPr>
          <w:rFonts w:ascii="Times New Roman" w:hAnsi="Times New Roman" w:cs="Times New Roman"/>
          <w:sz w:val="24"/>
          <w:szCs w:val="24"/>
        </w:rPr>
        <w:t xml:space="preserve"> 2020). In addition, it has been suggested that wellbeing is integrated into schools</w:t>
      </w:r>
      <w:r w:rsidR="00AC553A">
        <w:rPr>
          <w:rFonts w:ascii="Times New Roman" w:hAnsi="Times New Roman" w:cs="Times New Roman"/>
          <w:sz w:val="24"/>
          <w:szCs w:val="24"/>
        </w:rPr>
        <w:t>’</w:t>
      </w:r>
      <w:r>
        <w:rPr>
          <w:rFonts w:ascii="Times New Roman" w:hAnsi="Times New Roman" w:cs="Times New Roman"/>
          <w:sz w:val="24"/>
          <w:szCs w:val="24"/>
        </w:rPr>
        <w:t xml:space="preserve"> training and workload policies, that it is built into wider communication strategies and that employers’ regulatory responsibilities around wellbeing are made clear. </w:t>
      </w:r>
    </w:p>
    <w:p w14:paraId="0CF640D5" w14:textId="5343AF9F" w:rsidR="009025C2" w:rsidRPr="00326222" w:rsidRDefault="009025C2" w:rsidP="009025C2">
      <w:pPr>
        <w:spacing w:line="360" w:lineRule="auto"/>
        <w:jc w:val="both"/>
        <w:rPr>
          <w:rFonts w:ascii="Times New Roman" w:hAnsi="Times New Roman" w:cs="Times New Roman"/>
          <w:sz w:val="24"/>
          <w:szCs w:val="24"/>
        </w:rPr>
      </w:pPr>
      <w:r w:rsidRPr="00326222">
        <w:rPr>
          <w:rFonts w:ascii="Times New Roman" w:hAnsi="Times New Roman" w:cs="Times New Roman"/>
          <w:sz w:val="24"/>
          <w:szCs w:val="24"/>
        </w:rPr>
        <w:t xml:space="preserve">There has also recently been the </w:t>
      </w:r>
      <w:r w:rsidR="00AC553A" w:rsidRPr="00326222">
        <w:rPr>
          <w:rFonts w:ascii="Times New Roman" w:hAnsi="Times New Roman" w:cs="Times New Roman"/>
          <w:sz w:val="24"/>
          <w:szCs w:val="24"/>
        </w:rPr>
        <w:t>C</w:t>
      </w:r>
      <w:r w:rsidR="00AC553A">
        <w:rPr>
          <w:rFonts w:ascii="Times New Roman" w:hAnsi="Times New Roman" w:cs="Times New Roman"/>
          <w:sz w:val="24"/>
          <w:szCs w:val="24"/>
        </w:rPr>
        <w:t>ovid</w:t>
      </w:r>
      <w:r w:rsidRPr="00326222">
        <w:rPr>
          <w:rFonts w:ascii="Times New Roman" w:hAnsi="Times New Roman" w:cs="Times New Roman"/>
          <w:sz w:val="24"/>
          <w:szCs w:val="24"/>
        </w:rPr>
        <w:t>-19 pandemic, with little currently known about how this has impacted upon the mental health and wellbeing of teachers, including how this compares to other occupational groups. The Department for Education has, nevertheless, been active in this policy area. This includes the development of new online resources for schools to boost mental health support for staff and pupils, and developing a new pilot project with Education Support to provide online peer</w:t>
      </w:r>
      <w:r w:rsidR="00FE19F4">
        <w:rPr>
          <w:rFonts w:ascii="Times New Roman" w:hAnsi="Times New Roman" w:cs="Times New Roman"/>
          <w:sz w:val="24"/>
          <w:szCs w:val="24"/>
        </w:rPr>
        <w:t xml:space="preserve"> </w:t>
      </w:r>
      <w:r w:rsidRPr="00326222">
        <w:rPr>
          <w:rFonts w:ascii="Times New Roman" w:hAnsi="Times New Roman" w:cs="Times New Roman"/>
          <w:sz w:val="24"/>
          <w:szCs w:val="24"/>
        </w:rPr>
        <w:t>support and telephone supervision from experts to around 250 school leaders (Department for Education</w:t>
      </w:r>
      <w:r w:rsidR="00F75ACC">
        <w:rPr>
          <w:rFonts w:ascii="Times New Roman" w:hAnsi="Times New Roman" w:cs="Times New Roman"/>
          <w:sz w:val="24"/>
          <w:szCs w:val="24"/>
        </w:rPr>
        <w:t>,</w:t>
      </w:r>
      <w:r w:rsidRPr="00326222">
        <w:rPr>
          <w:rFonts w:ascii="Times New Roman" w:hAnsi="Times New Roman" w:cs="Times New Roman"/>
          <w:sz w:val="24"/>
          <w:szCs w:val="24"/>
        </w:rPr>
        <w:t xml:space="preserve"> 2020a).</w:t>
      </w:r>
    </w:p>
    <w:p w14:paraId="5E21DFAD" w14:textId="77777777" w:rsidR="009025C2" w:rsidRDefault="009025C2" w:rsidP="00697230">
      <w:pPr>
        <w:pStyle w:val="ListParagraph"/>
        <w:numPr>
          <w:ilvl w:val="1"/>
          <w:numId w:val="2"/>
        </w:numPr>
        <w:spacing w:line="360" w:lineRule="auto"/>
        <w:jc w:val="both"/>
        <w:rPr>
          <w:rFonts w:ascii="Times New Roman" w:hAnsi="Times New Roman" w:cs="Times New Roman"/>
          <w:b/>
          <w:sz w:val="24"/>
          <w:szCs w:val="24"/>
        </w:rPr>
      </w:pPr>
      <w:r>
        <w:rPr>
          <w:rFonts w:ascii="Times New Roman" w:hAnsi="Times New Roman" w:cs="Times New Roman"/>
          <w:b/>
          <w:sz w:val="24"/>
          <w:szCs w:val="24"/>
        </w:rPr>
        <w:t>Contribution of this work</w:t>
      </w:r>
    </w:p>
    <w:p w14:paraId="548EE7CF" w14:textId="308167F2" w:rsidR="009025C2"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contribution of this report to the existing literature – and ongoing policy discussion – is twofold. First, although there </w:t>
      </w:r>
      <w:r w:rsidR="00C622F0">
        <w:rPr>
          <w:rFonts w:ascii="Times New Roman" w:hAnsi="Times New Roman" w:cs="Times New Roman"/>
          <w:sz w:val="24"/>
          <w:szCs w:val="24"/>
        </w:rPr>
        <w:t xml:space="preserve">have </w:t>
      </w:r>
      <w:r>
        <w:rPr>
          <w:rFonts w:ascii="Times New Roman" w:hAnsi="Times New Roman" w:cs="Times New Roman"/>
          <w:sz w:val="24"/>
          <w:szCs w:val="24"/>
        </w:rPr>
        <w:t>been a number of studies into teacher health and wellbeing previously, the results have not been entirely conclusive. For instance, although most existing studies claim that teachers have lower levels of wellbeing and worse mental health than other professional groups, a small number of existing studies have disputed this.  Moreover, a number of key questions remain unanswered. I</w:t>
      </w:r>
      <w:r w:rsidRPr="003F7743">
        <w:rPr>
          <w:rFonts w:ascii="Times New Roman" w:hAnsi="Times New Roman" w:cs="Times New Roman"/>
          <w:sz w:val="24"/>
          <w:szCs w:val="24"/>
        </w:rPr>
        <w:t>s the problem of low wellbeing and mental ill</w:t>
      </w:r>
      <w:r w:rsidR="002C1828">
        <w:rPr>
          <w:rFonts w:ascii="Times New Roman" w:hAnsi="Times New Roman" w:cs="Times New Roman"/>
          <w:sz w:val="24"/>
          <w:szCs w:val="24"/>
        </w:rPr>
        <w:t xml:space="preserve"> </w:t>
      </w:r>
      <w:r w:rsidRPr="003F7743">
        <w:rPr>
          <w:rFonts w:ascii="Times New Roman" w:hAnsi="Times New Roman" w:cs="Times New Roman"/>
          <w:sz w:val="24"/>
          <w:szCs w:val="24"/>
        </w:rPr>
        <w:t xml:space="preserve">health really that much worse for teachers in England than teachers in other countries? </w:t>
      </w:r>
      <w:r>
        <w:rPr>
          <w:rFonts w:ascii="Times New Roman" w:hAnsi="Times New Roman" w:cs="Times New Roman"/>
          <w:sz w:val="24"/>
          <w:szCs w:val="24"/>
        </w:rPr>
        <w:t>I</w:t>
      </w:r>
      <w:r w:rsidRPr="003F7743">
        <w:rPr>
          <w:rFonts w:ascii="Times New Roman" w:hAnsi="Times New Roman" w:cs="Times New Roman"/>
          <w:sz w:val="24"/>
          <w:szCs w:val="24"/>
        </w:rPr>
        <w:t>s there any evidence that the mental health and wellbeing of teachers in England has declined over time, or if teachers quit the profession for another job that their mental health improves?</w:t>
      </w:r>
      <w:r w:rsidRPr="003F7743">
        <w:rPr>
          <w:rFonts w:ascii="Times New Roman" w:hAnsi="Times New Roman"/>
          <w:color w:val="000000"/>
          <w:sz w:val="24"/>
          <w:szCs w:val="24"/>
        </w:rPr>
        <w:t xml:space="preserve"> Currently, the evidence base on such matters remains limited.</w:t>
      </w:r>
      <w:r>
        <w:rPr>
          <w:rFonts w:ascii="Times New Roman" w:hAnsi="Times New Roman"/>
          <w:color w:val="000000"/>
          <w:sz w:val="24"/>
          <w:szCs w:val="24"/>
        </w:rPr>
        <w:t xml:space="preserve"> </w:t>
      </w:r>
      <w:r>
        <w:rPr>
          <w:rFonts w:ascii="Times New Roman" w:hAnsi="Times New Roman" w:cs="Times New Roman"/>
          <w:sz w:val="24"/>
          <w:szCs w:val="24"/>
        </w:rPr>
        <w:t xml:space="preserve">The first purpose of this report is hence to provide the most comprehensive picture on the mental health and wellbeing of teachers within a comparative perspective to date. </w:t>
      </w:r>
    </w:p>
    <w:p w14:paraId="095FC2A0" w14:textId="6649D0CE" w:rsidR="009025C2"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second half of the report moves on to consider potential drivers of mental ill</w:t>
      </w:r>
      <w:r w:rsidR="002C1828">
        <w:rPr>
          <w:rFonts w:ascii="Times New Roman" w:hAnsi="Times New Roman" w:cs="Times New Roman"/>
          <w:sz w:val="24"/>
          <w:szCs w:val="24"/>
        </w:rPr>
        <w:t xml:space="preserve"> </w:t>
      </w:r>
      <w:r>
        <w:rPr>
          <w:rFonts w:ascii="Times New Roman" w:hAnsi="Times New Roman" w:cs="Times New Roman"/>
          <w:sz w:val="24"/>
          <w:szCs w:val="24"/>
        </w:rPr>
        <w:t>health and low levels of wellbeing amongst teachers. For instance, although the long work hours of teachers have been widely discussed amongst researchers and policymakers, few have directly estimated how strongly such workload factors are related to teacher wellbeing. Likewise, accountability measures (such as school league tables and Ofsted inspections) are often blamed for contributing to low</w:t>
      </w:r>
      <w:r w:rsidR="00EA6420">
        <w:rPr>
          <w:rFonts w:ascii="Times New Roman" w:hAnsi="Times New Roman" w:cs="Times New Roman"/>
          <w:sz w:val="24"/>
          <w:szCs w:val="24"/>
        </w:rPr>
        <w:t xml:space="preserve"> </w:t>
      </w:r>
      <w:r>
        <w:rPr>
          <w:rFonts w:ascii="Times New Roman" w:hAnsi="Times New Roman" w:cs="Times New Roman"/>
          <w:sz w:val="24"/>
          <w:szCs w:val="24"/>
        </w:rPr>
        <w:t>levels of wellbeing amongst teachers. Yet relatively few empirical large-scale quantitative studies have investigated how different aspects of the school environment (e.g. the information used in teacher appraisals, the pressure that colleagues feel under) are linked to accountability-induced stress within the teaching profession. Likewise, little is currently known about how certain key aspects of teachers’ jobs (e.g. the quality of school leadership, the approach to pupil discipline) is linked to their job satisfaction, wellbeing and</w:t>
      </w:r>
      <w:r w:rsidR="00A2189B">
        <w:rPr>
          <w:rFonts w:ascii="Times New Roman" w:hAnsi="Times New Roman" w:cs="Times New Roman"/>
          <w:sz w:val="24"/>
          <w:szCs w:val="24"/>
        </w:rPr>
        <w:t xml:space="preserve">, </w:t>
      </w:r>
      <w:r>
        <w:rPr>
          <w:rFonts w:ascii="Times New Roman" w:hAnsi="Times New Roman" w:cs="Times New Roman"/>
          <w:sz w:val="24"/>
          <w:szCs w:val="24"/>
        </w:rPr>
        <w:t>ultimately</w:t>
      </w:r>
      <w:r w:rsidR="00A2189B">
        <w:rPr>
          <w:rFonts w:ascii="Times New Roman" w:hAnsi="Times New Roman" w:cs="Times New Roman"/>
          <w:sz w:val="24"/>
          <w:szCs w:val="24"/>
        </w:rPr>
        <w:t>,</w:t>
      </w:r>
      <w:r>
        <w:rPr>
          <w:rFonts w:ascii="Times New Roman" w:hAnsi="Times New Roman" w:cs="Times New Roman"/>
          <w:sz w:val="24"/>
          <w:szCs w:val="24"/>
        </w:rPr>
        <w:t xml:space="preserve"> their decision to leave or remain in their jobs. The second key aim of this report is to provide new evidence into such issues. </w:t>
      </w:r>
    </w:p>
    <w:p w14:paraId="1F32DB2F" w14:textId="421683E4" w:rsidR="001E666E" w:rsidRDefault="001E666E" w:rsidP="00697230">
      <w:pPr>
        <w:pStyle w:val="ListParagraph"/>
        <w:numPr>
          <w:ilvl w:val="1"/>
          <w:numId w:val="2"/>
        </w:numPr>
        <w:spacing w:line="360" w:lineRule="auto"/>
        <w:jc w:val="both"/>
        <w:rPr>
          <w:rFonts w:ascii="Times New Roman" w:hAnsi="Times New Roman" w:cs="Times New Roman"/>
          <w:b/>
          <w:sz w:val="24"/>
          <w:szCs w:val="24"/>
        </w:rPr>
      </w:pPr>
      <w:r>
        <w:rPr>
          <w:rFonts w:ascii="Times New Roman" w:hAnsi="Times New Roman" w:cs="Times New Roman"/>
          <w:b/>
          <w:sz w:val="24"/>
          <w:szCs w:val="24"/>
        </w:rPr>
        <w:t>The definition and identification of teachers within the datasets</w:t>
      </w:r>
    </w:p>
    <w:p w14:paraId="39F7232B" w14:textId="53882717" w:rsidR="001E666E" w:rsidRPr="001E666E" w:rsidRDefault="001E666E" w:rsidP="001E666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focus of this report is the mental health and wellbeing of teachers in England. However, due to strengths and limitations of the different datasets we analyse, the precise definition used (or the particular group(s) we focus upon) vary across the different chapters within this report. Where possible, separate results are presented for primary teachers, secondary teachers, </w:t>
      </w:r>
      <w:proofErr w:type="spellStart"/>
      <w:r>
        <w:rPr>
          <w:rFonts w:ascii="Times New Roman" w:hAnsi="Times New Roman" w:cs="Times New Roman"/>
          <w:sz w:val="24"/>
          <w:szCs w:val="24"/>
        </w:rPr>
        <w:t>headteachers</w:t>
      </w:r>
      <w:proofErr w:type="spellEnd"/>
      <w:r>
        <w:rPr>
          <w:rFonts w:ascii="Times New Roman" w:hAnsi="Times New Roman" w:cs="Times New Roman"/>
          <w:sz w:val="24"/>
          <w:szCs w:val="24"/>
        </w:rPr>
        <w:t xml:space="preserve"> and (occasionally) those who specialise in teaching children with </w:t>
      </w:r>
      <w:r w:rsidR="00CC64BB">
        <w:rPr>
          <w:rFonts w:ascii="Times New Roman" w:hAnsi="Times New Roman" w:cs="Times New Roman"/>
          <w:sz w:val="24"/>
          <w:szCs w:val="24"/>
        </w:rPr>
        <w:t>special educational needs</w:t>
      </w:r>
      <w:r>
        <w:rPr>
          <w:rFonts w:ascii="Times New Roman" w:hAnsi="Times New Roman" w:cs="Times New Roman"/>
          <w:sz w:val="24"/>
          <w:szCs w:val="24"/>
        </w:rPr>
        <w:t>. Identification of the teacher group(s) being analysed is provided at the start of each chapter.</w:t>
      </w:r>
    </w:p>
    <w:p w14:paraId="39BA201C" w14:textId="00AD9B7E" w:rsidR="009025C2" w:rsidRPr="004D39F3" w:rsidRDefault="009025C2" w:rsidP="00697230">
      <w:pPr>
        <w:pStyle w:val="ListParagraph"/>
        <w:numPr>
          <w:ilvl w:val="1"/>
          <w:numId w:val="2"/>
        </w:numPr>
        <w:spacing w:line="360" w:lineRule="auto"/>
        <w:jc w:val="both"/>
        <w:rPr>
          <w:rFonts w:ascii="Times New Roman" w:hAnsi="Times New Roman" w:cs="Times New Roman"/>
          <w:b/>
          <w:sz w:val="24"/>
          <w:szCs w:val="24"/>
        </w:rPr>
      </w:pPr>
      <w:r w:rsidRPr="004D39F3">
        <w:rPr>
          <w:rFonts w:ascii="Times New Roman" w:hAnsi="Times New Roman" w:cs="Times New Roman"/>
          <w:b/>
          <w:sz w:val="24"/>
          <w:szCs w:val="24"/>
        </w:rPr>
        <w:t>Structure of the report</w:t>
      </w:r>
    </w:p>
    <w:p w14:paraId="346E9D8D" w14:textId="77777777" w:rsidR="009025C2"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remainder of this report is now structured as follows. A cross-national comparison of teachers’ workload stress and workplace wellbeing is presented in Chapter 2, using data from the 2018 Teaching and Learning International Study (TALIS) to consider the situation in England from a cross-national comparative perspective.  Chapter 3 provides new evidence on how the mental health and wellbeing of teachers in England compares to individuals working in other professional jobs, drawing upon data from several large-scale databases. This is followed in Chapter 4 by a similar comparison of teachers’ physical health to other occupational groups drawing, uniquely, upon objective biomarker data. Next, the report turns to trends over time in teachers’ wellbeing and mental health in Chapter 5, exploring whether there is any evidence of recent improvement or decline. Chapter 6 then turns to variation in </w:t>
      </w:r>
      <w:r>
        <w:rPr>
          <w:rFonts w:ascii="Times New Roman" w:hAnsi="Times New Roman" w:cs="Times New Roman"/>
          <w:sz w:val="24"/>
          <w:szCs w:val="24"/>
        </w:rPr>
        <w:lastRenderedPageBreak/>
        <w:t xml:space="preserve">teachers’ anxiety and happiness levels across the academic year, presenting the first evidence as to whether there are particular school terms where wellbeing amongst teachers is particularly low. The lifestyles of recently qualified junior teachers are then explored in Chapter 7, before Chapter 8 turns to whether middle-aged teachers who quit teaching to pursue alternative employment become happier and (mentally) healthier as a result. </w:t>
      </w:r>
    </w:p>
    <w:p w14:paraId="129EF9BA" w14:textId="375FE0DC" w:rsidR="009025C2" w:rsidRDefault="009025C2" w:rsidP="009025C2">
      <w:pPr>
        <w:spacing w:line="360" w:lineRule="auto"/>
        <w:jc w:val="both"/>
        <w:rPr>
          <w:rFonts w:ascii="Times New Roman" w:hAnsi="Times New Roman" w:cs="Times New Roman"/>
          <w:sz w:val="24"/>
          <w:szCs w:val="24"/>
        </w:rPr>
      </w:pPr>
      <w:r>
        <w:rPr>
          <w:rFonts w:ascii="Times New Roman" w:hAnsi="Times New Roman" w:cs="Times New Roman"/>
          <w:sz w:val="24"/>
          <w:szCs w:val="24"/>
        </w:rPr>
        <w:t>The report then turns to potential drivers of mental ill</w:t>
      </w:r>
      <w:r w:rsidR="002C1828">
        <w:rPr>
          <w:rFonts w:ascii="Times New Roman" w:hAnsi="Times New Roman" w:cs="Times New Roman"/>
          <w:sz w:val="24"/>
          <w:szCs w:val="24"/>
        </w:rPr>
        <w:t xml:space="preserve"> </w:t>
      </w:r>
      <w:r>
        <w:rPr>
          <w:rFonts w:ascii="Times New Roman" w:hAnsi="Times New Roman" w:cs="Times New Roman"/>
          <w:sz w:val="24"/>
          <w:szCs w:val="24"/>
        </w:rPr>
        <w:t>health. Chapter 9 provides, to our knowledge, the most complete analysis of teachers’ working hours to date, while Chapter 10 presents new evidence on how this factor (working hours) is related to teachers’ workload stress and workplace wellbeing. The issue of school accountability is investigated in Chapter 11. Chapter 12</w:t>
      </w:r>
      <w:r w:rsidR="00300B3A">
        <w:rPr>
          <w:rFonts w:ascii="Times New Roman" w:hAnsi="Times New Roman" w:cs="Times New Roman"/>
          <w:sz w:val="24"/>
          <w:szCs w:val="24"/>
        </w:rPr>
        <w:t xml:space="preserve"> then</w:t>
      </w:r>
      <w:r>
        <w:rPr>
          <w:rFonts w:ascii="Times New Roman" w:hAnsi="Times New Roman" w:cs="Times New Roman"/>
          <w:sz w:val="24"/>
          <w:szCs w:val="24"/>
        </w:rPr>
        <w:t xml:space="preserve"> considers how five key aspects of the school working environment (including school leadership, workload and discipline) are linked to teachers’ job satisfaction, workload stress and retention within the profession. </w:t>
      </w:r>
      <w:r w:rsidR="00300B3A">
        <w:rPr>
          <w:rFonts w:ascii="Times New Roman" w:hAnsi="Times New Roman" w:cs="Times New Roman"/>
          <w:sz w:val="24"/>
          <w:szCs w:val="24"/>
        </w:rPr>
        <w:t>Chapter 13 presents some emerging evidence on how teacher wellbeing was affected in the early</w:t>
      </w:r>
      <w:r w:rsidR="006D6606">
        <w:rPr>
          <w:rFonts w:ascii="Times New Roman" w:hAnsi="Times New Roman" w:cs="Times New Roman"/>
          <w:sz w:val="24"/>
          <w:szCs w:val="24"/>
        </w:rPr>
        <w:t xml:space="preserve"> </w:t>
      </w:r>
      <w:r w:rsidR="00300B3A">
        <w:rPr>
          <w:rFonts w:ascii="Times New Roman" w:hAnsi="Times New Roman" w:cs="Times New Roman"/>
          <w:sz w:val="24"/>
          <w:szCs w:val="24"/>
        </w:rPr>
        <w:t xml:space="preserve">stages of the </w:t>
      </w:r>
      <w:r w:rsidR="006D6606">
        <w:rPr>
          <w:rFonts w:ascii="Times New Roman" w:hAnsi="Times New Roman" w:cs="Times New Roman"/>
          <w:sz w:val="24"/>
          <w:szCs w:val="24"/>
        </w:rPr>
        <w:t>Covid</w:t>
      </w:r>
      <w:r w:rsidR="00300B3A">
        <w:rPr>
          <w:rFonts w:ascii="Times New Roman" w:hAnsi="Times New Roman" w:cs="Times New Roman"/>
          <w:sz w:val="24"/>
          <w:szCs w:val="24"/>
        </w:rPr>
        <w:t xml:space="preserve">-19 pandemic. Finally, Chapter 14 concludes with key findings from the report, limitations with the evidence base and recommendations for policy and </w:t>
      </w:r>
      <w:r w:rsidR="00D84962">
        <w:rPr>
          <w:rFonts w:ascii="Times New Roman" w:hAnsi="Times New Roman" w:cs="Times New Roman"/>
          <w:sz w:val="24"/>
          <w:szCs w:val="24"/>
        </w:rPr>
        <w:t>practice</w:t>
      </w:r>
      <w:r w:rsidR="00300B3A">
        <w:rPr>
          <w:rFonts w:ascii="Times New Roman" w:hAnsi="Times New Roman" w:cs="Times New Roman"/>
          <w:sz w:val="24"/>
          <w:szCs w:val="24"/>
        </w:rPr>
        <w:t xml:space="preserve">. </w:t>
      </w:r>
    </w:p>
    <w:p w14:paraId="42725BC5" w14:textId="77777777" w:rsidR="00B40383" w:rsidRDefault="00B40383">
      <w:pPr>
        <w:spacing w:line="259" w:lineRule="auto"/>
        <w:rPr>
          <w:rFonts w:ascii="Times New Roman" w:hAnsi="Times New Roman" w:cs="Times New Roman"/>
          <w:b/>
          <w:sz w:val="40"/>
          <w:szCs w:val="40"/>
        </w:rPr>
      </w:pPr>
      <w:r>
        <w:rPr>
          <w:rFonts w:ascii="Times New Roman" w:hAnsi="Times New Roman" w:cs="Times New Roman"/>
          <w:b/>
          <w:sz w:val="40"/>
          <w:szCs w:val="40"/>
        </w:rPr>
        <w:br w:type="page"/>
      </w:r>
    </w:p>
    <w:p w14:paraId="7CCEDD71" w14:textId="3D3CFDF8" w:rsidR="00672A49" w:rsidRDefault="009B3987" w:rsidP="001715C7">
      <w:pPr>
        <w:pStyle w:val="Heading1UCL"/>
      </w:pPr>
      <w:bookmarkStart w:id="2" w:name="_Toc67406001"/>
      <w:r w:rsidRPr="003E159B">
        <w:lastRenderedPageBreak/>
        <w:t xml:space="preserve">Chapter 2 </w:t>
      </w:r>
      <w:proofErr w:type="gramStart"/>
      <w:r w:rsidRPr="003E159B">
        <w:t>How</w:t>
      </w:r>
      <w:proofErr w:type="gramEnd"/>
      <w:r w:rsidRPr="003E159B">
        <w:t xml:space="preserve"> does the mental health and wellbeing of teachers in England compare to other countries?</w:t>
      </w:r>
      <w:bookmarkEnd w:id="2"/>
    </w:p>
    <w:p w14:paraId="67E7E54A" w14:textId="77777777" w:rsidR="001715C7" w:rsidRDefault="001715C7" w:rsidP="008B4E20">
      <w:pPr>
        <w:pStyle w:val="Heading1UCL"/>
      </w:pPr>
    </w:p>
    <w:p w14:paraId="501BE923" w14:textId="77777777" w:rsidR="009B3987" w:rsidRPr="00F42C0A" w:rsidRDefault="009B3987" w:rsidP="009B3987">
      <w:pPr>
        <w:spacing w:line="360" w:lineRule="auto"/>
        <w:jc w:val="both"/>
        <w:rPr>
          <w:rFonts w:ascii="Times New Roman" w:hAnsi="Times New Roman" w:cs="Times New Roman"/>
          <w:b/>
          <w:sz w:val="24"/>
          <w:szCs w:val="24"/>
        </w:rPr>
      </w:pPr>
      <w:r w:rsidRPr="00F42C0A">
        <w:rPr>
          <w:rFonts w:ascii="Times New Roman" w:hAnsi="Times New Roman" w:cs="Times New Roman"/>
          <w:b/>
          <w:sz w:val="24"/>
          <w:szCs w:val="24"/>
        </w:rPr>
        <w:t>2.1 Introduction</w:t>
      </w:r>
    </w:p>
    <w:p w14:paraId="59CBBD67" w14:textId="77777777" w:rsidR="009B3987" w:rsidRDefault="009B3987" w:rsidP="009B3987">
      <w:pPr>
        <w:spacing w:line="360" w:lineRule="auto"/>
        <w:jc w:val="both"/>
        <w:rPr>
          <w:rFonts w:ascii="Times New Roman" w:hAnsi="Times New Roman" w:cs="Times New Roman"/>
          <w:sz w:val="24"/>
          <w:szCs w:val="24"/>
        </w:rPr>
      </w:pPr>
      <w:r>
        <w:rPr>
          <w:rFonts w:ascii="Times New Roman" w:hAnsi="Times New Roman" w:cs="Times New Roman"/>
          <w:sz w:val="24"/>
          <w:szCs w:val="24"/>
        </w:rPr>
        <w:t>In the previous chapter, we provided an overview of the existing literature on the mental health of teachers, with a particular focus on evidence from England. From this, it became clear that there are some notable gaps in the existing evidence base where our knowledge of teachers’ mental health remains sparse.</w:t>
      </w:r>
    </w:p>
    <w:p w14:paraId="782E0283" w14:textId="7EB0EFB9" w:rsidR="009B3987" w:rsidRPr="003A2CE2" w:rsidRDefault="009B3987" w:rsidP="009B398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One prominent example is a lack of cross-national comparative evidence; do teachers in England have lower levels of person wellbeing, feel more stressed in their jobs and believe that their job has a bigger (negative) impact upon their mental health than teachers in other countries? If so, what do they believe to be the root causes of this stress and the area(s) that they believe policymakers should target to address this issue? A cross-country comparison of the views of teachers on this matter can provide insightful international benchmarks, providing important context against which the results for England can be judged. In other words, it is one thing for teachers to say that they feel </w:t>
      </w:r>
      <w:r w:rsidR="008A4FE1">
        <w:rPr>
          <w:rFonts w:ascii="Times New Roman" w:hAnsi="Times New Roman" w:cs="Times New Roman"/>
          <w:sz w:val="24"/>
          <w:szCs w:val="24"/>
        </w:rPr>
        <w:t>‘</w:t>
      </w:r>
      <w:r>
        <w:rPr>
          <w:rFonts w:ascii="Times New Roman" w:hAnsi="Times New Roman" w:cs="Times New Roman"/>
          <w:sz w:val="24"/>
          <w:szCs w:val="24"/>
        </w:rPr>
        <w:t>unhappy</w:t>
      </w:r>
      <w:r w:rsidR="008A4FE1">
        <w:rPr>
          <w:rFonts w:ascii="Times New Roman" w:hAnsi="Times New Roman" w:cs="Times New Roman"/>
          <w:sz w:val="24"/>
          <w:szCs w:val="24"/>
        </w:rPr>
        <w:t>’</w:t>
      </w:r>
      <w:r>
        <w:rPr>
          <w:rFonts w:ascii="Times New Roman" w:hAnsi="Times New Roman" w:cs="Times New Roman"/>
          <w:sz w:val="24"/>
          <w:szCs w:val="24"/>
        </w:rPr>
        <w:t xml:space="preserve">, </w:t>
      </w:r>
      <w:r w:rsidR="008A4FE1">
        <w:rPr>
          <w:rFonts w:ascii="Times New Roman" w:hAnsi="Times New Roman" w:cs="Times New Roman"/>
          <w:sz w:val="24"/>
          <w:szCs w:val="24"/>
        </w:rPr>
        <w:t>‘</w:t>
      </w:r>
      <w:r>
        <w:rPr>
          <w:rFonts w:ascii="Times New Roman" w:hAnsi="Times New Roman" w:cs="Times New Roman"/>
          <w:sz w:val="24"/>
          <w:szCs w:val="24"/>
        </w:rPr>
        <w:t>anxious</w:t>
      </w:r>
      <w:r w:rsidR="008A4FE1">
        <w:rPr>
          <w:rFonts w:ascii="Times New Roman" w:hAnsi="Times New Roman" w:cs="Times New Roman"/>
          <w:sz w:val="24"/>
          <w:szCs w:val="24"/>
        </w:rPr>
        <w:t>’</w:t>
      </w:r>
      <w:r>
        <w:rPr>
          <w:rFonts w:ascii="Times New Roman" w:hAnsi="Times New Roman" w:cs="Times New Roman"/>
          <w:sz w:val="24"/>
          <w:szCs w:val="24"/>
        </w:rPr>
        <w:t xml:space="preserve"> or </w:t>
      </w:r>
      <w:r w:rsidR="008A4FE1">
        <w:rPr>
          <w:rFonts w:ascii="Times New Roman" w:hAnsi="Times New Roman" w:cs="Times New Roman"/>
          <w:sz w:val="24"/>
          <w:szCs w:val="24"/>
        </w:rPr>
        <w:t>‘</w:t>
      </w:r>
      <w:r>
        <w:rPr>
          <w:rFonts w:ascii="Times New Roman" w:hAnsi="Times New Roman" w:cs="Times New Roman"/>
          <w:sz w:val="24"/>
          <w:szCs w:val="24"/>
        </w:rPr>
        <w:t>stressed</w:t>
      </w:r>
      <w:r w:rsidR="008A4FE1">
        <w:rPr>
          <w:rFonts w:ascii="Times New Roman" w:hAnsi="Times New Roman" w:cs="Times New Roman"/>
          <w:sz w:val="24"/>
          <w:szCs w:val="24"/>
        </w:rPr>
        <w:t>’</w:t>
      </w:r>
      <w:r>
        <w:rPr>
          <w:rFonts w:ascii="Times New Roman" w:hAnsi="Times New Roman" w:cs="Times New Roman"/>
          <w:sz w:val="24"/>
          <w:szCs w:val="24"/>
        </w:rPr>
        <w:t xml:space="preserve">. It is another for teachers in England to indicate that they are </w:t>
      </w:r>
      <w:r>
        <w:rPr>
          <w:rFonts w:ascii="Times New Roman" w:hAnsi="Times New Roman" w:cs="Times New Roman"/>
          <w:i/>
          <w:sz w:val="24"/>
          <w:szCs w:val="24"/>
          <w:u w:val="single"/>
        </w:rPr>
        <w:t>more stressed</w:t>
      </w:r>
      <w:r>
        <w:rPr>
          <w:rFonts w:ascii="Times New Roman" w:hAnsi="Times New Roman" w:cs="Times New Roman"/>
          <w:sz w:val="24"/>
          <w:szCs w:val="24"/>
        </w:rPr>
        <w:t xml:space="preserve"> than teachers elsewhere in the world. After all, every country aims to educate </w:t>
      </w:r>
      <w:r w:rsidR="008A4FE1">
        <w:rPr>
          <w:rFonts w:ascii="Times New Roman" w:hAnsi="Times New Roman" w:cs="Times New Roman"/>
          <w:sz w:val="24"/>
          <w:szCs w:val="24"/>
        </w:rPr>
        <w:t xml:space="preserve">its </w:t>
      </w:r>
      <w:r>
        <w:rPr>
          <w:rFonts w:ascii="Times New Roman" w:hAnsi="Times New Roman" w:cs="Times New Roman"/>
          <w:sz w:val="24"/>
          <w:szCs w:val="24"/>
        </w:rPr>
        <w:t>young people to the best of its capacity; yet this task is approached in quite different ways. It is therefore important to consider whether the particular approach used by England – with its heavy workload and its widespread use of accountability metrics (OECD</w:t>
      </w:r>
      <w:r w:rsidR="000F7986">
        <w:rPr>
          <w:rFonts w:ascii="Times New Roman" w:hAnsi="Times New Roman" w:cs="Times New Roman"/>
          <w:sz w:val="24"/>
          <w:szCs w:val="24"/>
        </w:rPr>
        <w:t>,</w:t>
      </w:r>
      <w:r>
        <w:rPr>
          <w:rFonts w:ascii="Times New Roman" w:hAnsi="Times New Roman" w:cs="Times New Roman"/>
          <w:sz w:val="24"/>
          <w:szCs w:val="24"/>
        </w:rPr>
        <w:t xml:space="preserve"> 2011) – is placing a greater strain upon teachers here than in other education systems.</w:t>
      </w:r>
    </w:p>
    <w:p w14:paraId="602C9D8B" w14:textId="00E35CC4" w:rsidR="009B3987" w:rsidRDefault="009B3987" w:rsidP="009B398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chapter provides new empirical evidence on this issue. It first compares the wellbeing of teachers in England to the rest of </w:t>
      </w:r>
      <w:r w:rsidR="005B1D49">
        <w:rPr>
          <w:rFonts w:ascii="Times New Roman" w:hAnsi="Times New Roman" w:cs="Times New Roman"/>
          <w:sz w:val="24"/>
          <w:szCs w:val="24"/>
        </w:rPr>
        <w:t xml:space="preserve">the </w:t>
      </w:r>
      <w:r>
        <w:rPr>
          <w:rFonts w:ascii="Times New Roman" w:hAnsi="Times New Roman" w:cs="Times New Roman"/>
          <w:sz w:val="24"/>
          <w:szCs w:val="24"/>
        </w:rPr>
        <w:t xml:space="preserve">UK, focusing upon whether they feel less happy, more anxious and their life less worthwhile than their counterparts in Scotland, Northern Ireland and Wales. We then present findings from the 2018 round of the Teaching and Learning International Survey (TALIS), where teachers from over 40 countries were asked about work-related stress and the impact that this has upon their mental health. </w:t>
      </w:r>
    </w:p>
    <w:p w14:paraId="2AA4BB02" w14:textId="77777777" w:rsidR="009B3987" w:rsidRPr="002E44F5" w:rsidRDefault="009B3987" w:rsidP="00697230">
      <w:pPr>
        <w:pStyle w:val="ListParagraph"/>
        <w:numPr>
          <w:ilvl w:val="1"/>
          <w:numId w:val="9"/>
        </w:numPr>
        <w:spacing w:line="259" w:lineRule="auto"/>
        <w:rPr>
          <w:rFonts w:ascii="Times New Roman" w:hAnsi="Times New Roman" w:cs="Times New Roman"/>
          <w:b/>
          <w:sz w:val="24"/>
          <w:szCs w:val="24"/>
        </w:rPr>
      </w:pPr>
      <w:r w:rsidRPr="002E44F5">
        <w:rPr>
          <w:rFonts w:ascii="Times New Roman" w:hAnsi="Times New Roman" w:cs="Times New Roman"/>
          <w:b/>
          <w:sz w:val="24"/>
          <w:szCs w:val="24"/>
        </w:rPr>
        <w:t>Data and methodology</w:t>
      </w:r>
    </w:p>
    <w:p w14:paraId="0CA70995" w14:textId="60EFAA5E" w:rsidR="009B3987" w:rsidRPr="002E44F5" w:rsidRDefault="009B3987" w:rsidP="009B3987">
      <w:pPr>
        <w:spacing w:line="360" w:lineRule="auto"/>
        <w:jc w:val="both"/>
        <w:rPr>
          <w:rFonts w:ascii="Times New Roman" w:hAnsi="Times New Roman" w:cs="Times New Roman"/>
          <w:sz w:val="24"/>
          <w:szCs w:val="24"/>
        </w:rPr>
      </w:pPr>
      <w:r w:rsidRPr="002E44F5">
        <w:rPr>
          <w:rFonts w:ascii="Times New Roman" w:hAnsi="Times New Roman" w:cs="Times New Roman"/>
          <w:sz w:val="24"/>
          <w:szCs w:val="24"/>
        </w:rPr>
        <w:t>Two</w:t>
      </w:r>
      <w:r>
        <w:rPr>
          <w:rFonts w:ascii="Times New Roman" w:hAnsi="Times New Roman" w:cs="Times New Roman"/>
          <w:sz w:val="24"/>
          <w:szCs w:val="24"/>
        </w:rPr>
        <w:t xml:space="preserve"> data sources are used to compare the mental health of teachers in England to other countries. The first is the 2011-2018 rounds of the Annual Population Survey (APS), which facilitates comparisons between England and the other countries which form the UK. This </w:t>
      </w:r>
      <w:r>
        <w:rPr>
          <w:rFonts w:ascii="Times New Roman" w:hAnsi="Times New Roman" w:cs="Times New Roman"/>
          <w:sz w:val="24"/>
          <w:szCs w:val="24"/>
        </w:rPr>
        <w:lastRenderedPageBreak/>
        <w:t xml:space="preserve">included four questions capturing whether respondents were anxious, felt their life was </w:t>
      </w:r>
      <w:r w:rsidRPr="00C91693">
        <w:rPr>
          <w:rFonts w:ascii="Times New Roman" w:hAnsi="Times New Roman" w:cs="Times New Roman"/>
          <w:sz w:val="24"/>
          <w:szCs w:val="24"/>
        </w:rPr>
        <w:t xml:space="preserve">worthwhile, </w:t>
      </w:r>
      <w:r w:rsidR="00333CD8">
        <w:rPr>
          <w:rFonts w:ascii="Times New Roman" w:hAnsi="Times New Roman" w:cs="Times New Roman"/>
          <w:sz w:val="24"/>
          <w:szCs w:val="24"/>
        </w:rPr>
        <w:t xml:space="preserve">and how they rated </w:t>
      </w:r>
      <w:r w:rsidRPr="00C91693">
        <w:rPr>
          <w:rFonts w:ascii="Times New Roman" w:hAnsi="Times New Roman" w:cs="Times New Roman"/>
          <w:sz w:val="24"/>
          <w:szCs w:val="24"/>
        </w:rPr>
        <w:t>their happiness and their life</w:t>
      </w:r>
      <w:r w:rsidR="008E0BCE">
        <w:rPr>
          <w:rFonts w:ascii="Times New Roman" w:hAnsi="Times New Roman" w:cs="Times New Roman"/>
          <w:sz w:val="24"/>
          <w:szCs w:val="24"/>
        </w:rPr>
        <w:t xml:space="preserve"> </w:t>
      </w:r>
      <w:r w:rsidRPr="00C91693">
        <w:rPr>
          <w:rFonts w:ascii="Times New Roman" w:hAnsi="Times New Roman" w:cs="Times New Roman"/>
          <w:sz w:val="24"/>
          <w:szCs w:val="24"/>
        </w:rPr>
        <w:t>satisfaction using a 0-10 scale (see Jerrim and</w:t>
      </w:r>
      <w:r w:rsidR="000F7986" w:rsidRPr="00C91693">
        <w:rPr>
          <w:rFonts w:ascii="Times New Roman" w:hAnsi="Times New Roman" w:cs="Times New Roman"/>
          <w:sz w:val="24"/>
          <w:szCs w:val="24"/>
        </w:rPr>
        <w:t xml:space="preserve"> </w:t>
      </w:r>
      <w:r w:rsidRPr="00C91693">
        <w:rPr>
          <w:rFonts w:ascii="Times New Roman" w:hAnsi="Times New Roman" w:cs="Times New Roman"/>
          <w:sz w:val="24"/>
          <w:szCs w:val="24"/>
        </w:rPr>
        <w:t>Sims</w:t>
      </w:r>
      <w:r w:rsidR="005A4F93">
        <w:rPr>
          <w:rFonts w:ascii="Times New Roman" w:hAnsi="Times New Roman" w:cs="Times New Roman"/>
          <w:sz w:val="24"/>
          <w:szCs w:val="24"/>
        </w:rPr>
        <w:t>,</w:t>
      </w:r>
      <w:r w:rsidRPr="00C91693">
        <w:rPr>
          <w:rFonts w:ascii="Times New Roman" w:hAnsi="Times New Roman" w:cs="Times New Roman"/>
          <w:sz w:val="24"/>
          <w:szCs w:val="24"/>
        </w:rPr>
        <w:t xml:space="preserve"> 2020</w:t>
      </w:r>
      <w:r w:rsidR="00C91693">
        <w:rPr>
          <w:rFonts w:ascii="Times New Roman" w:hAnsi="Times New Roman" w:cs="Times New Roman"/>
          <w:sz w:val="24"/>
          <w:szCs w:val="24"/>
        </w:rPr>
        <w:t>a</w:t>
      </w:r>
      <w:r w:rsidRPr="00C91693">
        <w:rPr>
          <w:rFonts w:ascii="Times New Roman" w:hAnsi="Times New Roman" w:cs="Times New Roman"/>
          <w:sz w:val="24"/>
          <w:szCs w:val="24"/>
        </w:rPr>
        <w:t xml:space="preserve"> for further details). Using these data, we estimate the proportion of teachers in England, Northern Ireland, Scotland and Wales who</w:t>
      </w:r>
      <w:r>
        <w:rPr>
          <w:rFonts w:ascii="Times New Roman" w:hAnsi="Times New Roman" w:cs="Times New Roman"/>
          <w:sz w:val="24"/>
          <w:szCs w:val="24"/>
        </w:rPr>
        <w:t xml:space="preserve"> report </w:t>
      </w:r>
      <w:r w:rsidR="00FA42F3">
        <w:rPr>
          <w:rFonts w:ascii="Times New Roman" w:hAnsi="Times New Roman" w:cs="Times New Roman"/>
          <w:sz w:val="24"/>
          <w:szCs w:val="24"/>
        </w:rPr>
        <w:t>‘</w:t>
      </w:r>
      <w:r>
        <w:rPr>
          <w:rFonts w:ascii="Times New Roman" w:hAnsi="Times New Roman" w:cs="Times New Roman"/>
          <w:sz w:val="24"/>
          <w:szCs w:val="24"/>
        </w:rPr>
        <w:t>low/medium</w:t>
      </w:r>
      <w:r w:rsidR="00FA42F3">
        <w:rPr>
          <w:rFonts w:ascii="Times New Roman" w:hAnsi="Times New Roman" w:cs="Times New Roman"/>
          <w:sz w:val="24"/>
          <w:szCs w:val="24"/>
        </w:rPr>
        <w:t>’</w:t>
      </w:r>
      <w:r>
        <w:rPr>
          <w:rFonts w:ascii="Times New Roman" w:hAnsi="Times New Roman" w:cs="Times New Roman"/>
          <w:sz w:val="24"/>
          <w:szCs w:val="24"/>
        </w:rPr>
        <w:t xml:space="preserve"> levels of life</w:t>
      </w:r>
      <w:r w:rsidR="00FA42F3">
        <w:rPr>
          <w:rFonts w:ascii="Times New Roman" w:hAnsi="Times New Roman" w:cs="Times New Roman"/>
          <w:sz w:val="24"/>
          <w:szCs w:val="24"/>
        </w:rPr>
        <w:t xml:space="preserve"> </w:t>
      </w:r>
      <w:r>
        <w:rPr>
          <w:rFonts w:ascii="Times New Roman" w:hAnsi="Times New Roman" w:cs="Times New Roman"/>
          <w:sz w:val="24"/>
          <w:szCs w:val="24"/>
        </w:rPr>
        <w:t xml:space="preserve">satisfaction, happiness and feelings of their life being worthwhile and </w:t>
      </w:r>
      <w:r w:rsidR="00FA42F3">
        <w:rPr>
          <w:rFonts w:ascii="Times New Roman" w:hAnsi="Times New Roman" w:cs="Times New Roman"/>
          <w:sz w:val="24"/>
          <w:szCs w:val="24"/>
        </w:rPr>
        <w:t>‘</w:t>
      </w:r>
      <w:r>
        <w:rPr>
          <w:rFonts w:ascii="Times New Roman" w:hAnsi="Times New Roman" w:cs="Times New Roman"/>
          <w:sz w:val="24"/>
          <w:szCs w:val="24"/>
        </w:rPr>
        <w:t>high</w:t>
      </w:r>
      <w:r w:rsidR="00FA42F3">
        <w:rPr>
          <w:rFonts w:ascii="Times New Roman" w:hAnsi="Times New Roman" w:cs="Times New Roman"/>
          <w:sz w:val="24"/>
          <w:szCs w:val="24"/>
        </w:rPr>
        <w:t>’</w:t>
      </w:r>
      <w:r>
        <w:rPr>
          <w:rFonts w:ascii="Times New Roman" w:hAnsi="Times New Roman" w:cs="Times New Roman"/>
          <w:sz w:val="24"/>
          <w:szCs w:val="24"/>
        </w:rPr>
        <w:t xml:space="preserve"> levels of anxiety. </w:t>
      </w:r>
      <w:r w:rsidR="001E666E">
        <w:rPr>
          <w:rFonts w:ascii="Times New Roman" w:hAnsi="Times New Roman" w:cs="Times New Roman"/>
          <w:sz w:val="24"/>
          <w:szCs w:val="24"/>
        </w:rPr>
        <w:t xml:space="preserve">This part of the analysis combines primary, secondary, SEN and </w:t>
      </w:r>
      <w:proofErr w:type="spellStart"/>
      <w:r w:rsidR="001E666E">
        <w:rPr>
          <w:rFonts w:ascii="Times New Roman" w:hAnsi="Times New Roman" w:cs="Times New Roman"/>
          <w:sz w:val="24"/>
          <w:szCs w:val="24"/>
        </w:rPr>
        <w:t>headteachers</w:t>
      </w:r>
      <w:proofErr w:type="spellEnd"/>
      <w:r w:rsidR="001E666E">
        <w:rPr>
          <w:rFonts w:ascii="Times New Roman" w:hAnsi="Times New Roman" w:cs="Times New Roman"/>
          <w:sz w:val="24"/>
          <w:szCs w:val="24"/>
        </w:rPr>
        <w:t xml:space="preserve"> into a single group.</w:t>
      </w:r>
    </w:p>
    <w:p w14:paraId="7F274209" w14:textId="4B1B4AFB" w:rsidR="009B3987" w:rsidRDefault="009B3987" w:rsidP="009B3987">
      <w:pPr>
        <w:spacing w:line="360" w:lineRule="auto"/>
        <w:jc w:val="both"/>
        <w:rPr>
          <w:rFonts w:ascii="Times New Roman" w:hAnsi="Times New Roman" w:cs="Times New Roman"/>
          <w:sz w:val="24"/>
          <w:szCs w:val="24"/>
        </w:rPr>
      </w:pPr>
      <w:r w:rsidRPr="002E44F5">
        <w:rPr>
          <w:rFonts w:ascii="Times New Roman" w:hAnsi="Times New Roman" w:cs="Times New Roman"/>
          <w:sz w:val="24"/>
          <w:szCs w:val="24"/>
        </w:rPr>
        <w:t>The se</w:t>
      </w:r>
      <w:r>
        <w:rPr>
          <w:rFonts w:ascii="Times New Roman" w:hAnsi="Times New Roman" w:cs="Times New Roman"/>
          <w:sz w:val="24"/>
          <w:szCs w:val="24"/>
        </w:rPr>
        <w:t xml:space="preserve">cond data source is TALIS 2018; a cross-national study of teachers and </w:t>
      </w:r>
      <w:proofErr w:type="spellStart"/>
      <w:r>
        <w:rPr>
          <w:rFonts w:ascii="Times New Roman" w:hAnsi="Times New Roman" w:cs="Times New Roman"/>
          <w:sz w:val="24"/>
          <w:szCs w:val="24"/>
        </w:rPr>
        <w:t>headteachers</w:t>
      </w:r>
      <w:proofErr w:type="spellEnd"/>
      <w:r>
        <w:rPr>
          <w:rFonts w:ascii="Times New Roman" w:hAnsi="Times New Roman" w:cs="Times New Roman"/>
          <w:sz w:val="24"/>
          <w:szCs w:val="24"/>
        </w:rPr>
        <w:t xml:space="preserve"> coordinated by the OECD. Using these data, we are able to compare mental health indicators for Key Stage 3 teachers in England to those in 47 other countries, and for Key Stage 1/2 teachers in England to those in 14 other countries. Our analysis of these data focus</w:t>
      </w:r>
      <w:r w:rsidR="00355AEF">
        <w:rPr>
          <w:rFonts w:ascii="Times New Roman" w:hAnsi="Times New Roman" w:cs="Times New Roman"/>
          <w:sz w:val="24"/>
          <w:szCs w:val="24"/>
        </w:rPr>
        <w:t>es</w:t>
      </w:r>
      <w:r>
        <w:rPr>
          <w:rFonts w:ascii="Times New Roman" w:hAnsi="Times New Roman" w:cs="Times New Roman"/>
          <w:sz w:val="24"/>
          <w:szCs w:val="24"/>
        </w:rPr>
        <w:t xml:space="preserve"> upon responses to two key questions included in this survey. The first asked teachers to report, using a four-point scale, the extent that they experience stress at work, </w:t>
      </w:r>
      <w:r w:rsidR="00FE11C9">
        <w:rPr>
          <w:rFonts w:ascii="Times New Roman" w:hAnsi="Times New Roman" w:cs="Times New Roman"/>
          <w:sz w:val="24"/>
          <w:szCs w:val="24"/>
        </w:rPr>
        <w:t xml:space="preserve">that work </w:t>
      </w:r>
      <w:r>
        <w:rPr>
          <w:rFonts w:ascii="Times New Roman" w:hAnsi="Times New Roman" w:cs="Times New Roman"/>
          <w:sz w:val="24"/>
          <w:szCs w:val="24"/>
        </w:rPr>
        <w:t xml:space="preserve">leaves them enough time for their personal life, impacts upon their mental health and impacts upon their physical health. The second question asks teachers and </w:t>
      </w:r>
      <w:proofErr w:type="spellStart"/>
      <w:r>
        <w:rPr>
          <w:rFonts w:ascii="Times New Roman" w:hAnsi="Times New Roman" w:cs="Times New Roman"/>
          <w:sz w:val="24"/>
          <w:szCs w:val="24"/>
        </w:rPr>
        <w:t>headteachers</w:t>
      </w:r>
      <w:proofErr w:type="spellEnd"/>
      <w:r>
        <w:rPr>
          <w:rFonts w:ascii="Times New Roman" w:hAnsi="Times New Roman" w:cs="Times New Roman"/>
          <w:sz w:val="24"/>
          <w:szCs w:val="24"/>
        </w:rPr>
        <w:t xml:space="preserve"> to report the extent </w:t>
      </w:r>
      <w:r w:rsidR="00E44982">
        <w:rPr>
          <w:rFonts w:ascii="Times New Roman" w:hAnsi="Times New Roman" w:cs="Times New Roman"/>
          <w:sz w:val="24"/>
          <w:szCs w:val="24"/>
        </w:rPr>
        <w:t xml:space="preserve">to which </w:t>
      </w:r>
      <w:r>
        <w:rPr>
          <w:rFonts w:ascii="Times New Roman" w:hAnsi="Times New Roman" w:cs="Times New Roman"/>
          <w:sz w:val="24"/>
          <w:szCs w:val="24"/>
        </w:rPr>
        <w:t xml:space="preserve">11 different tasks </w:t>
      </w:r>
      <w:proofErr w:type="gramStart"/>
      <w:r>
        <w:rPr>
          <w:rFonts w:ascii="Times New Roman" w:hAnsi="Times New Roman" w:cs="Times New Roman"/>
          <w:sz w:val="24"/>
          <w:szCs w:val="24"/>
        </w:rPr>
        <w:t>cause</w:t>
      </w:r>
      <w:proofErr w:type="gramEnd"/>
      <w:r>
        <w:rPr>
          <w:rFonts w:ascii="Times New Roman" w:hAnsi="Times New Roman" w:cs="Times New Roman"/>
          <w:sz w:val="24"/>
          <w:szCs w:val="24"/>
        </w:rPr>
        <w:t xml:space="preserve"> them stress at work, such as having too much marking, having too much administrative work and being held accountable to pupils’ achievement. </w:t>
      </w:r>
    </w:p>
    <w:p w14:paraId="00532AE6" w14:textId="785672C4" w:rsidR="009B3987" w:rsidRPr="00006FA8" w:rsidRDefault="009B3987" w:rsidP="009B3987">
      <w:pPr>
        <w:spacing w:line="360" w:lineRule="auto"/>
        <w:jc w:val="both"/>
        <w:rPr>
          <w:rFonts w:ascii="Times New Roman" w:hAnsi="Times New Roman" w:cs="Times New Roman"/>
          <w:sz w:val="24"/>
          <w:szCs w:val="24"/>
        </w:rPr>
      </w:pPr>
      <w:r>
        <w:rPr>
          <w:rFonts w:ascii="Times New Roman" w:hAnsi="Times New Roman" w:cs="Times New Roman"/>
          <w:sz w:val="24"/>
          <w:szCs w:val="24"/>
        </w:rPr>
        <w:t>Using the TALIS 2018 data, the distribution of responses provided by primary and lower-secondary teachers in England are first documented and compared. The analysis then turns to cross-national comparisons, illustrating similarities and differences between England and other countries. For lower-secondary teachers, England will be compared to the average across the OECD countries that participated in the TALIS 2018 study. As far fewer OECD countries took part in the primary school study, comparisons will be made between England and the TALIS average (i.e. the average across all 15 countries that chose to conduct the survey amongst primary staff).</w:t>
      </w:r>
    </w:p>
    <w:p w14:paraId="11A17520" w14:textId="77777777" w:rsidR="009B3987" w:rsidRPr="00BC78D4" w:rsidRDefault="009B3987" w:rsidP="00697230">
      <w:pPr>
        <w:pStyle w:val="ListParagraph"/>
        <w:numPr>
          <w:ilvl w:val="1"/>
          <w:numId w:val="9"/>
        </w:numPr>
        <w:spacing w:line="259" w:lineRule="auto"/>
        <w:rPr>
          <w:rFonts w:ascii="Times New Roman" w:hAnsi="Times New Roman" w:cs="Times New Roman"/>
          <w:b/>
          <w:sz w:val="24"/>
          <w:szCs w:val="24"/>
        </w:rPr>
      </w:pPr>
      <w:r>
        <w:rPr>
          <w:rFonts w:ascii="Times New Roman" w:hAnsi="Times New Roman" w:cs="Times New Roman"/>
          <w:b/>
          <w:sz w:val="24"/>
          <w:szCs w:val="24"/>
        </w:rPr>
        <w:t xml:space="preserve">The wellbeing of teachers in </w:t>
      </w:r>
      <w:r w:rsidRPr="00BC78D4">
        <w:rPr>
          <w:rFonts w:ascii="Times New Roman" w:hAnsi="Times New Roman" w:cs="Times New Roman"/>
          <w:b/>
          <w:sz w:val="24"/>
          <w:szCs w:val="24"/>
        </w:rPr>
        <w:t>England compared to the rest of the UK</w:t>
      </w:r>
    </w:p>
    <w:p w14:paraId="7A170F9C" w14:textId="4D10B8E1" w:rsidR="009B3987" w:rsidRPr="00F42C0A" w:rsidRDefault="009B3987" w:rsidP="009B398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Table 2.1 provides results from our comparison of teachers’ personal wellbeing across the UK, based upon our analysis of the APS data.  Overall, differences in the personal wellbeing of teachers across different parts of the UK are relatively small. The percentage of teachers reporting </w:t>
      </w:r>
      <w:r w:rsidR="009347A5">
        <w:rPr>
          <w:rFonts w:ascii="Times New Roman" w:hAnsi="Times New Roman" w:cs="Times New Roman"/>
          <w:sz w:val="24"/>
          <w:szCs w:val="24"/>
        </w:rPr>
        <w:t>feeling</w:t>
      </w:r>
      <w:r>
        <w:rPr>
          <w:rFonts w:ascii="Times New Roman" w:hAnsi="Times New Roman" w:cs="Times New Roman"/>
          <w:sz w:val="24"/>
          <w:szCs w:val="24"/>
        </w:rPr>
        <w:t xml:space="preserve"> anxious, unhappy, that their life is not worthwhile and dissatisfied with life are similar across England, Scotland, Northern Ireland and Wales. Similar findings continue to emerge if we </w:t>
      </w:r>
      <w:r w:rsidR="009347A5">
        <w:rPr>
          <w:rFonts w:ascii="Times New Roman" w:hAnsi="Times New Roman" w:cs="Times New Roman"/>
          <w:sz w:val="24"/>
          <w:szCs w:val="24"/>
        </w:rPr>
        <w:t xml:space="preserve">analyse </w:t>
      </w:r>
      <w:r>
        <w:rPr>
          <w:rFonts w:ascii="Times New Roman" w:hAnsi="Times New Roman" w:cs="Times New Roman"/>
          <w:sz w:val="24"/>
          <w:szCs w:val="24"/>
        </w:rPr>
        <w:t xml:space="preserve">average personal wellbeing scores using the full 0-10 scale and when </w:t>
      </w:r>
      <w:r>
        <w:rPr>
          <w:rFonts w:ascii="Times New Roman" w:hAnsi="Times New Roman" w:cs="Times New Roman"/>
          <w:sz w:val="24"/>
          <w:szCs w:val="24"/>
        </w:rPr>
        <w:lastRenderedPageBreak/>
        <w:t xml:space="preserve">using regression analysis (to control for demographic differences in the composition of the teacher population across different parts of the UK) instead. We hence conclude that the personal wellbeing of teachers is broadly similar across the four nations of the UK. </w:t>
      </w:r>
    </w:p>
    <w:p w14:paraId="61BECAB6" w14:textId="159168D5" w:rsidR="009B3987" w:rsidRPr="00097841" w:rsidRDefault="009B3987" w:rsidP="009B3987">
      <w:pPr>
        <w:jc w:val="center"/>
        <w:rPr>
          <w:rFonts w:ascii="Times New Roman" w:hAnsi="Times New Roman" w:cs="Times New Roman"/>
          <w:b/>
          <w:sz w:val="24"/>
          <w:szCs w:val="24"/>
        </w:rPr>
      </w:pPr>
      <w:r>
        <w:rPr>
          <w:rFonts w:ascii="Times New Roman" w:hAnsi="Times New Roman" w:cs="Times New Roman"/>
          <w:b/>
          <w:sz w:val="24"/>
          <w:szCs w:val="24"/>
        </w:rPr>
        <w:t>Table 2.1 Comparison of the personal wellbeing of teachers across the UK</w:t>
      </w:r>
    </w:p>
    <w:tbl>
      <w:tblPr>
        <w:tblW w:w="8060" w:type="dxa"/>
        <w:jc w:val="center"/>
        <w:tblLook w:val="04A0" w:firstRow="1" w:lastRow="0" w:firstColumn="1" w:lastColumn="0" w:noHBand="0" w:noVBand="1"/>
      </w:tblPr>
      <w:tblGrid>
        <w:gridCol w:w="1960"/>
        <w:gridCol w:w="1200"/>
        <w:gridCol w:w="1240"/>
        <w:gridCol w:w="1390"/>
        <w:gridCol w:w="1380"/>
        <w:gridCol w:w="1040"/>
      </w:tblGrid>
      <w:tr w:rsidR="009B3987" w:rsidRPr="001F426A" w14:paraId="78828AF8" w14:textId="77777777" w:rsidTr="00141B6D">
        <w:trPr>
          <w:trHeight w:val="255"/>
          <w:jc w:val="center"/>
        </w:trPr>
        <w:tc>
          <w:tcPr>
            <w:tcW w:w="1960" w:type="dxa"/>
            <w:tcBorders>
              <w:top w:val="single" w:sz="4" w:space="0" w:color="auto"/>
              <w:left w:val="nil"/>
              <w:bottom w:val="single" w:sz="4" w:space="0" w:color="auto"/>
              <w:right w:val="nil"/>
            </w:tcBorders>
            <w:shd w:val="clear" w:color="000000" w:fill="8DB4E3"/>
            <w:noWrap/>
            <w:vAlign w:val="bottom"/>
            <w:hideMark/>
          </w:tcPr>
          <w:p w14:paraId="6F73A1E0" w14:textId="77777777" w:rsidR="009B3987" w:rsidRPr="001F426A" w:rsidRDefault="009B3987" w:rsidP="00141B6D">
            <w:pPr>
              <w:spacing w:after="0" w:line="240" w:lineRule="auto"/>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Group</w:t>
            </w:r>
          </w:p>
        </w:tc>
        <w:tc>
          <w:tcPr>
            <w:tcW w:w="1200" w:type="dxa"/>
            <w:tcBorders>
              <w:top w:val="single" w:sz="4" w:space="0" w:color="auto"/>
              <w:left w:val="nil"/>
              <w:bottom w:val="single" w:sz="4" w:space="0" w:color="auto"/>
              <w:right w:val="nil"/>
            </w:tcBorders>
            <w:shd w:val="clear" w:color="000000" w:fill="8DB4E3"/>
            <w:noWrap/>
            <w:vAlign w:val="bottom"/>
            <w:hideMark/>
          </w:tcPr>
          <w:p w14:paraId="4215EE95"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Anxious</w:t>
            </w:r>
          </w:p>
        </w:tc>
        <w:tc>
          <w:tcPr>
            <w:tcW w:w="1240" w:type="dxa"/>
            <w:tcBorders>
              <w:top w:val="single" w:sz="4" w:space="0" w:color="auto"/>
              <w:left w:val="nil"/>
              <w:bottom w:val="single" w:sz="4" w:space="0" w:color="auto"/>
              <w:right w:val="nil"/>
            </w:tcBorders>
            <w:shd w:val="clear" w:color="000000" w:fill="8DB4E3"/>
            <w:noWrap/>
            <w:vAlign w:val="bottom"/>
            <w:hideMark/>
          </w:tcPr>
          <w:p w14:paraId="5E6EACA8"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Unhappy</w:t>
            </w:r>
          </w:p>
        </w:tc>
        <w:tc>
          <w:tcPr>
            <w:tcW w:w="1240" w:type="dxa"/>
            <w:tcBorders>
              <w:top w:val="single" w:sz="4" w:space="0" w:color="auto"/>
              <w:left w:val="nil"/>
              <w:bottom w:val="single" w:sz="4" w:space="0" w:color="auto"/>
              <w:right w:val="nil"/>
            </w:tcBorders>
            <w:shd w:val="clear" w:color="000000" w:fill="8DB4E3"/>
            <w:noWrap/>
            <w:vAlign w:val="bottom"/>
            <w:hideMark/>
          </w:tcPr>
          <w:p w14:paraId="56E2A3C3"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Dissatisfied</w:t>
            </w:r>
          </w:p>
        </w:tc>
        <w:tc>
          <w:tcPr>
            <w:tcW w:w="1380" w:type="dxa"/>
            <w:tcBorders>
              <w:top w:val="single" w:sz="4" w:space="0" w:color="auto"/>
              <w:left w:val="nil"/>
              <w:bottom w:val="single" w:sz="4" w:space="0" w:color="auto"/>
              <w:right w:val="nil"/>
            </w:tcBorders>
            <w:shd w:val="clear" w:color="000000" w:fill="8DB4E3"/>
            <w:noWrap/>
            <w:vAlign w:val="bottom"/>
            <w:hideMark/>
          </w:tcPr>
          <w:p w14:paraId="4FB15DE9"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Not worthwhile</w:t>
            </w:r>
          </w:p>
        </w:tc>
        <w:tc>
          <w:tcPr>
            <w:tcW w:w="1040" w:type="dxa"/>
            <w:tcBorders>
              <w:top w:val="single" w:sz="4" w:space="0" w:color="auto"/>
              <w:left w:val="nil"/>
              <w:bottom w:val="single" w:sz="4" w:space="0" w:color="auto"/>
              <w:right w:val="nil"/>
            </w:tcBorders>
            <w:shd w:val="clear" w:color="000000" w:fill="8DB4E3"/>
            <w:noWrap/>
            <w:vAlign w:val="bottom"/>
            <w:hideMark/>
          </w:tcPr>
          <w:p w14:paraId="626C86F7"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N</w:t>
            </w:r>
          </w:p>
        </w:tc>
      </w:tr>
      <w:tr w:rsidR="009B3987" w:rsidRPr="001F426A" w14:paraId="574D36B3" w14:textId="77777777" w:rsidTr="00141B6D">
        <w:trPr>
          <w:trHeight w:val="255"/>
          <w:jc w:val="center"/>
        </w:trPr>
        <w:tc>
          <w:tcPr>
            <w:tcW w:w="1960" w:type="dxa"/>
            <w:tcBorders>
              <w:top w:val="nil"/>
              <w:left w:val="nil"/>
              <w:bottom w:val="nil"/>
              <w:right w:val="nil"/>
            </w:tcBorders>
            <w:shd w:val="clear" w:color="auto" w:fill="auto"/>
            <w:noWrap/>
            <w:vAlign w:val="bottom"/>
            <w:hideMark/>
          </w:tcPr>
          <w:p w14:paraId="431A32BF"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England</w:t>
            </w:r>
          </w:p>
        </w:tc>
        <w:tc>
          <w:tcPr>
            <w:tcW w:w="1200" w:type="dxa"/>
            <w:tcBorders>
              <w:top w:val="nil"/>
              <w:left w:val="nil"/>
              <w:bottom w:val="nil"/>
              <w:right w:val="nil"/>
            </w:tcBorders>
            <w:shd w:val="clear" w:color="auto" w:fill="auto"/>
            <w:noWrap/>
            <w:vAlign w:val="bottom"/>
            <w:hideMark/>
          </w:tcPr>
          <w:p w14:paraId="5F199D8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w:t>
            </w:r>
          </w:p>
        </w:tc>
        <w:tc>
          <w:tcPr>
            <w:tcW w:w="1240" w:type="dxa"/>
            <w:tcBorders>
              <w:top w:val="nil"/>
              <w:left w:val="nil"/>
              <w:bottom w:val="nil"/>
              <w:right w:val="nil"/>
            </w:tcBorders>
            <w:shd w:val="clear" w:color="auto" w:fill="auto"/>
            <w:noWrap/>
            <w:vAlign w:val="bottom"/>
            <w:hideMark/>
          </w:tcPr>
          <w:p w14:paraId="74BD439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w:t>
            </w:r>
          </w:p>
        </w:tc>
        <w:tc>
          <w:tcPr>
            <w:tcW w:w="1240" w:type="dxa"/>
            <w:tcBorders>
              <w:top w:val="nil"/>
              <w:left w:val="nil"/>
              <w:bottom w:val="nil"/>
              <w:right w:val="nil"/>
            </w:tcBorders>
            <w:shd w:val="clear" w:color="auto" w:fill="auto"/>
            <w:noWrap/>
            <w:vAlign w:val="bottom"/>
            <w:hideMark/>
          </w:tcPr>
          <w:p w14:paraId="1BD617B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12%</w:t>
            </w:r>
          </w:p>
        </w:tc>
        <w:tc>
          <w:tcPr>
            <w:tcW w:w="1380" w:type="dxa"/>
            <w:tcBorders>
              <w:top w:val="nil"/>
              <w:left w:val="nil"/>
              <w:bottom w:val="nil"/>
              <w:right w:val="nil"/>
            </w:tcBorders>
            <w:shd w:val="clear" w:color="auto" w:fill="auto"/>
            <w:noWrap/>
            <w:vAlign w:val="bottom"/>
            <w:hideMark/>
          </w:tcPr>
          <w:p w14:paraId="7F58EC6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w:t>
            </w:r>
          </w:p>
        </w:tc>
        <w:tc>
          <w:tcPr>
            <w:tcW w:w="1040" w:type="dxa"/>
            <w:tcBorders>
              <w:top w:val="nil"/>
              <w:left w:val="nil"/>
              <w:bottom w:val="nil"/>
              <w:right w:val="nil"/>
            </w:tcBorders>
            <w:shd w:val="clear" w:color="auto" w:fill="auto"/>
            <w:noWrap/>
            <w:vAlign w:val="bottom"/>
            <w:hideMark/>
          </w:tcPr>
          <w:p w14:paraId="1171D6E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16</w:t>
            </w:r>
            <w:r>
              <w:rPr>
                <w:rFonts w:ascii="Times New Roman" w:eastAsia="Times New Roman" w:hAnsi="Times New Roman" w:cs="Times New Roman"/>
                <w:sz w:val="24"/>
                <w:szCs w:val="24"/>
                <w:lang w:eastAsia="en-GB"/>
              </w:rPr>
              <w:t>,</w:t>
            </w:r>
            <w:r w:rsidRPr="001F426A">
              <w:rPr>
                <w:rFonts w:ascii="Times New Roman" w:eastAsia="Times New Roman" w:hAnsi="Times New Roman" w:cs="Times New Roman"/>
                <w:sz w:val="24"/>
                <w:szCs w:val="24"/>
                <w:lang w:eastAsia="en-GB"/>
              </w:rPr>
              <w:t>426</w:t>
            </w:r>
          </w:p>
        </w:tc>
      </w:tr>
      <w:tr w:rsidR="009B3987" w:rsidRPr="001F426A" w14:paraId="04821E15" w14:textId="77777777" w:rsidTr="00141B6D">
        <w:trPr>
          <w:trHeight w:val="255"/>
          <w:jc w:val="center"/>
        </w:trPr>
        <w:tc>
          <w:tcPr>
            <w:tcW w:w="1960" w:type="dxa"/>
            <w:tcBorders>
              <w:top w:val="nil"/>
              <w:left w:val="nil"/>
              <w:bottom w:val="nil"/>
              <w:right w:val="nil"/>
            </w:tcBorders>
            <w:shd w:val="clear" w:color="auto" w:fill="auto"/>
            <w:noWrap/>
            <w:vAlign w:val="bottom"/>
            <w:hideMark/>
          </w:tcPr>
          <w:p w14:paraId="48385D60"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Wales</w:t>
            </w:r>
          </w:p>
        </w:tc>
        <w:tc>
          <w:tcPr>
            <w:tcW w:w="1200" w:type="dxa"/>
            <w:tcBorders>
              <w:top w:val="nil"/>
              <w:left w:val="nil"/>
              <w:bottom w:val="nil"/>
              <w:right w:val="nil"/>
            </w:tcBorders>
            <w:shd w:val="clear" w:color="auto" w:fill="auto"/>
            <w:noWrap/>
            <w:vAlign w:val="bottom"/>
            <w:hideMark/>
          </w:tcPr>
          <w:p w14:paraId="3562F86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w:t>
            </w:r>
          </w:p>
        </w:tc>
        <w:tc>
          <w:tcPr>
            <w:tcW w:w="1240" w:type="dxa"/>
            <w:tcBorders>
              <w:top w:val="nil"/>
              <w:left w:val="nil"/>
              <w:bottom w:val="nil"/>
              <w:right w:val="nil"/>
            </w:tcBorders>
            <w:shd w:val="clear" w:color="auto" w:fill="auto"/>
            <w:noWrap/>
            <w:vAlign w:val="bottom"/>
            <w:hideMark/>
          </w:tcPr>
          <w:p w14:paraId="30DF662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bookmarkStart w:id="3" w:name="_GoBack"/>
            <w:bookmarkEnd w:id="3"/>
            <w:r w:rsidRPr="001F426A">
              <w:rPr>
                <w:rFonts w:ascii="Times New Roman" w:eastAsia="Times New Roman" w:hAnsi="Times New Roman" w:cs="Times New Roman"/>
                <w:sz w:val="24"/>
                <w:szCs w:val="24"/>
                <w:lang w:eastAsia="en-GB"/>
              </w:rPr>
              <w:t>18%</w:t>
            </w:r>
          </w:p>
        </w:tc>
        <w:tc>
          <w:tcPr>
            <w:tcW w:w="1240" w:type="dxa"/>
            <w:tcBorders>
              <w:top w:val="nil"/>
              <w:left w:val="nil"/>
              <w:bottom w:val="nil"/>
              <w:right w:val="nil"/>
            </w:tcBorders>
            <w:shd w:val="clear" w:color="auto" w:fill="auto"/>
            <w:noWrap/>
            <w:vAlign w:val="bottom"/>
            <w:hideMark/>
          </w:tcPr>
          <w:p w14:paraId="055F840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11%</w:t>
            </w:r>
          </w:p>
        </w:tc>
        <w:tc>
          <w:tcPr>
            <w:tcW w:w="1380" w:type="dxa"/>
            <w:tcBorders>
              <w:top w:val="nil"/>
              <w:left w:val="nil"/>
              <w:bottom w:val="nil"/>
              <w:right w:val="nil"/>
            </w:tcBorders>
            <w:shd w:val="clear" w:color="auto" w:fill="auto"/>
            <w:noWrap/>
            <w:vAlign w:val="bottom"/>
            <w:hideMark/>
          </w:tcPr>
          <w:p w14:paraId="3C588C1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w:t>
            </w:r>
          </w:p>
        </w:tc>
        <w:tc>
          <w:tcPr>
            <w:tcW w:w="1040" w:type="dxa"/>
            <w:tcBorders>
              <w:top w:val="nil"/>
              <w:left w:val="nil"/>
              <w:bottom w:val="nil"/>
              <w:right w:val="nil"/>
            </w:tcBorders>
            <w:shd w:val="clear" w:color="auto" w:fill="auto"/>
            <w:noWrap/>
            <w:vAlign w:val="bottom"/>
            <w:hideMark/>
          </w:tcPr>
          <w:p w14:paraId="2C02DA6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w:t>
            </w:r>
            <w:r>
              <w:rPr>
                <w:rFonts w:ascii="Times New Roman" w:eastAsia="Times New Roman" w:hAnsi="Times New Roman" w:cs="Times New Roman"/>
                <w:sz w:val="24"/>
                <w:szCs w:val="24"/>
                <w:lang w:eastAsia="en-GB"/>
              </w:rPr>
              <w:t>,</w:t>
            </w:r>
            <w:r w:rsidRPr="001F426A">
              <w:rPr>
                <w:rFonts w:ascii="Times New Roman" w:eastAsia="Times New Roman" w:hAnsi="Times New Roman" w:cs="Times New Roman"/>
                <w:sz w:val="24"/>
                <w:szCs w:val="24"/>
                <w:lang w:eastAsia="en-GB"/>
              </w:rPr>
              <w:t>453</w:t>
            </w:r>
          </w:p>
        </w:tc>
      </w:tr>
      <w:tr w:rsidR="009B3987" w:rsidRPr="001F426A" w14:paraId="04A779BA" w14:textId="77777777" w:rsidTr="00141B6D">
        <w:trPr>
          <w:trHeight w:val="255"/>
          <w:jc w:val="center"/>
        </w:trPr>
        <w:tc>
          <w:tcPr>
            <w:tcW w:w="1960" w:type="dxa"/>
            <w:tcBorders>
              <w:top w:val="nil"/>
              <w:left w:val="nil"/>
              <w:bottom w:val="nil"/>
              <w:right w:val="nil"/>
            </w:tcBorders>
            <w:shd w:val="clear" w:color="auto" w:fill="auto"/>
            <w:noWrap/>
            <w:vAlign w:val="bottom"/>
            <w:hideMark/>
          </w:tcPr>
          <w:p w14:paraId="0EC8ABA0"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Scotland</w:t>
            </w:r>
          </w:p>
        </w:tc>
        <w:tc>
          <w:tcPr>
            <w:tcW w:w="1200" w:type="dxa"/>
            <w:tcBorders>
              <w:top w:val="nil"/>
              <w:left w:val="nil"/>
              <w:bottom w:val="nil"/>
              <w:right w:val="nil"/>
            </w:tcBorders>
            <w:shd w:val="clear" w:color="auto" w:fill="auto"/>
            <w:noWrap/>
            <w:vAlign w:val="bottom"/>
            <w:hideMark/>
          </w:tcPr>
          <w:p w14:paraId="436CE21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18%</w:t>
            </w:r>
          </w:p>
        </w:tc>
        <w:tc>
          <w:tcPr>
            <w:tcW w:w="1240" w:type="dxa"/>
            <w:tcBorders>
              <w:top w:val="nil"/>
              <w:left w:val="nil"/>
              <w:bottom w:val="nil"/>
              <w:right w:val="nil"/>
            </w:tcBorders>
            <w:shd w:val="clear" w:color="auto" w:fill="auto"/>
            <w:noWrap/>
            <w:vAlign w:val="bottom"/>
            <w:hideMark/>
          </w:tcPr>
          <w:p w14:paraId="432AFC8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17%</w:t>
            </w:r>
          </w:p>
        </w:tc>
        <w:tc>
          <w:tcPr>
            <w:tcW w:w="1240" w:type="dxa"/>
            <w:tcBorders>
              <w:top w:val="nil"/>
              <w:left w:val="nil"/>
              <w:bottom w:val="nil"/>
              <w:right w:val="nil"/>
            </w:tcBorders>
            <w:shd w:val="clear" w:color="auto" w:fill="auto"/>
            <w:noWrap/>
            <w:vAlign w:val="bottom"/>
            <w:hideMark/>
          </w:tcPr>
          <w:p w14:paraId="63259A6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9%</w:t>
            </w:r>
          </w:p>
        </w:tc>
        <w:tc>
          <w:tcPr>
            <w:tcW w:w="1380" w:type="dxa"/>
            <w:tcBorders>
              <w:top w:val="nil"/>
              <w:left w:val="nil"/>
              <w:bottom w:val="nil"/>
              <w:right w:val="nil"/>
            </w:tcBorders>
            <w:shd w:val="clear" w:color="auto" w:fill="auto"/>
            <w:noWrap/>
            <w:vAlign w:val="bottom"/>
            <w:hideMark/>
          </w:tcPr>
          <w:p w14:paraId="34A174C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w:t>
            </w:r>
          </w:p>
        </w:tc>
        <w:tc>
          <w:tcPr>
            <w:tcW w:w="1040" w:type="dxa"/>
            <w:tcBorders>
              <w:top w:val="nil"/>
              <w:left w:val="nil"/>
              <w:bottom w:val="nil"/>
              <w:right w:val="nil"/>
            </w:tcBorders>
            <w:shd w:val="clear" w:color="auto" w:fill="auto"/>
            <w:noWrap/>
            <w:vAlign w:val="bottom"/>
            <w:hideMark/>
          </w:tcPr>
          <w:p w14:paraId="310AC15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w:t>
            </w:r>
            <w:r>
              <w:rPr>
                <w:rFonts w:ascii="Times New Roman" w:eastAsia="Times New Roman" w:hAnsi="Times New Roman" w:cs="Times New Roman"/>
                <w:sz w:val="24"/>
                <w:szCs w:val="24"/>
                <w:lang w:eastAsia="en-GB"/>
              </w:rPr>
              <w:t>,</w:t>
            </w:r>
            <w:r w:rsidRPr="001F426A">
              <w:rPr>
                <w:rFonts w:ascii="Times New Roman" w:eastAsia="Times New Roman" w:hAnsi="Times New Roman" w:cs="Times New Roman"/>
                <w:sz w:val="24"/>
                <w:szCs w:val="24"/>
                <w:lang w:eastAsia="en-GB"/>
              </w:rPr>
              <w:t>059</w:t>
            </w:r>
          </w:p>
        </w:tc>
      </w:tr>
      <w:tr w:rsidR="009B3987" w:rsidRPr="001F426A" w14:paraId="5EC2E104" w14:textId="77777777" w:rsidTr="00141B6D">
        <w:trPr>
          <w:trHeight w:val="255"/>
          <w:jc w:val="center"/>
        </w:trPr>
        <w:tc>
          <w:tcPr>
            <w:tcW w:w="1960" w:type="dxa"/>
            <w:tcBorders>
              <w:top w:val="nil"/>
              <w:left w:val="nil"/>
              <w:bottom w:val="single" w:sz="4" w:space="0" w:color="auto"/>
              <w:right w:val="nil"/>
            </w:tcBorders>
            <w:shd w:val="clear" w:color="auto" w:fill="auto"/>
            <w:noWrap/>
            <w:vAlign w:val="bottom"/>
            <w:hideMark/>
          </w:tcPr>
          <w:p w14:paraId="27F58F9E"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Northern Ireland</w:t>
            </w:r>
          </w:p>
        </w:tc>
        <w:tc>
          <w:tcPr>
            <w:tcW w:w="1200" w:type="dxa"/>
            <w:tcBorders>
              <w:top w:val="nil"/>
              <w:left w:val="nil"/>
              <w:bottom w:val="single" w:sz="4" w:space="0" w:color="auto"/>
              <w:right w:val="nil"/>
            </w:tcBorders>
            <w:shd w:val="clear" w:color="auto" w:fill="auto"/>
            <w:noWrap/>
            <w:vAlign w:val="bottom"/>
            <w:hideMark/>
          </w:tcPr>
          <w:p w14:paraId="129358F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13%</w:t>
            </w:r>
          </w:p>
        </w:tc>
        <w:tc>
          <w:tcPr>
            <w:tcW w:w="1240" w:type="dxa"/>
            <w:tcBorders>
              <w:top w:val="nil"/>
              <w:left w:val="nil"/>
              <w:bottom w:val="single" w:sz="4" w:space="0" w:color="auto"/>
              <w:right w:val="nil"/>
            </w:tcBorders>
            <w:shd w:val="clear" w:color="auto" w:fill="auto"/>
            <w:noWrap/>
            <w:vAlign w:val="bottom"/>
            <w:hideMark/>
          </w:tcPr>
          <w:p w14:paraId="39C9014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12%</w:t>
            </w:r>
          </w:p>
        </w:tc>
        <w:tc>
          <w:tcPr>
            <w:tcW w:w="1240" w:type="dxa"/>
            <w:tcBorders>
              <w:top w:val="nil"/>
              <w:left w:val="nil"/>
              <w:bottom w:val="single" w:sz="4" w:space="0" w:color="auto"/>
              <w:right w:val="nil"/>
            </w:tcBorders>
            <w:shd w:val="clear" w:color="auto" w:fill="auto"/>
            <w:noWrap/>
            <w:vAlign w:val="bottom"/>
            <w:hideMark/>
          </w:tcPr>
          <w:p w14:paraId="6F41E85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w:t>
            </w:r>
          </w:p>
        </w:tc>
        <w:tc>
          <w:tcPr>
            <w:tcW w:w="1380" w:type="dxa"/>
            <w:tcBorders>
              <w:top w:val="nil"/>
              <w:left w:val="nil"/>
              <w:bottom w:val="single" w:sz="4" w:space="0" w:color="auto"/>
              <w:right w:val="nil"/>
            </w:tcBorders>
            <w:shd w:val="clear" w:color="auto" w:fill="auto"/>
            <w:noWrap/>
            <w:vAlign w:val="bottom"/>
            <w:hideMark/>
          </w:tcPr>
          <w:p w14:paraId="4E7A2CC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w:t>
            </w:r>
          </w:p>
        </w:tc>
        <w:tc>
          <w:tcPr>
            <w:tcW w:w="1040" w:type="dxa"/>
            <w:tcBorders>
              <w:top w:val="nil"/>
              <w:left w:val="nil"/>
              <w:bottom w:val="single" w:sz="4" w:space="0" w:color="auto"/>
              <w:right w:val="nil"/>
            </w:tcBorders>
            <w:shd w:val="clear" w:color="auto" w:fill="auto"/>
            <w:noWrap/>
            <w:vAlign w:val="bottom"/>
            <w:hideMark/>
          </w:tcPr>
          <w:p w14:paraId="40141DA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432</w:t>
            </w:r>
          </w:p>
        </w:tc>
      </w:tr>
    </w:tbl>
    <w:p w14:paraId="17121D8E" w14:textId="066F65BC" w:rsidR="009B3987" w:rsidRPr="00F42C0A" w:rsidRDefault="009B3987" w:rsidP="008B4E20">
      <w:pPr>
        <w:spacing w:after="240" w:line="257" w:lineRule="auto"/>
        <w:jc w:val="both"/>
        <w:rPr>
          <w:rFonts w:ascii="Times New Roman" w:hAnsi="Times New Roman" w:cs="Times New Roman"/>
          <w:bCs/>
          <w:sz w:val="20"/>
          <w:szCs w:val="20"/>
        </w:rPr>
      </w:pPr>
      <w:r w:rsidRPr="00097841">
        <w:rPr>
          <w:rFonts w:ascii="Times New Roman" w:hAnsi="Times New Roman" w:cs="Times New Roman"/>
          <w:bCs/>
          <w:sz w:val="20"/>
          <w:szCs w:val="20"/>
        </w:rPr>
        <w:t xml:space="preserve">Notes: Analysis based upon the Annual Population Survey dataset. </w:t>
      </w:r>
      <w:r>
        <w:rPr>
          <w:rFonts w:ascii="Times New Roman" w:hAnsi="Times New Roman" w:cs="Times New Roman"/>
          <w:bCs/>
          <w:sz w:val="20"/>
          <w:szCs w:val="20"/>
        </w:rPr>
        <w:t>Some results for Northern Ireland excluded due to the small sample size.</w:t>
      </w:r>
    </w:p>
    <w:p w14:paraId="2D048E8E" w14:textId="77777777" w:rsidR="009B3987" w:rsidRPr="00BC78D4" w:rsidRDefault="009B3987" w:rsidP="009B3987">
      <w:pPr>
        <w:rPr>
          <w:rFonts w:ascii="Times New Roman" w:hAnsi="Times New Roman" w:cs="Times New Roman"/>
          <w:b/>
          <w:sz w:val="24"/>
          <w:szCs w:val="24"/>
        </w:rPr>
      </w:pPr>
      <w:r w:rsidRPr="00BC78D4">
        <w:rPr>
          <w:rFonts w:ascii="Times New Roman" w:hAnsi="Times New Roman" w:cs="Times New Roman"/>
          <w:b/>
          <w:sz w:val="24"/>
          <w:szCs w:val="24"/>
        </w:rPr>
        <w:t xml:space="preserve">2.4 </w:t>
      </w:r>
      <w:r>
        <w:rPr>
          <w:rFonts w:ascii="Times New Roman" w:hAnsi="Times New Roman" w:cs="Times New Roman"/>
          <w:b/>
          <w:sz w:val="24"/>
          <w:szCs w:val="24"/>
        </w:rPr>
        <w:t>To what extent do p</w:t>
      </w:r>
      <w:r w:rsidRPr="00BC78D4">
        <w:rPr>
          <w:rFonts w:ascii="Times New Roman" w:hAnsi="Times New Roman" w:cs="Times New Roman"/>
          <w:b/>
          <w:sz w:val="24"/>
          <w:szCs w:val="24"/>
        </w:rPr>
        <w:t xml:space="preserve">rimary and lower-secondary </w:t>
      </w:r>
      <w:r w:rsidRPr="00BC78D4">
        <w:rPr>
          <w:rFonts w:ascii="Times New Roman" w:hAnsi="Times New Roman" w:cs="Times New Roman"/>
          <w:b/>
          <w:iCs/>
          <w:sz w:val="24"/>
          <w:szCs w:val="24"/>
        </w:rPr>
        <w:t xml:space="preserve">teachers </w:t>
      </w:r>
      <w:r>
        <w:rPr>
          <w:rFonts w:ascii="Times New Roman" w:hAnsi="Times New Roman" w:cs="Times New Roman"/>
          <w:b/>
          <w:iCs/>
          <w:sz w:val="24"/>
          <w:szCs w:val="24"/>
        </w:rPr>
        <w:t>say their job negatively impacts their lives? England</w:t>
      </w:r>
      <w:r w:rsidRPr="00BC78D4">
        <w:rPr>
          <w:rFonts w:ascii="Times New Roman" w:hAnsi="Times New Roman" w:cs="Times New Roman"/>
          <w:b/>
          <w:sz w:val="24"/>
          <w:szCs w:val="24"/>
        </w:rPr>
        <w:t xml:space="preserve"> compared to </w:t>
      </w:r>
      <w:r>
        <w:rPr>
          <w:rFonts w:ascii="Times New Roman" w:hAnsi="Times New Roman" w:cs="Times New Roman"/>
          <w:b/>
          <w:sz w:val="24"/>
          <w:szCs w:val="24"/>
        </w:rPr>
        <w:t xml:space="preserve">other countries. </w:t>
      </w:r>
    </w:p>
    <w:p w14:paraId="5C1C576B" w14:textId="446FE9EF" w:rsidR="009B3987" w:rsidRDefault="009B3987" w:rsidP="009B3987">
      <w:pPr>
        <w:spacing w:line="360" w:lineRule="auto"/>
        <w:jc w:val="both"/>
        <w:rPr>
          <w:rFonts w:ascii="Times New Roman" w:hAnsi="Times New Roman" w:cs="Times New Roman"/>
          <w:sz w:val="24"/>
          <w:szCs w:val="24"/>
        </w:rPr>
      </w:pPr>
      <w:r w:rsidRPr="00337431">
        <w:rPr>
          <w:rFonts w:ascii="Times New Roman" w:hAnsi="Times New Roman" w:cs="Times New Roman"/>
          <w:sz w:val="24"/>
          <w:szCs w:val="24"/>
        </w:rPr>
        <w:t xml:space="preserve">Table </w:t>
      </w:r>
      <w:r>
        <w:rPr>
          <w:rFonts w:ascii="Times New Roman" w:hAnsi="Times New Roman" w:cs="Times New Roman"/>
          <w:sz w:val="24"/>
          <w:szCs w:val="24"/>
        </w:rPr>
        <w:t>2.2</w:t>
      </w:r>
      <w:r w:rsidRPr="00337431">
        <w:rPr>
          <w:rFonts w:ascii="Times New Roman" w:hAnsi="Times New Roman" w:cs="Times New Roman"/>
          <w:sz w:val="24"/>
          <w:szCs w:val="24"/>
        </w:rPr>
        <w:t xml:space="preserve"> </w:t>
      </w:r>
      <w:r>
        <w:rPr>
          <w:rFonts w:ascii="Times New Roman" w:hAnsi="Times New Roman" w:cs="Times New Roman"/>
          <w:sz w:val="24"/>
          <w:szCs w:val="24"/>
        </w:rPr>
        <w:t>turns to the results from TALIS. Around one</w:t>
      </w:r>
      <w:r w:rsidR="00825EFB">
        <w:rPr>
          <w:rFonts w:ascii="Times New Roman" w:hAnsi="Times New Roman" w:cs="Times New Roman"/>
          <w:sz w:val="24"/>
          <w:szCs w:val="24"/>
        </w:rPr>
        <w:t xml:space="preserve"> </w:t>
      </w:r>
      <w:r>
        <w:rPr>
          <w:rFonts w:ascii="Times New Roman" w:hAnsi="Times New Roman" w:cs="Times New Roman"/>
          <w:sz w:val="24"/>
          <w:szCs w:val="24"/>
        </w:rPr>
        <w:t>third of primary and lower-secondary teachers in England strongly agreed that they experience stress at work, while a further third agree. A greater proportion of lower-secondary teachers report work</w:t>
      </w:r>
      <w:r w:rsidR="00E56284">
        <w:rPr>
          <w:rFonts w:ascii="Times New Roman" w:hAnsi="Times New Roman" w:cs="Times New Roman"/>
          <w:sz w:val="24"/>
          <w:szCs w:val="24"/>
        </w:rPr>
        <w:t>-</w:t>
      </w:r>
      <w:r>
        <w:rPr>
          <w:rFonts w:ascii="Times New Roman" w:hAnsi="Times New Roman" w:cs="Times New Roman"/>
          <w:sz w:val="24"/>
          <w:szCs w:val="24"/>
        </w:rPr>
        <w:t>related stress than primary teachers (70% versus 64%) with the difference statistically significant. Although most teachers in England disagree that their job has a negative impact upon their mental health, there is again a difference between primary and secondary. Specifically, 35% of lower-secondary teachers agree or strongly</w:t>
      </w:r>
      <w:r w:rsidR="00E47AD8">
        <w:rPr>
          <w:rFonts w:ascii="Times New Roman" w:hAnsi="Times New Roman" w:cs="Times New Roman"/>
          <w:sz w:val="24"/>
          <w:szCs w:val="24"/>
        </w:rPr>
        <w:t xml:space="preserve"> </w:t>
      </w:r>
      <w:r>
        <w:rPr>
          <w:rFonts w:ascii="Times New Roman" w:hAnsi="Times New Roman" w:cs="Times New Roman"/>
          <w:sz w:val="24"/>
          <w:szCs w:val="24"/>
        </w:rPr>
        <w:t>agree, compared to 28% of primary teachers. On the other hand, most teachers in England (roughly three</w:t>
      </w:r>
      <w:r w:rsidR="00846B3E">
        <w:rPr>
          <w:rFonts w:ascii="Times New Roman" w:hAnsi="Times New Roman" w:cs="Times New Roman"/>
          <w:sz w:val="24"/>
          <w:szCs w:val="24"/>
        </w:rPr>
        <w:t xml:space="preserve"> </w:t>
      </w:r>
      <w:r>
        <w:rPr>
          <w:rFonts w:ascii="Times New Roman" w:hAnsi="Times New Roman" w:cs="Times New Roman"/>
          <w:sz w:val="24"/>
          <w:szCs w:val="24"/>
        </w:rPr>
        <w:t xml:space="preserve">quarters) do not believe that their job leaves them enough time for their personal life. This suggests that workload, and the pressure that this places upon the work-life balance of teachers, might be linked. </w:t>
      </w:r>
    </w:p>
    <w:p w14:paraId="46528EB8" w14:textId="69A7BF43" w:rsidR="009B3987" w:rsidRDefault="009B3987" w:rsidP="009B3987">
      <w:pPr>
        <w:jc w:val="center"/>
        <w:rPr>
          <w:rFonts w:ascii="Times New Roman" w:hAnsi="Times New Roman" w:cs="Times New Roman"/>
          <w:b/>
          <w:sz w:val="24"/>
          <w:szCs w:val="24"/>
        </w:rPr>
      </w:pPr>
      <w:r>
        <w:rPr>
          <w:rFonts w:ascii="Times New Roman" w:hAnsi="Times New Roman" w:cs="Times New Roman"/>
          <w:b/>
          <w:sz w:val="24"/>
          <w:szCs w:val="24"/>
        </w:rPr>
        <w:t xml:space="preserve">Table 2.2 </w:t>
      </w:r>
      <w:proofErr w:type="gramStart"/>
      <w:r>
        <w:rPr>
          <w:rFonts w:ascii="Times New Roman" w:hAnsi="Times New Roman" w:cs="Times New Roman"/>
          <w:b/>
          <w:sz w:val="24"/>
          <w:szCs w:val="24"/>
        </w:rPr>
        <w:t>The</w:t>
      </w:r>
      <w:proofErr w:type="gramEnd"/>
      <w:r>
        <w:rPr>
          <w:rFonts w:ascii="Times New Roman" w:hAnsi="Times New Roman" w:cs="Times New Roman"/>
          <w:b/>
          <w:sz w:val="24"/>
          <w:szCs w:val="24"/>
        </w:rPr>
        <w:t xml:space="preserve"> impact teaching has upon teachers</w:t>
      </w:r>
      <w:r w:rsidR="00A73901">
        <w:rPr>
          <w:rFonts w:ascii="Times New Roman" w:hAnsi="Times New Roman" w:cs="Times New Roman"/>
          <w:b/>
          <w:sz w:val="24"/>
          <w:szCs w:val="24"/>
        </w:rPr>
        <w:t>’</w:t>
      </w:r>
      <w:r>
        <w:rPr>
          <w:rFonts w:ascii="Times New Roman" w:hAnsi="Times New Roman" w:cs="Times New Roman"/>
          <w:b/>
          <w:sz w:val="24"/>
          <w:szCs w:val="24"/>
        </w:rPr>
        <w:t xml:space="preserve"> health. Primary and lower-secondary teachers in England.</w:t>
      </w:r>
    </w:p>
    <w:tbl>
      <w:tblPr>
        <w:tblW w:w="6211" w:type="pct"/>
        <w:tblInd w:w="-1040" w:type="dxa"/>
        <w:tblLook w:val="04A0" w:firstRow="1" w:lastRow="0" w:firstColumn="1" w:lastColumn="0" w:noHBand="0" w:noVBand="1"/>
      </w:tblPr>
      <w:tblGrid>
        <w:gridCol w:w="4656"/>
        <w:gridCol w:w="1259"/>
        <w:gridCol w:w="1138"/>
        <w:gridCol w:w="1138"/>
        <w:gridCol w:w="832"/>
        <w:gridCol w:w="1101"/>
        <w:gridCol w:w="1076"/>
      </w:tblGrid>
      <w:tr w:rsidR="009B3987" w:rsidRPr="001F426A" w14:paraId="1AA327FF" w14:textId="77777777" w:rsidTr="00141B6D">
        <w:trPr>
          <w:trHeight w:val="510"/>
        </w:trPr>
        <w:tc>
          <w:tcPr>
            <w:tcW w:w="2056" w:type="pct"/>
            <w:tcBorders>
              <w:top w:val="single" w:sz="4" w:space="0" w:color="auto"/>
              <w:left w:val="single" w:sz="4" w:space="0" w:color="auto"/>
              <w:bottom w:val="single" w:sz="4" w:space="0" w:color="auto"/>
              <w:right w:val="single" w:sz="4" w:space="0" w:color="auto"/>
            </w:tcBorders>
            <w:shd w:val="clear" w:color="000000" w:fill="D9E1F2"/>
            <w:noWrap/>
            <w:vAlign w:val="bottom"/>
            <w:hideMark/>
          </w:tcPr>
          <w:p w14:paraId="683A036E" w14:textId="77777777" w:rsidR="009B3987" w:rsidRPr="001F426A" w:rsidRDefault="009B3987" w:rsidP="00141B6D">
            <w:pPr>
              <w:spacing w:after="0" w:line="240" w:lineRule="auto"/>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Variable</w:t>
            </w:r>
          </w:p>
        </w:tc>
        <w:tc>
          <w:tcPr>
            <w:tcW w:w="566" w:type="pct"/>
            <w:tcBorders>
              <w:top w:val="single" w:sz="4" w:space="0" w:color="auto"/>
              <w:left w:val="nil"/>
              <w:bottom w:val="single" w:sz="4" w:space="0" w:color="auto"/>
              <w:right w:val="single" w:sz="4" w:space="0" w:color="auto"/>
            </w:tcBorders>
            <w:shd w:val="clear" w:color="000000" w:fill="D9E1F2"/>
            <w:noWrap/>
            <w:vAlign w:val="bottom"/>
            <w:hideMark/>
          </w:tcPr>
          <w:p w14:paraId="14A283F5" w14:textId="77777777" w:rsidR="009B3987" w:rsidRPr="001F426A" w:rsidRDefault="009B3987" w:rsidP="00141B6D">
            <w:pPr>
              <w:spacing w:after="0" w:line="240" w:lineRule="auto"/>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 </w:t>
            </w:r>
          </w:p>
        </w:tc>
        <w:tc>
          <w:tcPr>
            <w:tcW w:w="512" w:type="pct"/>
            <w:tcBorders>
              <w:top w:val="single" w:sz="4" w:space="0" w:color="auto"/>
              <w:left w:val="nil"/>
              <w:bottom w:val="single" w:sz="4" w:space="0" w:color="auto"/>
              <w:right w:val="single" w:sz="4" w:space="0" w:color="auto"/>
            </w:tcBorders>
            <w:shd w:val="clear" w:color="000000" w:fill="D9E1F2"/>
            <w:vAlign w:val="bottom"/>
            <w:hideMark/>
          </w:tcPr>
          <w:p w14:paraId="39ACFE2F"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Strongly Disagree</w:t>
            </w:r>
          </w:p>
        </w:tc>
        <w:tc>
          <w:tcPr>
            <w:tcW w:w="512" w:type="pct"/>
            <w:tcBorders>
              <w:top w:val="single" w:sz="4" w:space="0" w:color="auto"/>
              <w:left w:val="nil"/>
              <w:bottom w:val="single" w:sz="4" w:space="0" w:color="auto"/>
              <w:right w:val="single" w:sz="4" w:space="0" w:color="auto"/>
            </w:tcBorders>
            <w:shd w:val="clear" w:color="000000" w:fill="D9E1F2"/>
            <w:vAlign w:val="bottom"/>
            <w:hideMark/>
          </w:tcPr>
          <w:p w14:paraId="3CA0230C"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Disagree</w:t>
            </w:r>
          </w:p>
        </w:tc>
        <w:tc>
          <w:tcPr>
            <w:tcW w:w="375" w:type="pct"/>
            <w:tcBorders>
              <w:top w:val="single" w:sz="4" w:space="0" w:color="auto"/>
              <w:left w:val="nil"/>
              <w:bottom w:val="single" w:sz="4" w:space="0" w:color="auto"/>
              <w:right w:val="single" w:sz="4" w:space="0" w:color="auto"/>
            </w:tcBorders>
            <w:shd w:val="clear" w:color="000000" w:fill="D9E1F2"/>
            <w:vAlign w:val="bottom"/>
            <w:hideMark/>
          </w:tcPr>
          <w:p w14:paraId="666D5242"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Agree</w:t>
            </w:r>
          </w:p>
        </w:tc>
        <w:tc>
          <w:tcPr>
            <w:tcW w:w="495" w:type="pct"/>
            <w:tcBorders>
              <w:top w:val="single" w:sz="4" w:space="0" w:color="auto"/>
              <w:left w:val="nil"/>
              <w:bottom w:val="single" w:sz="4" w:space="0" w:color="auto"/>
              <w:right w:val="single" w:sz="4" w:space="0" w:color="auto"/>
            </w:tcBorders>
            <w:shd w:val="clear" w:color="000000" w:fill="D9E1F2"/>
            <w:vAlign w:val="bottom"/>
            <w:hideMark/>
          </w:tcPr>
          <w:p w14:paraId="0AF99216"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Strongly Agree</w:t>
            </w:r>
          </w:p>
        </w:tc>
        <w:tc>
          <w:tcPr>
            <w:tcW w:w="484" w:type="pct"/>
            <w:tcBorders>
              <w:top w:val="single" w:sz="4" w:space="0" w:color="auto"/>
              <w:left w:val="nil"/>
              <w:bottom w:val="single" w:sz="4" w:space="0" w:color="auto"/>
              <w:right w:val="single" w:sz="4" w:space="0" w:color="auto"/>
            </w:tcBorders>
            <w:shd w:val="clear" w:color="000000" w:fill="D9E1F2"/>
            <w:vAlign w:val="bottom"/>
            <w:hideMark/>
          </w:tcPr>
          <w:p w14:paraId="2365FCE2"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Average Score</w:t>
            </w:r>
          </w:p>
        </w:tc>
      </w:tr>
      <w:tr w:rsidR="009B3987" w:rsidRPr="001F426A" w14:paraId="4D1377C8" w14:textId="77777777" w:rsidTr="00141B6D">
        <w:trPr>
          <w:trHeight w:val="255"/>
        </w:trPr>
        <w:tc>
          <w:tcPr>
            <w:tcW w:w="20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00421677"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I experience stress in my work</w:t>
            </w:r>
          </w:p>
        </w:tc>
        <w:tc>
          <w:tcPr>
            <w:tcW w:w="566" w:type="pct"/>
            <w:tcBorders>
              <w:top w:val="nil"/>
              <w:left w:val="nil"/>
              <w:bottom w:val="single" w:sz="4" w:space="0" w:color="auto"/>
              <w:right w:val="single" w:sz="4" w:space="0" w:color="auto"/>
            </w:tcBorders>
            <w:shd w:val="clear" w:color="auto" w:fill="auto"/>
            <w:noWrap/>
            <w:vAlign w:val="bottom"/>
            <w:hideMark/>
          </w:tcPr>
          <w:p w14:paraId="026488E2"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Primary</w:t>
            </w:r>
          </w:p>
        </w:tc>
        <w:tc>
          <w:tcPr>
            <w:tcW w:w="512" w:type="pct"/>
            <w:tcBorders>
              <w:top w:val="nil"/>
              <w:left w:val="nil"/>
              <w:bottom w:val="single" w:sz="4" w:space="0" w:color="auto"/>
              <w:right w:val="single" w:sz="4" w:space="0" w:color="auto"/>
            </w:tcBorders>
            <w:shd w:val="clear" w:color="auto" w:fill="auto"/>
            <w:noWrap/>
            <w:vAlign w:val="bottom"/>
            <w:hideMark/>
          </w:tcPr>
          <w:p w14:paraId="65E3FBA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w:t>
            </w:r>
          </w:p>
        </w:tc>
        <w:tc>
          <w:tcPr>
            <w:tcW w:w="512" w:type="pct"/>
            <w:tcBorders>
              <w:top w:val="nil"/>
              <w:left w:val="nil"/>
              <w:bottom w:val="single" w:sz="4" w:space="0" w:color="auto"/>
              <w:right w:val="single" w:sz="4" w:space="0" w:color="auto"/>
            </w:tcBorders>
            <w:shd w:val="clear" w:color="auto" w:fill="auto"/>
            <w:noWrap/>
            <w:vAlign w:val="bottom"/>
            <w:hideMark/>
          </w:tcPr>
          <w:p w14:paraId="763AFF3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34%</w:t>
            </w:r>
          </w:p>
        </w:tc>
        <w:tc>
          <w:tcPr>
            <w:tcW w:w="375" w:type="pct"/>
            <w:tcBorders>
              <w:top w:val="nil"/>
              <w:left w:val="nil"/>
              <w:bottom w:val="single" w:sz="4" w:space="0" w:color="auto"/>
              <w:right w:val="single" w:sz="4" w:space="0" w:color="auto"/>
            </w:tcBorders>
            <w:shd w:val="clear" w:color="auto" w:fill="auto"/>
            <w:noWrap/>
            <w:vAlign w:val="bottom"/>
            <w:hideMark/>
          </w:tcPr>
          <w:p w14:paraId="505CCF2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33%</w:t>
            </w:r>
          </w:p>
        </w:tc>
        <w:tc>
          <w:tcPr>
            <w:tcW w:w="495" w:type="pct"/>
            <w:tcBorders>
              <w:top w:val="nil"/>
              <w:left w:val="nil"/>
              <w:bottom w:val="single" w:sz="4" w:space="0" w:color="auto"/>
              <w:right w:val="single" w:sz="4" w:space="0" w:color="auto"/>
            </w:tcBorders>
            <w:shd w:val="clear" w:color="auto" w:fill="auto"/>
            <w:noWrap/>
            <w:vAlign w:val="bottom"/>
            <w:hideMark/>
          </w:tcPr>
          <w:p w14:paraId="138492D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31%</w:t>
            </w:r>
          </w:p>
        </w:tc>
        <w:tc>
          <w:tcPr>
            <w:tcW w:w="484" w:type="pct"/>
            <w:tcBorders>
              <w:top w:val="nil"/>
              <w:left w:val="nil"/>
              <w:bottom w:val="single" w:sz="4" w:space="0" w:color="auto"/>
              <w:right w:val="single" w:sz="4" w:space="0" w:color="auto"/>
            </w:tcBorders>
            <w:shd w:val="clear" w:color="auto" w:fill="auto"/>
            <w:noWrap/>
            <w:vAlign w:val="bottom"/>
            <w:hideMark/>
          </w:tcPr>
          <w:p w14:paraId="6002235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2.94</w:t>
            </w:r>
          </w:p>
        </w:tc>
      </w:tr>
      <w:tr w:rsidR="009B3987" w:rsidRPr="001F426A" w14:paraId="758E2E0F" w14:textId="77777777" w:rsidTr="00141B6D">
        <w:trPr>
          <w:trHeight w:val="255"/>
        </w:trPr>
        <w:tc>
          <w:tcPr>
            <w:tcW w:w="2056" w:type="pct"/>
            <w:vMerge/>
            <w:tcBorders>
              <w:top w:val="nil"/>
              <w:left w:val="single" w:sz="4" w:space="0" w:color="auto"/>
              <w:bottom w:val="single" w:sz="4" w:space="0" w:color="auto"/>
              <w:right w:val="single" w:sz="4" w:space="0" w:color="auto"/>
            </w:tcBorders>
            <w:vAlign w:val="center"/>
            <w:hideMark/>
          </w:tcPr>
          <w:p w14:paraId="7EE71B0E"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p>
        </w:tc>
        <w:tc>
          <w:tcPr>
            <w:tcW w:w="566" w:type="pct"/>
            <w:tcBorders>
              <w:top w:val="nil"/>
              <w:left w:val="nil"/>
              <w:bottom w:val="single" w:sz="4" w:space="0" w:color="auto"/>
              <w:right w:val="single" w:sz="4" w:space="0" w:color="auto"/>
            </w:tcBorders>
            <w:shd w:val="clear" w:color="auto" w:fill="auto"/>
            <w:noWrap/>
            <w:vAlign w:val="bottom"/>
            <w:hideMark/>
          </w:tcPr>
          <w:p w14:paraId="0305DB68"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Secondary</w:t>
            </w:r>
          </w:p>
        </w:tc>
        <w:tc>
          <w:tcPr>
            <w:tcW w:w="512" w:type="pct"/>
            <w:tcBorders>
              <w:top w:val="nil"/>
              <w:left w:val="nil"/>
              <w:bottom w:val="single" w:sz="4" w:space="0" w:color="auto"/>
              <w:right w:val="single" w:sz="4" w:space="0" w:color="auto"/>
            </w:tcBorders>
            <w:shd w:val="clear" w:color="auto" w:fill="auto"/>
            <w:noWrap/>
            <w:vAlign w:val="bottom"/>
            <w:hideMark/>
          </w:tcPr>
          <w:p w14:paraId="12BEC6E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w:t>
            </w:r>
          </w:p>
        </w:tc>
        <w:tc>
          <w:tcPr>
            <w:tcW w:w="512" w:type="pct"/>
            <w:tcBorders>
              <w:top w:val="nil"/>
              <w:left w:val="nil"/>
              <w:bottom w:val="single" w:sz="4" w:space="0" w:color="auto"/>
              <w:right w:val="single" w:sz="4" w:space="0" w:color="auto"/>
            </w:tcBorders>
            <w:shd w:val="clear" w:color="auto" w:fill="auto"/>
            <w:noWrap/>
            <w:vAlign w:val="bottom"/>
            <w:hideMark/>
          </w:tcPr>
          <w:p w14:paraId="3BE04BA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w:t>
            </w:r>
          </w:p>
        </w:tc>
        <w:tc>
          <w:tcPr>
            <w:tcW w:w="375" w:type="pct"/>
            <w:tcBorders>
              <w:top w:val="nil"/>
              <w:left w:val="nil"/>
              <w:bottom w:val="single" w:sz="4" w:space="0" w:color="auto"/>
              <w:right w:val="single" w:sz="4" w:space="0" w:color="auto"/>
            </w:tcBorders>
            <w:shd w:val="clear" w:color="auto" w:fill="auto"/>
            <w:noWrap/>
            <w:vAlign w:val="bottom"/>
            <w:hideMark/>
          </w:tcPr>
          <w:p w14:paraId="26C3331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32%</w:t>
            </w:r>
          </w:p>
        </w:tc>
        <w:tc>
          <w:tcPr>
            <w:tcW w:w="495" w:type="pct"/>
            <w:tcBorders>
              <w:top w:val="nil"/>
              <w:left w:val="nil"/>
              <w:bottom w:val="single" w:sz="4" w:space="0" w:color="auto"/>
              <w:right w:val="single" w:sz="4" w:space="0" w:color="auto"/>
            </w:tcBorders>
            <w:shd w:val="clear" w:color="auto" w:fill="auto"/>
            <w:noWrap/>
            <w:vAlign w:val="bottom"/>
            <w:hideMark/>
          </w:tcPr>
          <w:p w14:paraId="298ACE2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38%</w:t>
            </w:r>
          </w:p>
        </w:tc>
        <w:tc>
          <w:tcPr>
            <w:tcW w:w="484" w:type="pct"/>
            <w:tcBorders>
              <w:top w:val="nil"/>
              <w:left w:val="nil"/>
              <w:bottom w:val="single" w:sz="4" w:space="0" w:color="auto"/>
              <w:right w:val="single" w:sz="4" w:space="0" w:color="auto"/>
            </w:tcBorders>
            <w:shd w:val="clear" w:color="auto" w:fill="auto"/>
            <w:noWrap/>
            <w:vAlign w:val="bottom"/>
            <w:hideMark/>
          </w:tcPr>
          <w:p w14:paraId="4D13396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3.06</w:t>
            </w:r>
          </w:p>
        </w:tc>
      </w:tr>
      <w:tr w:rsidR="009B3987" w:rsidRPr="001F426A" w14:paraId="48A25F39" w14:textId="77777777" w:rsidTr="00141B6D">
        <w:trPr>
          <w:trHeight w:val="255"/>
        </w:trPr>
        <w:tc>
          <w:tcPr>
            <w:tcW w:w="20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A89E923"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My job leaves me time for my personal life</w:t>
            </w:r>
          </w:p>
        </w:tc>
        <w:tc>
          <w:tcPr>
            <w:tcW w:w="566" w:type="pct"/>
            <w:tcBorders>
              <w:top w:val="nil"/>
              <w:left w:val="nil"/>
              <w:bottom w:val="single" w:sz="4" w:space="0" w:color="auto"/>
              <w:right w:val="single" w:sz="4" w:space="0" w:color="auto"/>
            </w:tcBorders>
            <w:shd w:val="clear" w:color="auto" w:fill="auto"/>
            <w:noWrap/>
            <w:vAlign w:val="bottom"/>
            <w:hideMark/>
          </w:tcPr>
          <w:p w14:paraId="47C1CEF0"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Primary</w:t>
            </w:r>
          </w:p>
        </w:tc>
        <w:tc>
          <w:tcPr>
            <w:tcW w:w="512" w:type="pct"/>
            <w:tcBorders>
              <w:top w:val="nil"/>
              <w:left w:val="nil"/>
              <w:bottom w:val="single" w:sz="4" w:space="0" w:color="auto"/>
              <w:right w:val="single" w:sz="4" w:space="0" w:color="auto"/>
            </w:tcBorders>
            <w:shd w:val="clear" w:color="auto" w:fill="auto"/>
            <w:noWrap/>
            <w:vAlign w:val="bottom"/>
            <w:hideMark/>
          </w:tcPr>
          <w:p w14:paraId="712CA44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12%</w:t>
            </w:r>
          </w:p>
        </w:tc>
        <w:tc>
          <w:tcPr>
            <w:tcW w:w="512" w:type="pct"/>
            <w:tcBorders>
              <w:top w:val="nil"/>
              <w:left w:val="nil"/>
              <w:bottom w:val="single" w:sz="4" w:space="0" w:color="auto"/>
              <w:right w:val="single" w:sz="4" w:space="0" w:color="auto"/>
            </w:tcBorders>
            <w:shd w:val="clear" w:color="auto" w:fill="auto"/>
            <w:noWrap/>
            <w:vAlign w:val="bottom"/>
            <w:hideMark/>
          </w:tcPr>
          <w:p w14:paraId="58A62E0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63%</w:t>
            </w:r>
          </w:p>
        </w:tc>
        <w:tc>
          <w:tcPr>
            <w:tcW w:w="375" w:type="pct"/>
            <w:tcBorders>
              <w:top w:val="nil"/>
              <w:left w:val="nil"/>
              <w:bottom w:val="single" w:sz="4" w:space="0" w:color="auto"/>
              <w:right w:val="single" w:sz="4" w:space="0" w:color="auto"/>
            </w:tcBorders>
            <w:shd w:val="clear" w:color="auto" w:fill="auto"/>
            <w:noWrap/>
            <w:vAlign w:val="bottom"/>
            <w:hideMark/>
          </w:tcPr>
          <w:p w14:paraId="7A3F8E7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w:t>
            </w:r>
          </w:p>
        </w:tc>
        <w:tc>
          <w:tcPr>
            <w:tcW w:w="495" w:type="pct"/>
            <w:tcBorders>
              <w:top w:val="nil"/>
              <w:left w:val="nil"/>
              <w:bottom w:val="single" w:sz="4" w:space="0" w:color="auto"/>
              <w:right w:val="single" w:sz="4" w:space="0" w:color="auto"/>
            </w:tcBorders>
            <w:shd w:val="clear" w:color="auto" w:fill="auto"/>
            <w:noWrap/>
            <w:vAlign w:val="bottom"/>
            <w:hideMark/>
          </w:tcPr>
          <w:p w14:paraId="734A3F1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w:t>
            </w:r>
          </w:p>
        </w:tc>
        <w:tc>
          <w:tcPr>
            <w:tcW w:w="484" w:type="pct"/>
            <w:tcBorders>
              <w:top w:val="nil"/>
              <w:left w:val="nil"/>
              <w:bottom w:val="single" w:sz="4" w:space="0" w:color="auto"/>
              <w:right w:val="single" w:sz="4" w:space="0" w:color="auto"/>
            </w:tcBorders>
            <w:shd w:val="clear" w:color="auto" w:fill="auto"/>
            <w:noWrap/>
            <w:vAlign w:val="bottom"/>
            <w:hideMark/>
          </w:tcPr>
          <w:p w14:paraId="0263C5A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2.19</w:t>
            </w:r>
          </w:p>
        </w:tc>
      </w:tr>
      <w:tr w:rsidR="009B3987" w:rsidRPr="001F426A" w14:paraId="418356EF" w14:textId="77777777" w:rsidTr="00141B6D">
        <w:trPr>
          <w:trHeight w:val="255"/>
        </w:trPr>
        <w:tc>
          <w:tcPr>
            <w:tcW w:w="2056" w:type="pct"/>
            <w:vMerge/>
            <w:tcBorders>
              <w:top w:val="nil"/>
              <w:left w:val="single" w:sz="4" w:space="0" w:color="auto"/>
              <w:bottom w:val="single" w:sz="4" w:space="0" w:color="auto"/>
              <w:right w:val="single" w:sz="4" w:space="0" w:color="auto"/>
            </w:tcBorders>
            <w:vAlign w:val="center"/>
            <w:hideMark/>
          </w:tcPr>
          <w:p w14:paraId="182BF976"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p>
        </w:tc>
        <w:tc>
          <w:tcPr>
            <w:tcW w:w="566" w:type="pct"/>
            <w:tcBorders>
              <w:top w:val="nil"/>
              <w:left w:val="nil"/>
              <w:bottom w:val="single" w:sz="4" w:space="0" w:color="auto"/>
              <w:right w:val="single" w:sz="4" w:space="0" w:color="auto"/>
            </w:tcBorders>
            <w:shd w:val="clear" w:color="auto" w:fill="auto"/>
            <w:noWrap/>
            <w:vAlign w:val="bottom"/>
            <w:hideMark/>
          </w:tcPr>
          <w:p w14:paraId="6A0DCFA0"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Secondary</w:t>
            </w:r>
          </w:p>
        </w:tc>
        <w:tc>
          <w:tcPr>
            <w:tcW w:w="512" w:type="pct"/>
            <w:tcBorders>
              <w:top w:val="nil"/>
              <w:left w:val="nil"/>
              <w:bottom w:val="single" w:sz="4" w:space="0" w:color="auto"/>
              <w:right w:val="single" w:sz="4" w:space="0" w:color="auto"/>
            </w:tcBorders>
            <w:shd w:val="clear" w:color="auto" w:fill="auto"/>
            <w:noWrap/>
            <w:vAlign w:val="bottom"/>
            <w:hideMark/>
          </w:tcPr>
          <w:p w14:paraId="2EE309F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14%</w:t>
            </w:r>
          </w:p>
        </w:tc>
        <w:tc>
          <w:tcPr>
            <w:tcW w:w="512" w:type="pct"/>
            <w:tcBorders>
              <w:top w:val="nil"/>
              <w:left w:val="nil"/>
              <w:bottom w:val="single" w:sz="4" w:space="0" w:color="auto"/>
              <w:right w:val="single" w:sz="4" w:space="0" w:color="auto"/>
            </w:tcBorders>
            <w:shd w:val="clear" w:color="auto" w:fill="auto"/>
            <w:noWrap/>
            <w:vAlign w:val="bottom"/>
            <w:hideMark/>
          </w:tcPr>
          <w:p w14:paraId="5701FE3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63%</w:t>
            </w:r>
          </w:p>
        </w:tc>
        <w:tc>
          <w:tcPr>
            <w:tcW w:w="375" w:type="pct"/>
            <w:tcBorders>
              <w:top w:val="nil"/>
              <w:left w:val="nil"/>
              <w:bottom w:val="single" w:sz="4" w:space="0" w:color="auto"/>
              <w:right w:val="single" w:sz="4" w:space="0" w:color="auto"/>
            </w:tcBorders>
            <w:shd w:val="clear" w:color="auto" w:fill="auto"/>
            <w:noWrap/>
            <w:vAlign w:val="bottom"/>
            <w:hideMark/>
          </w:tcPr>
          <w:p w14:paraId="0282EB7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18%</w:t>
            </w:r>
          </w:p>
        </w:tc>
        <w:tc>
          <w:tcPr>
            <w:tcW w:w="495" w:type="pct"/>
            <w:tcBorders>
              <w:top w:val="nil"/>
              <w:left w:val="nil"/>
              <w:bottom w:val="single" w:sz="4" w:space="0" w:color="auto"/>
              <w:right w:val="single" w:sz="4" w:space="0" w:color="auto"/>
            </w:tcBorders>
            <w:shd w:val="clear" w:color="auto" w:fill="auto"/>
            <w:noWrap/>
            <w:vAlign w:val="bottom"/>
            <w:hideMark/>
          </w:tcPr>
          <w:p w14:paraId="738EDE8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w:t>
            </w:r>
          </w:p>
        </w:tc>
        <w:tc>
          <w:tcPr>
            <w:tcW w:w="484" w:type="pct"/>
            <w:tcBorders>
              <w:top w:val="nil"/>
              <w:left w:val="nil"/>
              <w:bottom w:val="single" w:sz="4" w:space="0" w:color="auto"/>
              <w:right w:val="single" w:sz="4" w:space="0" w:color="auto"/>
            </w:tcBorders>
            <w:shd w:val="clear" w:color="auto" w:fill="auto"/>
            <w:noWrap/>
            <w:vAlign w:val="bottom"/>
            <w:hideMark/>
          </w:tcPr>
          <w:p w14:paraId="4AFC061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2.14</w:t>
            </w:r>
          </w:p>
        </w:tc>
      </w:tr>
      <w:tr w:rsidR="009B3987" w:rsidRPr="001F426A" w14:paraId="1EA24646" w14:textId="77777777" w:rsidTr="00141B6D">
        <w:trPr>
          <w:trHeight w:val="255"/>
        </w:trPr>
        <w:tc>
          <w:tcPr>
            <w:tcW w:w="2056"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6AAE4D7"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My job negatively impacts my mental health</w:t>
            </w:r>
          </w:p>
        </w:tc>
        <w:tc>
          <w:tcPr>
            <w:tcW w:w="566" w:type="pct"/>
            <w:tcBorders>
              <w:top w:val="nil"/>
              <w:left w:val="nil"/>
              <w:bottom w:val="single" w:sz="4" w:space="0" w:color="auto"/>
              <w:right w:val="single" w:sz="4" w:space="0" w:color="auto"/>
            </w:tcBorders>
            <w:shd w:val="clear" w:color="auto" w:fill="auto"/>
            <w:noWrap/>
            <w:vAlign w:val="bottom"/>
            <w:hideMark/>
          </w:tcPr>
          <w:p w14:paraId="4519FA06"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Primary</w:t>
            </w:r>
          </w:p>
        </w:tc>
        <w:tc>
          <w:tcPr>
            <w:tcW w:w="512" w:type="pct"/>
            <w:tcBorders>
              <w:top w:val="nil"/>
              <w:left w:val="nil"/>
              <w:bottom w:val="single" w:sz="4" w:space="0" w:color="auto"/>
              <w:right w:val="single" w:sz="4" w:space="0" w:color="auto"/>
            </w:tcBorders>
            <w:shd w:val="clear" w:color="auto" w:fill="auto"/>
            <w:noWrap/>
            <w:vAlign w:val="bottom"/>
            <w:hideMark/>
          </w:tcPr>
          <w:p w14:paraId="1099A3E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26%</w:t>
            </w:r>
          </w:p>
        </w:tc>
        <w:tc>
          <w:tcPr>
            <w:tcW w:w="512" w:type="pct"/>
            <w:tcBorders>
              <w:top w:val="nil"/>
              <w:left w:val="nil"/>
              <w:bottom w:val="single" w:sz="4" w:space="0" w:color="auto"/>
              <w:right w:val="single" w:sz="4" w:space="0" w:color="auto"/>
            </w:tcBorders>
            <w:shd w:val="clear" w:color="auto" w:fill="auto"/>
            <w:noWrap/>
            <w:vAlign w:val="bottom"/>
            <w:hideMark/>
          </w:tcPr>
          <w:p w14:paraId="71329C9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46%</w:t>
            </w:r>
          </w:p>
        </w:tc>
        <w:tc>
          <w:tcPr>
            <w:tcW w:w="375" w:type="pct"/>
            <w:tcBorders>
              <w:top w:val="nil"/>
              <w:left w:val="nil"/>
              <w:bottom w:val="single" w:sz="4" w:space="0" w:color="auto"/>
              <w:right w:val="single" w:sz="4" w:space="0" w:color="auto"/>
            </w:tcBorders>
            <w:shd w:val="clear" w:color="auto" w:fill="auto"/>
            <w:noWrap/>
            <w:vAlign w:val="bottom"/>
            <w:hideMark/>
          </w:tcPr>
          <w:p w14:paraId="3DADBFA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17%</w:t>
            </w:r>
          </w:p>
        </w:tc>
        <w:tc>
          <w:tcPr>
            <w:tcW w:w="495" w:type="pct"/>
            <w:tcBorders>
              <w:top w:val="nil"/>
              <w:left w:val="nil"/>
              <w:bottom w:val="single" w:sz="4" w:space="0" w:color="auto"/>
              <w:right w:val="single" w:sz="4" w:space="0" w:color="auto"/>
            </w:tcBorders>
            <w:shd w:val="clear" w:color="auto" w:fill="auto"/>
            <w:noWrap/>
            <w:vAlign w:val="bottom"/>
            <w:hideMark/>
          </w:tcPr>
          <w:p w14:paraId="4D9EDE2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11%</w:t>
            </w:r>
          </w:p>
        </w:tc>
        <w:tc>
          <w:tcPr>
            <w:tcW w:w="484" w:type="pct"/>
            <w:tcBorders>
              <w:top w:val="nil"/>
              <w:left w:val="nil"/>
              <w:bottom w:val="single" w:sz="4" w:space="0" w:color="auto"/>
              <w:right w:val="single" w:sz="4" w:space="0" w:color="auto"/>
            </w:tcBorders>
            <w:shd w:val="clear" w:color="auto" w:fill="auto"/>
            <w:noWrap/>
            <w:vAlign w:val="bottom"/>
            <w:hideMark/>
          </w:tcPr>
          <w:p w14:paraId="62BD98F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2.13</w:t>
            </w:r>
          </w:p>
        </w:tc>
      </w:tr>
      <w:tr w:rsidR="009B3987" w:rsidRPr="001F426A" w14:paraId="0B10AC93" w14:textId="77777777" w:rsidTr="00141B6D">
        <w:trPr>
          <w:trHeight w:val="255"/>
        </w:trPr>
        <w:tc>
          <w:tcPr>
            <w:tcW w:w="2056" w:type="pct"/>
            <w:vMerge/>
            <w:tcBorders>
              <w:top w:val="nil"/>
              <w:left w:val="single" w:sz="4" w:space="0" w:color="auto"/>
              <w:bottom w:val="single" w:sz="4" w:space="0" w:color="auto"/>
              <w:right w:val="single" w:sz="4" w:space="0" w:color="auto"/>
            </w:tcBorders>
            <w:vAlign w:val="center"/>
            <w:hideMark/>
          </w:tcPr>
          <w:p w14:paraId="526EBFA6"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p>
        </w:tc>
        <w:tc>
          <w:tcPr>
            <w:tcW w:w="566" w:type="pct"/>
            <w:tcBorders>
              <w:top w:val="nil"/>
              <w:left w:val="nil"/>
              <w:bottom w:val="single" w:sz="4" w:space="0" w:color="auto"/>
              <w:right w:val="single" w:sz="4" w:space="0" w:color="auto"/>
            </w:tcBorders>
            <w:shd w:val="clear" w:color="auto" w:fill="auto"/>
            <w:noWrap/>
            <w:vAlign w:val="bottom"/>
            <w:hideMark/>
          </w:tcPr>
          <w:p w14:paraId="7DBB236F"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Secondary</w:t>
            </w:r>
          </w:p>
        </w:tc>
        <w:tc>
          <w:tcPr>
            <w:tcW w:w="512" w:type="pct"/>
            <w:tcBorders>
              <w:top w:val="nil"/>
              <w:left w:val="nil"/>
              <w:bottom w:val="single" w:sz="4" w:space="0" w:color="auto"/>
              <w:right w:val="single" w:sz="4" w:space="0" w:color="auto"/>
            </w:tcBorders>
            <w:shd w:val="clear" w:color="auto" w:fill="auto"/>
            <w:noWrap/>
            <w:vAlign w:val="bottom"/>
            <w:hideMark/>
          </w:tcPr>
          <w:p w14:paraId="0F4B5B4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22%</w:t>
            </w:r>
          </w:p>
        </w:tc>
        <w:tc>
          <w:tcPr>
            <w:tcW w:w="512" w:type="pct"/>
            <w:tcBorders>
              <w:top w:val="nil"/>
              <w:left w:val="nil"/>
              <w:bottom w:val="single" w:sz="4" w:space="0" w:color="auto"/>
              <w:right w:val="single" w:sz="4" w:space="0" w:color="auto"/>
            </w:tcBorders>
            <w:shd w:val="clear" w:color="auto" w:fill="auto"/>
            <w:noWrap/>
            <w:vAlign w:val="bottom"/>
            <w:hideMark/>
          </w:tcPr>
          <w:p w14:paraId="58F87EE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43%</w:t>
            </w:r>
          </w:p>
        </w:tc>
        <w:tc>
          <w:tcPr>
            <w:tcW w:w="375" w:type="pct"/>
            <w:tcBorders>
              <w:top w:val="nil"/>
              <w:left w:val="nil"/>
              <w:bottom w:val="single" w:sz="4" w:space="0" w:color="auto"/>
              <w:right w:val="single" w:sz="4" w:space="0" w:color="auto"/>
            </w:tcBorders>
            <w:shd w:val="clear" w:color="auto" w:fill="auto"/>
            <w:noWrap/>
            <w:vAlign w:val="bottom"/>
            <w:hideMark/>
          </w:tcPr>
          <w:p w14:paraId="5028C61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w:t>
            </w:r>
          </w:p>
        </w:tc>
        <w:tc>
          <w:tcPr>
            <w:tcW w:w="495" w:type="pct"/>
            <w:tcBorders>
              <w:top w:val="nil"/>
              <w:left w:val="nil"/>
              <w:bottom w:val="single" w:sz="4" w:space="0" w:color="auto"/>
              <w:right w:val="single" w:sz="4" w:space="0" w:color="auto"/>
            </w:tcBorders>
            <w:shd w:val="clear" w:color="auto" w:fill="auto"/>
            <w:noWrap/>
            <w:vAlign w:val="bottom"/>
            <w:hideMark/>
          </w:tcPr>
          <w:p w14:paraId="47447BA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14%</w:t>
            </w:r>
          </w:p>
        </w:tc>
        <w:tc>
          <w:tcPr>
            <w:tcW w:w="484" w:type="pct"/>
            <w:tcBorders>
              <w:top w:val="nil"/>
              <w:left w:val="nil"/>
              <w:bottom w:val="single" w:sz="4" w:space="0" w:color="auto"/>
              <w:right w:val="single" w:sz="4" w:space="0" w:color="auto"/>
            </w:tcBorders>
            <w:shd w:val="clear" w:color="auto" w:fill="auto"/>
            <w:noWrap/>
            <w:vAlign w:val="bottom"/>
            <w:hideMark/>
          </w:tcPr>
          <w:p w14:paraId="2949B0C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2.27</w:t>
            </w:r>
          </w:p>
        </w:tc>
      </w:tr>
      <w:tr w:rsidR="009B3987" w:rsidRPr="001F426A" w14:paraId="7BDA7EB5" w14:textId="77777777" w:rsidTr="00141B6D">
        <w:trPr>
          <w:trHeight w:val="255"/>
        </w:trPr>
        <w:tc>
          <w:tcPr>
            <w:tcW w:w="205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93FCC"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My job negatively impacts my physical health</w:t>
            </w:r>
          </w:p>
        </w:tc>
        <w:tc>
          <w:tcPr>
            <w:tcW w:w="566" w:type="pct"/>
            <w:tcBorders>
              <w:top w:val="single" w:sz="4" w:space="0" w:color="auto"/>
              <w:left w:val="nil"/>
              <w:bottom w:val="single" w:sz="4" w:space="0" w:color="auto"/>
              <w:right w:val="single" w:sz="4" w:space="0" w:color="auto"/>
            </w:tcBorders>
            <w:shd w:val="clear" w:color="auto" w:fill="auto"/>
            <w:noWrap/>
            <w:vAlign w:val="bottom"/>
            <w:hideMark/>
          </w:tcPr>
          <w:p w14:paraId="72D13804"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Primary</w:t>
            </w:r>
          </w:p>
        </w:tc>
        <w:tc>
          <w:tcPr>
            <w:tcW w:w="512" w:type="pct"/>
            <w:tcBorders>
              <w:top w:val="single" w:sz="4" w:space="0" w:color="auto"/>
              <w:left w:val="nil"/>
              <w:bottom w:val="single" w:sz="4" w:space="0" w:color="auto"/>
              <w:right w:val="single" w:sz="4" w:space="0" w:color="auto"/>
            </w:tcBorders>
            <w:shd w:val="clear" w:color="auto" w:fill="auto"/>
            <w:noWrap/>
            <w:vAlign w:val="bottom"/>
            <w:hideMark/>
          </w:tcPr>
          <w:p w14:paraId="5F5EF98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35%</w:t>
            </w:r>
          </w:p>
        </w:tc>
        <w:tc>
          <w:tcPr>
            <w:tcW w:w="512" w:type="pct"/>
            <w:tcBorders>
              <w:top w:val="single" w:sz="4" w:space="0" w:color="auto"/>
              <w:left w:val="nil"/>
              <w:bottom w:val="single" w:sz="4" w:space="0" w:color="auto"/>
              <w:right w:val="single" w:sz="4" w:space="0" w:color="auto"/>
            </w:tcBorders>
            <w:shd w:val="clear" w:color="auto" w:fill="auto"/>
            <w:noWrap/>
            <w:vAlign w:val="bottom"/>
            <w:hideMark/>
          </w:tcPr>
          <w:p w14:paraId="59975E1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43%</w:t>
            </w:r>
          </w:p>
        </w:tc>
        <w:tc>
          <w:tcPr>
            <w:tcW w:w="375" w:type="pct"/>
            <w:tcBorders>
              <w:top w:val="single" w:sz="4" w:space="0" w:color="auto"/>
              <w:left w:val="nil"/>
              <w:bottom w:val="single" w:sz="4" w:space="0" w:color="auto"/>
              <w:right w:val="single" w:sz="4" w:space="0" w:color="auto"/>
            </w:tcBorders>
            <w:shd w:val="clear" w:color="auto" w:fill="auto"/>
            <w:noWrap/>
            <w:vAlign w:val="bottom"/>
            <w:hideMark/>
          </w:tcPr>
          <w:p w14:paraId="1F02C04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14%</w:t>
            </w:r>
          </w:p>
        </w:tc>
        <w:tc>
          <w:tcPr>
            <w:tcW w:w="495" w:type="pct"/>
            <w:tcBorders>
              <w:top w:val="single" w:sz="4" w:space="0" w:color="auto"/>
              <w:left w:val="nil"/>
              <w:bottom w:val="single" w:sz="4" w:space="0" w:color="auto"/>
              <w:right w:val="single" w:sz="4" w:space="0" w:color="auto"/>
            </w:tcBorders>
            <w:shd w:val="clear" w:color="auto" w:fill="auto"/>
            <w:noWrap/>
            <w:vAlign w:val="bottom"/>
            <w:hideMark/>
          </w:tcPr>
          <w:p w14:paraId="4798192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8%</w:t>
            </w:r>
          </w:p>
        </w:tc>
        <w:tc>
          <w:tcPr>
            <w:tcW w:w="484" w:type="pct"/>
            <w:tcBorders>
              <w:top w:val="single" w:sz="4" w:space="0" w:color="auto"/>
              <w:left w:val="nil"/>
              <w:bottom w:val="single" w:sz="4" w:space="0" w:color="auto"/>
              <w:right w:val="single" w:sz="4" w:space="0" w:color="auto"/>
            </w:tcBorders>
            <w:shd w:val="clear" w:color="auto" w:fill="auto"/>
            <w:noWrap/>
            <w:vAlign w:val="bottom"/>
            <w:hideMark/>
          </w:tcPr>
          <w:p w14:paraId="310A869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1.95</w:t>
            </w:r>
          </w:p>
        </w:tc>
      </w:tr>
      <w:tr w:rsidR="009B3987" w:rsidRPr="001F426A" w14:paraId="5C783B53" w14:textId="77777777" w:rsidTr="00141B6D">
        <w:trPr>
          <w:trHeight w:val="255"/>
        </w:trPr>
        <w:tc>
          <w:tcPr>
            <w:tcW w:w="2056" w:type="pct"/>
            <w:vMerge/>
            <w:tcBorders>
              <w:top w:val="single" w:sz="4" w:space="0" w:color="auto"/>
              <w:left w:val="single" w:sz="4" w:space="0" w:color="auto"/>
              <w:bottom w:val="single" w:sz="4" w:space="0" w:color="auto"/>
              <w:right w:val="single" w:sz="4" w:space="0" w:color="auto"/>
            </w:tcBorders>
            <w:vAlign w:val="center"/>
            <w:hideMark/>
          </w:tcPr>
          <w:p w14:paraId="083BF1E0"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p>
        </w:tc>
        <w:tc>
          <w:tcPr>
            <w:tcW w:w="566" w:type="pct"/>
            <w:tcBorders>
              <w:top w:val="single" w:sz="4" w:space="0" w:color="auto"/>
              <w:left w:val="nil"/>
              <w:bottom w:val="single" w:sz="4" w:space="0" w:color="auto"/>
              <w:right w:val="single" w:sz="4" w:space="0" w:color="auto"/>
            </w:tcBorders>
            <w:shd w:val="clear" w:color="auto" w:fill="auto"/>
            <w:noWrap/>
            <w:vAlign w:val="bottom"/>
            <w:hideMark/>
          </w:tcPr>
          <w:p w14:paraId="7EBAC542"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Secondary</w:t>
            </w:r>
          </w:p>
        </w:tc>
        <w:tc>
          <w:tcPr>
            <w:tcW w:w="512" w:type="pct"/>
            <w:tcBorders>
              <w:top w:val="single" w:sz="4" w:space="0" w:color="auto"/>
              <w:left w:val="nil"/>
              <w:bottom w:val="single" w:sz="4" w:space="0" w:color="auto"/>
              <w:right w:val="single" w:sz="4" w:space="0" w:color="auto"/>
            </w:tcBorders>
            <w:shd w:val="clear" w:color="auto" w:fill="auto"/>
            <w:noWrap/>
            <w:vAlign w:val="bottom"/>
            <w:hideMark/>
          </w:tcPr>
          <w:p w14:paraId="5E2E7F9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32%</w:t>
            </w:r>
          </w:p>
        </w:tc>
        <w:tc>
          <w:tcPr>
            <w:tcW w:w="512" w:type="pct"/>
            <w:tcBorders>
              <w:top w:val="single" w:sz="4" w:space="0" w:color="auto"/>
              <w:left w:val="nil"/>
              <w:bottom w:val="single" w:sz="4" w:space="0" w:color="auto"/>
              <w:right w:val="single" w:sz="4" w:space="0" w:color="auto"/>
            </w:tcBorders>
            <w:shd w:val="clear" w:color="auto" w:fill="auto"/>
            <w:noWrap/>
            <w:vAlign w:val="bottom"/>
            <w:hideMark/>
          </w:tcPr>
          <w:p w14:paraId="38E1C58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41%</w:t>
            </w:r>
          </w:p>
        </w:tc>
        <w:tc>
          <w:tcPr>
            <w:tcW w:w="375" w:type="pct"/>
            <w:tcBorders>
              <w:top w:val="single" w:sz="4" w:space="0" w:color="auto"/>
              <w:left w:val="nil"/>
              <w:bottom w:val="single" w:sz="4" w:space="0" w:color="auto"/>
              <w:right w:val="single" w:sz="4" w:space="0" w:color="auto"/>
            </w:tcBorders>
            <w:shd w:val="clear" w:color="auto" w:fill="auto"/>
            <w:noWrap/>
            <w:vAlign w:val="bottom"/>
            <w:hideMark/>
          </w:tcPr>
          <w:p w14:paraId="4864C28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17%</w:t>
            </w:r>
          </w:p>
        </w:tc>
        <w:tc>
          <w:tcPr>
            <w:tcW w:w="495" w:type="pct"/>
            <w:tcBorders>
              <w:top w:val="single" w:sz="4" w:space="0" w:color="auto"/>
              <w:left w:val="nil"/>
              <w:bottom w:val="single" w:sz="4" w:space="0" w:color="auto"/>
              <w:right w:val="single" w:sz="4" w:space="0" w:color="auto"/>
            </w:tcBorders>
            <w:shd w:val="clear" w:color="auto" w:fill="auto"/>
            <w:noWrap/>
            <w:vAlign w:val="bottom"/>
            <w:hideMark/>
          </w:tcPr>
          <w:p w14:paraId="5C87D57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11%</w:t>
            </w:r>
          </w:p>
        </w:tc>
        <w:tc>
          <w:tcPr>
            <w:tcW w:w="484" w:type="pct"/>
            <w:tcBorders>
              <w:top w:val="single" w:sz="4" w:space="0" w:color="auto"/>
              <w:left w:val="nil"/>
              <w:bottom w:val="single" w:sz="4" w:space="0" w:color="auto"/>
              <w:right w:val="single" w:sz="4" w:space="0" w:color="auto"/>
            </w:tcBorders>
            <w:shd w:val="clear" w:color="auto" w:fill="auto"/>
            <w:noWrap/>
            <w:vAlign w:val="bottom"/>
            <w:hideMark/>
          </w:tcPr>
          <w:p w14:paraId="62150BF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2.06</w:t>
            </w:r>
          </w:p>
        </w:tc>
      </w:tr>
    </w:tbl>
    <w:p w14:paraId="0B88B506" w14:textId="77777777" w:rsidR="009B3987" w:rsidRPr="00C15BFD" w:rsidRDefault="009B3987" w:rsidP="009B3987">
      <w:pPr>
        <w:rPr>
          <w:rFonts w:ascii="Times New Roman" w:hAnsi="Times New Roman" w:cs="Times New Roman"/>
          <w:b/>
          <w:sz w:val="20"/>
          <w:szCs w:val="20"/>
        </w:rPr>
      </w:pPr>
      <w:r w:rsidRPr="00C15BFD">
        <w:rPr>
          <w:rFonts w:ascii="Times New Roman" w:hAnsi="Times New Roman" w:cs="Times New Roman"/>
          <w:sz w:val="20"/>
          <w:szCs w:val="20"/>
        </w:rPr>
        <w:t>Source = authors’ analysis of TALIS 2018 data for England.</w:t>
      </w:r>
    </w:p>
    <w:p w14:paraId="169560CD" w14:textId="77777777" w:rsidR="009B3987" w:rsidRPr="009C3598" w:rsidRDefault="009B3987" w:rsidP="009B3987">
      <w:pPr>
        <w:spacing w:line="360" w:lineRule="auto"/>
        <w:rPr>
          <w:rFonts w:ascii="Times New Roman" w:hAnsi="Times New Roman" w:cs="Times New Roman"/>
          <w:b/>
          <w:sz w:val="24"/>
          <w:szCs w:val="24"/>
        </w:rPr>
      </w:pPr>
    </w:p>
    <w:p w14:paraId="7BAF6618" w14:textId="052DD513" w:rsidR="009B3987" w:rsidRDefault="009B3987" w:rsidP="009B3987">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Figure 2.1 compares these results for England compared to a set of ‘high-performing’, ‘low-performing’ and ‘average</w:t>
      </w:r>
      <w:r w:rsidR="00C91CE6">
        <w:rPr>
          <w:rFonts w:ascii="Times New Roman" w:hAnsi="Times New Roman" w:cs="Times New Roman"/>
          <w:sz w:val="24"/>
          <w:szCs w:val="24"/>
        </w:rPr>
        <w:t>-</w:t>
      </w:r>
      <w:r>
        <w:rPr>
          <w:rFonts w:ascii="Times New Roman" w:hAnsi="Times New Roman" w:cs="Times New Roman"/>
          <w:sz w:val="24"/>
          <w:szCs w:val="24"/>
        </w:rPr>
        <w:t>performing’ education syste</w:t>
      </w:r>
      <w:r w:rsidRPr="009B3987">
        <w:rPr>
          <w:rFonts w:ascii="Times New Roman" w:hAnsi="Times New Roman" w:cs="Times New Roman"/>
          <w:sz w:val="24"/>
          <w:szCs w:val="24"/>
        </w:rPr>
        <w:t>ms, as well as highlighting results for the English-speaking nations (see Jerrim and Sims</w:t>
      </w:r>
      <w:r w:rsidR="00DD0FF9">
        <w:rPr>
          <w:rFonts w:ascii="Times New Roman" w:hAnsi="Times New Roman" w:cs="Times New Roman"/>
          <w:sz w:val="24"/>
          <w:szCs w:val="24"/>
        </w:rPr>
        <w:t>,</w:t>
      </w:r>
      <w:r w:rsidRPr="009B3987">
        <w:rPr>
          <w:rFonts w:ascii="Times New Roman" w:hAnsi="Times New Roman" w:cs="Times New Roman"/>
          <w:sz w:val="24"/>
          <w:szCs w:val="24"/>
        </w:rPr>
        <w:t xml:space="preserve"> 2020a for how these groups are defined). For both primary and (particularly) lower-secondary, the</w:t>
      </w:r>
      <w:r>
        <w:rPr>
          <w:rFonts w:ascii="Times New Roman" w:hAnsi="Times New Roman" w:cs="Times New Roman"/>
          <w:sz w:val="24"/>
          <w:szCs w:val="24"/>
        </w:rPr>
        <w:t xml:space="preserve">re is evidence that teachers in England report being more stressed than teachers in other countries. In both panel (a) and panel (b), England is towards the top-right of the cloud of data points. This illustrates that a greater proportion of teachers in England agreed or strongly agreed that they experience stress at work (horizontal axis) and that their job has a negative impact upon their mental health (vertical axis) than elsewhere. For instance, 70% of lower-secondary teachers in England said that they experience </w:t>
      </w:r>
      <w:r w:rsidR="00EB27EB">
        <w:rPr>
          <w:rFonts w:ascii="Times New Roman" w:hAnsi="Times New Roman" w:cs="Times New Roman"/>
          <w:sz w:val="24"/>
          <w:szCs w:val="24"/>
        </w:rPr>
        <w:t>‘</w:t>
      </w:r>
      <w:r>
        <w:rPr>
          <w:rFonts w:ascii="Times New Roman" w:hAnsi="Times New Roman" w:cs="Times New Roman"/>
          <w:sz w:val="24"/>
          <w:szCs w:val="24"/>
        </w:rPr>
        <w:t>quite a bit</w:t>
      </w:r>
      <w:r w:rsidR="00EB27EB">
        <w:rPr>
          <w:rFonts w:ascii="Times New Roman" w:hAnsi="Times New Roman" w:cs="Times New Roman"/>
          <w:sz w:val="24"/>
          <w:szCs w:val="24"/>
        </w:rPr>
        <w:t>’</w:t>
      </w:r>
      <w:r>
        <w:rPr>
          <w:rFonts w:ascii="Times New Roman" w:hAnsi="Times New Roman" w:cs="Times New Roman"/>
          <w:sz w:val="24"/>
          <w:szCs w:val="24"/>
        </w:rPr>
        <w:t xml:space="preserve"> or </w:t>
      </w:r>
      <w:r w:rsidR="00EB27EB">
        <w:rPr>
          <w:rFonts w:ascii="Times New Roman" w:hAnsi="Times New Roman" w:cs="Times New Roman"/>
          <w:sz w:val="24"/>
          <w:szCs w:val="24"/>
        </w:rPr>
        <w:t>‘</w:t>
      </w:r>
      <w:r>
        <w:rPr>
          <w:rFonts w:ascii="Times New Roman" w:hAnsi="Times New Roman" w:cs="Times New Roman"/>
          <w:sz w:val="24"/>
          <w:szCs w:val="24"/>
        </w:rPr>
        <w:t>a lot</w:t>
      </w:r>
      <w:r w:rsidR="00EB27EB">
        <w:rPr>
          <w:rFonts w:ascii="Times New Roman" w:hAnsi="Times New Roman" w:cs="Times New Roman"/>
          <w:sz w:val="24"/>
          <w:szCs w:val="24"/>
        </w:rPr>
        <w:t>’</w:t>
      </w:r>
      <w:r>
        <w:rPr>
          <w:rFonts w:ascii="Times New Roman" w:hAnsi="Times New Roman" w:cs="Times New Roman"/>
          <w:sz w:val="24"/>
          <w:szCs w:val="24"/>
        </w:rPr>
        <w:t xml:space="preserve"> of stress at work compared to an OECD average of 49%. The analogous figures for lower-secondary teachers’ reporting that their job has a negative impact upon their mental health are 35% (England) and 24% (OECD average). Broadly similar comparative results emerge for primary teachers, albeit with a much smaller pool of countries to compare against. Moreover, England also stands out from the other English-speaking countries that participated in TALIS (denoted in Figure 2.1 by the black square markers). These results therefore suggest that the education system in England may place more stress upon teachers than education systems elsewhere across the world. </w:t>
      </w:r>
    </w:p>
    <w:p w14:paraId="12ECADD1" w14:textId="77777777" w:rsidR="009B3987" w:rsidRDefault="009B3987" w:rsidP="009B3987">
      <w:pPr>
        <w:spacing w:line="360" w:lineRule="auto"/>
        <w:jc w:val="both"/>
        <w:rPr>
          <w:rFonts w:ascii="Times New Roman" w:hAnsi="Times New Roman" w:cs="Times New Roman"/>
          <w:sz w:val="24"/>
          <w:szCs w:val="24"/>
        </w:rPr>
        <w:sectPr w:rsidR="009B3987" w:rsidSect="00141B6D">
          <w:footerReference w:type="default" r:id="rId16"/>
          <w:pgSz w:w="11906" w:h="16838"/>
          <w:pgMar w:top="1440" w:right="1440" w:bottom="1440" w:left="1440" w:header="708" w:footer="708" w:gutter="0"/>
          <w:cols w:space="708"/>
          <w:docGrid w:linePitch="360"/>
        </w:sectPr>
      </w:pPr>
    </w:p>
    <w:p w14:paraId="1CD4F196" w14:textId="4A53F6D2" w:rsidR="009B3987" w:rsidRDefault="009B3987" w:rsidP="009B3987">
      <w:pPr>
        <w:jc w:val="center"/>
        <w:rPr>
          <w:rFonts w:ascii="Times New Roman" w:hAnsi="Times New Roman" w:cs="Times New Roman"/>
          <w:b/>
          <w:sz w:val="24"/>
          <w:szCs w:val="24"/>
        </w:rPr>
      </w:pPr>
      <w:r w:rsidRPr="00DE6904">
        <w:rPr>
          <w:rFonts w:ascii="Times New Roman" w:hAnsi="Times New Roman" w:cs="Times New Roman"/>
          <w:b/>
          <w:sz w:val="24"/>
          <w:szCs w:val="24"/>
        </w:rPr>
        <w:lastRenderedPageBreak/>
        <w:t xml:space="preserve">Figure </w:t>
      </w:r>
      <w:r>
        <w:rPr>
          <w:rFonts w:ascii="Times New Roman" w:hAnsi="Times New Roman" w:cs="Times New Roman"/>
          <w:b/>
          <w:sz w:val="24"/>
          <w:szCs w:val="24"/>
        </w:rPr>
        <w:t>2.</w:t>
      </w:r>
      <w:r w:rsidRPr="00DE6904">
        <w:rPr>
          <w:rFonts w:ascii="Times New Roman" w:hAnsi="Times New Roman" w:cs="Times New Roman"/>
          <w:b/>
          <w:sz w:val="24"/>
          <w:szCs w:val="24"/>
        </w:rPr>
        <w:t>1 Experience of stress at work and negative mental health outcomes as reported by teachers. Cross-national comparison.</w:t>
      </w:r>
    </w:p>
    <w:p w14:paraId="3044C5FC" w14:textId="77777777" w:rsidR="009B3987" w:rsidRDefault="009B3987" w:rsidP="00697230">
      <w:pPr>
        <w:pStyle w:val="ListParagraph"/>
        <w:numPr>
          <w:ilvl w:val="0"/>
          <w:numId w:val="3"/>
        </w:numPr>
        <w:spacing w:line="259" w:lineRule="auto"/>
        <w:jc w:val="both"/>
        <w:rPr>
          <w:rFonts w:ascii="Times New Roman" w:hAnsi="Times New Roman" w:cs="Times New Roman"/>
          <w:b/>
          <w:sz w:val="24"/>
          <w:szCs w:val="24"/>
        </w:rPr>
      </w:pPr>
      <w:r>
        <w:rPr>
          <w:rFonts w:ascii="Times New Roman" w:hAnsi="Times New Roman" w:cs="Times New Roman"/>
          <w:b/>
          <w:sz w:val="24"/>
          <w:szCs w:val="24"/>
        </w:rPr>
        <w:t>Primary</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(b) Secondary</w:t>
      </w:r>
    </w:p>
    <w:p w14:paraId="596C1AC1" w14:textId="77777777" w:rsidR="009B3987" w:rsidRDefault="009B3987" w:rsidP="009B3987">
      <w:pPr>
        <w:jc w:val="both"/>
        <w:rPr>
          <w:rFonts w:ascii="Times New Roman" w:hAnsi="Times New Roman" w:cs="Times New Roman"/>
          <w:b/>
          <w:sz w:val="24"/>
          <w:szCs w:val="24"/>
        </w:rPr>
      </w:pPr>
      <w:r w:rsidRPr="00E83EAB">
        <w:rPr>
          <w:rFonts w:ascii="Times New Roman" w:hAnsi="Times New Roman" w:cs="Times New Roman"/>
          <w:b/>
          <w:sz w:val="24"/>
          <w:szCs w:val="24"/>
        </w:rPr>
        <w:t xml:space="preserve"> </w:t>
      </w:r>
      <w:r w:rsidRPr="005642F2">
        <w:rPr>
          <w:rFonts w:ascii="Times New Roman" w:hAnsi="Times New Roman" w:cs="Times New Roman"/>
          <w:b/>
          <w:sz w:val="24"/>
          <w:szCs w:val="24"/>
        </w:rPr>
        <w:t xml:space="preserve"> </w:t>
      </w:r>
      <w:r w:rsidRPr="00E83EAB">
        <w:rPr>
          <w:rFonts w:ascii="Times New Roman" w:hAnsi="Times New Roman" w:cs="Times New Roman"/>
          <w:b/>
          <w:noProof/>
          <w:sz w:val="24"/>
          <w:szCs w:val="24"/>
          <w:lang w:eastAsia="en-GB"/>
        </w:rPr>
        <w:drawing>
          <wp:inline distT="0" distB="0" distL="0" distR="0" wp14:anchorId="1AC67A8A" wp14:editId="4B57B69B">
            <wp:extent cx="4152900" cy="4152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152900" cy="4152900"/>
                    </a:xfrm>
                    <a:prstGeom prst="rect">
                      <a:avLst/>
                    </a:prstGeom>
                    <a:noFill/>
                    <a:ln>
                      <a:noFill/>
                    </a:ln>
                  </pic:spPr>
                </pic:pic>
              </a:graphicData>
            </a:graphic>
          </wp:inline>
        </w:drawing>
      </w:r>
      <w:r w:rsidRPr="005642F2">
        <w:rPr>
          <w:rFonts w:ascii="Times New Roman" w:hAnsi="Times New Roman" w:cs="Times New Roman"/>
          <w:b/>
          <w:noProof/>
          <w:sz w:val="24"/>
          <w:szCs w:val="24"/>
          <w:lang w:eastAsia="en-GB"/>
        </w:rPr>
        <w:drawing>
          <wp:inline distT="0" distB="0" distL="0" distR="0" wp14:anchorId="7F05342B" wp14:editId="05AF49FD">
            <wp:extent cx="4143375" cy="41433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143375" cy="4143375"/>
                    </a:xfrm>
                    <a:prstGeom prst="rect">
                      <a:avLst/>
                    </a:prstGeom>
                    <a:noFill/>
                    <a:ln>
                      <a:noFill/>
                    </a:ln>
                  </pic:spPr>
                </pic:pic>
              </a:graphicData>
            </a:graphic>
          </wp:inline>
        </w:drawing>
      </w:r>
    </w:p>
    <w:p w14:paraId="234B3F86" w14:textId="1230A39E" w:rsidR="009B3987" w:rsidRPr="001F426A" w:rsidRDefault="009B3987" w:rsidP="009B3987">
      <w:pPr>
        <w:jc w:val="both"/>
        <w:rPr>
          <w:rFonts w:ascii="Times New Roman" w:hAnsi="Times New Roman" w:cs="Times New Roman"/>
          <w:sz w:val="21"/>
          <w:szCs w:val="21"/>
          <w:u w:val="single"/>
        </w:rPr>
        <w:sectPr w:rsidR="009B3987" w:rsidRPr="001F426A" w:rsidSect="00141B6D">
          <w:pgSz w:w="16838" w:h="11906" w:orient="landscape"/>
          <w:pgMar w:top="1440" w:right="1440" w:bottom="1440" w:left="1440" w:header="708" w:footer="708" w:gutter="0"/>
          <w:cols w:space="708"/>
          <w:docGrid w:linePitch="360"/>
        </w:sectPr>
      </w:pPr>
      <w:r w:rsidRPr="001F426A">
        <w:rPr>
          <w:rFonts w:ascii="Times New Roman" w:hAnsi="Times New Roman" w:cs="Times New Roman"/>
          <w:sz w:val="21"/>
          <w:szCs w:val="21"/>
        </w:rPr>
        <w:t>Notes: Figures refer to the percentage of teachers who responded either ‘quite a bit’ or ‘a lot’. Dashed line illustrates the ordinary least squares line-of-best-fit. A steeper line illustrates a stronger cross-country relationship. Red diamonds = high-performing countries, green triangles = low-performing countries, blue circles = countries with similar performance to England, black squares = English-speaking countries (see Jerrim and</w:t>
      </w:r>
      <w:r w:rsidR="00F52544" w:rsidRPr="001F426A">
        <w:rPr>
          <w:rFonts w:ascii="Times New Roman" w:hAnsi="Times New Roman" w:cs="Times New Roman"/>
          <w:sz w:val="21"/>
          <w:szCs w:val="21"/>
        </w:rPr>
        <w:t xml:space="preserve"> </w:t>
      </w:r>
      <w:r w:rsidRPr="001F426A">
        <w:rPr>
          <w:rFonts w:ascii="Times New Roman" w:hAnsi="Times New Roman" w:cs="Times New Roman"/>
          <w:sz w:val="21"/>
          <w:szCs w:val="21"/>
        </w:rPr>
        <w:t>Sims</w:t>
      </w:r>
      <w:r w:rsidR="00DD0FF9">
        <w:rPr>
          <w:rFonts w:ascii="Times New Roman" w:hAnsi="Times New Roman" w:cs="Times New Roman"/>
          <w:sz w:val="21"/>
          <w:szCs w:val="21"/>
        </w:rPr>
        <w:t>,</w:t>
      </w:r>
      <w:r w:rsidRPr="001F426A">
        <w:rPr>
          <w:rFonts w:ascii="Times New Roman" w:hAnsi="Times New Roman" w:cs="Times New Roman"/>
          <w:sz w:val="21"/>
          <w:szCs w:val="21"/>
        </w:rPr>
        <w:t xml:space="preserve"> 2020a for further details).  Source = authors’ analysis of TALIS 2018 data.</w:t>
      </w:r>
    </w:p>
    <w:p w14:paraId="18D0B041" w14:textId="77777777" w:rsidR="009B3987" w:rsidRPr="00BC78D4" w:rsidRDefault="009B3987" w:rsidP="009B3987">
      <w:pPr>
        <w:rPr>
          <w:rFonts w:ascii="Times New Roman" w:hAnsi="Times New Roman" w:cs="Times New Roman"/>
          <w:b/>
          <w:sz w:val="24"/>
          <w:szCs w:val="24"/>
        </w:rPr>
      </w:pPr>
      <w:r w:rsidRPr="00BC78D4">
        <w:rPr>
          <w:rFonts w:ascii="Times New Roman" w:hAnsi="Times New Roman" w:cs="Times New Roman"/>
          <w:b/>
          <w:sz w:val="24"/>
          <w:szCs w:val="24"/>
        </w:rPr>
        <w:lastRenderedPageBreak/>
        <w:t xml:space="preserve">2.5 What do teachers in England perceive to be the main drivers of work-related stress (and how does this compare to </w:t>
      </w:r>
      <w:r>
        <w:rPr>
          <w:rFonts w:ascii="Times New Roman" w:hAnsi="Times New Roman" w:cs="Times New Roman"/>
          <w:b/>
          <w:sz w:val="24"/>
          <w:szCs w:val="24"/>
        </w:rPr>
        <w:t>other countries</w:t>
      </w:r>
      <w:r w:rsidRPr="00BC78D4">
        <w:rPr>
          <w:rFonts w:ascii="Times New Roman" w:hAnsi="Times New Roman" w:cs="Times New Roman"/>
          <w:b/>
          <w:sz w:val="24"/>
          <w:szCs w:val="24"/>
        </w:rPr>
        <w:t>)?</w:t>
      </w:r>
    </w:p>
    <w:p w14:paraId="19066669" w14:textId="0AE35215" w:rsidR="009B3987" w:rsidRPr="004746A4"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What is it about their job that is causing teachers in England so much stress? The views of primary teachers on this matter can be found in Table 2.3. The two major issues that stand out are the accountability system (being held responsible for pupils’ achievement) and their administrative load. Most primary teacher</w:t>
      </w:r>
      <w:r w:rsidR="009E0C76">
        <w:rPr>
          <w:rFonts w:ascii="Times New Roman" w:hAnsi="Times New Roman" w:cs="Times New Roman"/>
          <w:bCs/>
          <w:sz w:val="24"/>
          <w:szCs w:val="24"/>
        </w:rPr>
        <w:t>s</w:t>
      </w:r>
      <w:r>
        <w:rPr>
          <w:rFonts w:ascii="Times New Roman" w:hAnsi="Times New Roman" w:cs="Times New Roman"/>
          <w:bCs/>
          <w:sz w:val="24"/>
          <w:szCs w:val="24"/>
        </w:rPr>
        <w:t xml:space="preserve"> in England said that this caused them </w:t>
      </w:r>
      <w:r w:rsidR="009E0C76">
        <w:rPr>
          <w:rFonts w:ascii="Times New Roman" w:hAnsi="Times New Roman" w:cs="Times New Roman"/>
          <w:bCs/>
          <w:sz w:val="24"/>
          <w:szCs w:val="24"/>
        </w:rPr>
        <w:t>‘</w:t>
      </w:r>
      <w:r>
        <w:rPr>
          <w:rFonts w:ascii="Times New Roman" w:hAnsi="Times New Roman" w:cs="Times New Roman"/>
          <w:bCs/>
          <w:sz w:val="24"/>
          <w:szCs w:val="24"/>
        </w:rPr>
        <w:t>quite a bit</w:t>
      </w:r>
      <w:r w:rsidR="009E0C76">
        <w:rPr>
          <w:rFonts w:ascii="Times New Roman" w:hAnsi="Times New Roman" w:cs="Times New Roman"/>
          <w:bCs/>
          <w:sz w:val="24"/>
          <w:szCs w:val="24"/>
        </w:rPr>
        <w:t>’</w:t>
      </w:r>
      <w:r>
        <w:rPr>
          <w:rFonts w:ascii="Times New Roman" w:hAnsi="Times New Roman" w:cs="Times New Roman"/>
          <w:bCs/>
          <w:sz w:val="24"/>
          <w:szCs w:val="24"/>
        </w:rPr>
        <w:t xml:space="preserve"> or </w:t>
      </w:r>
      <w:r w:rsidR="009E0C76">
        <w:rPr>
          <w:rFonts w:ascii="Times New Roman" w:hAnsi="Times New Roman" w:cs="Times New Roman"/>
          <w:bCs/>
          <w:sz w:val="24"/>
          <w:szCs w:val="24"/>
        </w:rPr>
        <w:t>‘</w:t>
      </w:r>
      <w:r>
        <w:rPr>
          <w:rFonts w:ascii="Times New Roman" w:hAnsi="Times New Roman" w:cs="Times New Roman"/>
          <w:bCs/>
          <w:sz w:val="24"/>
          <w:szCs w:val="24"/>
        </w:rPr>
        <w:t>a lot</w:t>
      </w:r>
      <w:r w:rsidR="009E0C76">
        <w:rPr>
          <w:rFonts w:ascii="Times New Roman" w:hAnsi="Times New Roman" w:cs="Times New Roman"/>
          <w:bCs/>
          <w:sz w:val="24"/>
          <w:szCs w:val="24"/>
        </w:rPr>
        <w:t>’</w:t>
      </w:r>
      <w:r>
        <w:rPr>
          <w:rFonts w:ascii="Times New Roman" w:hAnsi="Times New Roman" w:cs="Times New Roman"/>
          <w:bCs/>
          <w:sz w:val="24"/>
          <w:szCs w:val="24"/>
        </w:rPr>
        <w:t xml:space="preserve"> of stress. The two other major sources of stress amongst primary teachers is the amount </w:t>
      </w:r>
      <w:r w:rsidR="000D03D9">
        <w:rPr>
          <w:rFonts w:ascii="Times New Roman" w:hAnsi="Times New Roman" w:cs="Times New Roman"/>
          <w:bCs/>
          <w:sz w:val="24"/>
          <w:szCs w:val="24"/>
        </w:rPr>
        <w:t xml:space="preserve">of </w:t>
      </w:r>
      <w:r>
        <w:rPr>
          <w:rFonts w:ascii="Times New Roman" w:hAnsi="Times New Roman" w:cs="Times New Roman"/>
          <w:bCs/>
          <w:sz w:val="24"/>
          <w:szCs w:val="24"/>
        </w:rPr>
        <w:t xml:space="preserve">marking and keeping up with changing government requirements, which each caused quite a bit or a lot of stress amongst around half of primary teachers. At the other extreme, only a minority of primary teachers felt stressed by the need to maintain classroom discipline, having to cover for absent teachers or intimidation by students. </w:t>
      </w:r>
    </w:p>
    <w:p w14:paraId="259397D9" w14:textId="4DD0AFB1" w:rsidR="009B3987" w:rsidRPr="00F42C0A" w:rsidRDefault="009B3987" w:rsidP="009B3987">
      <w:pPr>
        <w:jc w:val="center"/>
        <w:rPr>
          <w:rFonts w:ascii="Times New Roman" w:hAnsi="Times New Roman" w:cs="Times New Roman"/>
          <w:b/>
          <w:sz w:val="24"/>
          <w:szCs w:val="24"/>
        </w:rPr>
      </w:pPr>
      <w:r>
        <w:rPr>
          <w:rFonts w:ascii="Times New Roman" w:hAnsi="Times New Roman" w:cs="Times New Roman"/>
          <w:b/>
          <w:sz w:val="24"/>
          <w:szCs w:val="24"/>
        </w:rPr>
        <w:t>Table 2.3</w:t>
      </w:r>
      <w:r w:rsidR="00A74565">
        <w:rPr>
          <w:rFonts w:ascii="Times New Roman" w:hAnsi="Times New Roman" w:cs="Times New Roman"/>
          <w:b/>
          <w:sz w:val="24"/>
          <w:szCs w:val="24"/>
        </w:rPr>
        <w:t xml:space="preserve"> </w:t>
      </w:r>
      <w:proofErr w:type="gramStart"/>
      <w:r>
        <w:rPr>
          <w:rFonts w:ascii="Times New Roman" w:hAnsi="Times New Roman" w:cs="Times New Roman"/>
          <w:b/>
          <w:sz w:val="24"/>
          <w:szCs w:val="24"/>
        </w:rPr>
        <w:t>What</w:t>
      </w:r>
      <w:proofErr w:type="gramEnd"/>
      <w:r>
        <w:rPr>
          <w:rFonts w:ascii="Times New Roman" w:hAnsi="Times New Roman" w:cs="Times New Roman"/>
          <w:b/>
          <w:sz w:val="24"/>
          <w:szCs w:val="24"/>
        </w:rPr>
        <w:t xml:space="preserve"> are the major sources of stress amongst primary teachers in England?</w:t>
      </w:r>
    </w:p>
    <w:tbl>
      <w:tblPr>
        <w:tblW w:w="10380" w:type="dxa"/>
        <w:tblInd w:w="-525" w:type="dxa"/>
        <w:tblLook w:val="04A0" w:firstRow="1" w:lastRow="0" w:firstColumn="1" w:lastColumn="0" w:noHBand="0" w:noVBand="1"/>
      </w:tblPr>
      <w:tblGrid>
        <w:gridCol w:w="4955"/>
        <w:gridCol w:w="960"/>
        <w:gridCol w:w="1600"/>
        <w:gridCol w:w="1140"/>
        <w:gridCol w:w="656"/>
        <w:gridCol w:w="1069"/>
      </w:tblGrid>
      <w:tr w:rsidR="009B3987" w:rsidRPr="001F426A" w14:paraId="58BBF789" w14:textId="77777777" w:rsidTr="00C15BFD">
        <w:trPr>
          <w:trHeight w:val="600"/>
        </w:trPr>
        <w:tc>
          <w:tcPr>
            <w:tcW w:w="4955" w:type="dxa"/>
            <w:tcBorders>
              <w:top w:val="single" w:sz="4" w:space="0" w:color="auto"/>
              <w:left w:val="nil"/>
              <w:bottom w:val="single" w:sz="4" w:space="0" w:color="auto"/>
              <w:right w:val="nil"/>
            </w:tcBorders>
            <w:shd w:val="clear" w:color="000000" w:fill="B4C6E7"/>
            <w:vAlign w:val="bottom"/>
            <w:hideMark/>
          </w:tcPr>
          <w:p w14:paraId="2A35212C" w14:textId="77777777" w:rsidR="009B3987" w:rsidRPr="001F426A" w:rsidRDefault="009B3987" w:rsidP="00141B6D">
            <w:pPr>
              <w:spacing w:after="0" w:line="240" w:lineRule="auto"/>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Variable</w:t>
            </w:r>
          </w:p>
        </w:tc>
        <w:tc>
          <w:tcPr>
            <w:tcW w:w="960" w:type="dxa"/>
            <w:tcBorders>
              <w:top w:val="single" w:sz="4" w:space="0" w:color="auto"/>
              <w:left w:val="nil"/>
              <w:bottom w:val="single" w:sz="4" w:space="0" w:color="auto"/>
              <w:right w:val="nil"/>
            </w:tcBorders>
            <w:shd w:val="clear" w:color="000000" w:fill="B4C6E7"/>
            <w:vAlign w:val="bottom"/>
            <w:hideMark/>
          </w:tcPr>
          <w:p w14:paraId="53465772"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1. Not at all</w:t>
            </w:r>
          </w:p>
        </w:tc>
        <w:tc>
          <w:tcPr>
            <w:tcW w:w="1600" w:type="dxa"/>
            <w:tcBorders>
              <w:top w:val="single" w:sz="4" w:space="0" w:color="auto"/>
              <w:left w:val="nil"/>
              <w:bottom w:val="single" w:sz="4" w:space="0" w:color="auto"/>
              <w:right w:val="nil"/>
            </w:tcBorders>
            <w:shd w:val="clear" w:color="000000" w:fill="B4C6E7"/>
            <w:vAlign w:val="bottom"/>
            <w:hideMark/>
          </w:tcPr>
          <w:p w14:paraId="4C958EAC"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2. To some extent</w:t>
            </w:r>
          </w:p>
        </w:tc>
        <w:tc>
          <w:tcPr>
            <w:tcW w:w="1140" w:type="dxa"/>
            <w:tcBorders>
              <w:top w:val="single" w:sz="4" w:space="0" w:color="auto"/>
              <w:left w:val="nil"/>
              <w:bottom w:val="single" w:sz="4" w:space="0" w:color="auto"/>
              <w:right w:val="nil"/>
            </w:tcBorders>
            <w:shd w:val="clear" w:color="000000" w:fill="B4C6E7"/>
            <w:vAlign w:val="bottom"/>
            <w:hideMark/>
          </w:tcPr>
          <w:p w14:paraId="208F49A8"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3. Quite a bit</w:t>
            </w:r>
          </w:p>
        </w:tc>
        <w:tc>
          <w:tcPr>
            <w:tcW w:w="656" w:type="dxa"/>
            <w:tcBorders>
              <w:top w:val="single" w:sz="4" w:space="0" w:color="auto"/>
              <w:left w:val="nil"/>
              <w:bottom w:val="single" w:sz="4" w:space="0" w:color="auto"/>
              <w:right w:val="nil"/>
            </w:tcBorders>
            <w:shd w:val="clear" w:color="000000" w:fill="B4C6E7"/>
            <w:vAlign w:val="bottom"/>
            <w:hideMark/>
          </w:tcPr>
          <w:p w14:paraId="34097E76"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4. A lot</w:t>
            </w:r>
          </w:p>
        </w:tc>
        <w:tc>
          <w:tcPr>
            <w:tcW w:w="1069" w:type="dxa"/>
            <w:tcBorders>
              <w:top w:val="single" w:sz="4" w:space="0" w:color="auto"/>
              <w:left w:val="nil"/>
              <w:bottom w:val="single" w:sz="4" w:space="0" w:color="auto"/>
              <w:right w:val="nil"/>
            </w:tcBorders>
            <w:shd w:val="clear" w:color="000000" w:fill="B4C6E7"/>
            <w:vAlign w:val="bottom"/>
            <w:hideMark/>
          </w:tcPr>
          <w:p w14:paraId="6B4532D5"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Average Score</w:t>
            </w:r>
          </w:p>
        </w:tc>
      </w:tr>
      <w:tr w:rsidR="009B3987" w:rsidRPr="001F426A" w14:paraId="36228FC6" w14:textId="77777777" w:rsidTr="00C15BFD">
        <w:trPr>
          <w:trHeight w:val="255"/>
        </w:trPr>
        <w:tc>
          <w:tcPr>
            <w:tcW w:w="4955" w:type="dxa"/>
            <w:tcBorders>
              <w:top w:val="nil"/>
              <w:left w:val="nil"/>
              <w:bottom w:val="nil"/>
              <w:right w:val="nil"/>
            </w:tcBorders>
            <w:shd w:val="clear" w:color="auto" w:fill="auto"/>
            <w:vAlign w:val="bottom"/>
            <w:hideMark/>
          </w:tcPr>
          <w:p w14:paraId="3E141AD0"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Being held responsible for students’ achievement</w:t>
            </w:r>
          </w:p>
        </w:tc>
        <w:tc>
          <w:tcPr>
            <w:tcW w:w="960" w:type="dxa"/>
            <w:tcBorders>
              <w:top w:val="nil"/>
              <w:left w:val="nil"/>
              <w:bottom w:val="nil"/>
              <w:right w:val="nil"/>
            </w:tcBorders>
            <w:shd w:val="clear" w:color="auto" w:fill="auto"/>
            <w:noWrap/>
            <w:vAlign w:val="bottom"/>
            <w:hideMark/>
          </w:tcPr>
          <w:p w14:paraId="2455617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11%</w:t>
            </w:r>
          </w:p>
        </w:tc>
        <w:tc>
          <w:tcPr>
            <w:tcW w:w="1600" w:type="dxa"/>
            <w:tcBorders>
              <w:top w:val="nil"/>
              <w:left w:val="nil"/>
              <w:bottom w:val="nil"/>
              <w:right w:val="nil"/>
            </w:tcBorders>
            <w:shd w:val="clear" w:color="auto" w:fill="auto"/>
            <w:noWrap/>
            <w:vAlign w:val="bottom"/>
            <w:hideMark/>
          </w:tcPr>
          <w:p w14:paraId="7A8841F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26%</w:t>
            </w:r>
          </w:p>
        </w:tc>
        <w:tc>
          <w:tcPr>
            <w:tcW w:w="1140" w:type="dxa"/>
            <w:tcBorders>
              <w:top w:val="nil"/>
              <w:left w:val="nil"/>
              <w:bottom w:val="nil"/>
              <w:right w:val="nil"/>
            </w:tcBorders>
            <w:shd w:val="clear" w:color="auto" w:fill="auto"/>
            <w:noWrap/>
            <w:vAlign w:val="bottom"/>
            <w:hideMark/>
          </w:tcPr>
          <w:p w14:paraId="585825C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31%</w:t>
            </w:r>
          </w:p>
        </w:tc>
        <w:tc>
          <w:tcPr>
            <w:tcW w:w="656" w:type="dxa"/>
            <w:tcBorders>
              <w:top w:val="nil"/>
              <w:left w:val="nil"/>
              <w:bottom w:val="nil"/>
              <w:right w:val="nil"/>
            </w:tcBorders>
            <w:shd w:val="clear" w:color="auto" w:fill="auto"/>
            <w:noWrap/>
            <w:vAlign w:val="bottom"/>
            <w:hideMark/>
          </w:tcPr>
          <w:p w14:paraId="48AE3D3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31%</w:t>
            </w:r>
          </w:p>
        </w:tc>
        <w:tc>
          <w:tcPr>
            <w:tcW w:w="1069" w:type="dxa"/>
            <w:tcBorders>
              <w:top w:val="nil"/>
              <w:left w:val="nil"/>
              <w:bottom w:val="nil"/>
              <w:right w:val="nil"/>
            </w:tcBorders>
            <w:shd w:val="clear" w:color="auto" w:fill="auto"/>
            <w:noWrap/>
            <w:vAlign w:val="bottom"/>
            <w:hideMark/>
          </w:tcPr>
          <w:p w14:paraId="5F6EBBA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2.82</w:t>
            </w:r>
          </w:p>
        </w:tc>
      </w:tr>
      <w:tr w:rsidR="009B3987" w:rsidRPr="001F426A" w14:paraId="20BDA40D" w14:textId="77777777" w:rsidTr="00C15BFD">
        <w:trPr>
          <w:trHeight w:val="255"/>
        </w:trPr>
        <w:tc>
          <w:tcPr>
            <w:tcW w:w="4955" w:type="dxa"/>
            <w:tcBorders>
              <w:top w:val="nil"/>
              <w:left w:val="nil"/>
              <w:bottom w:val="nil"/>
              <w:right w:val="nil"/>
            </w:tcBorders>
            <w:shd w:val="clear" w:color="auto" w:fill="auto"/>
            <w:vAlign w:val="bottom"/>
            <w:hideMark/>
          </w:tcPr>
          <w:p w14:paraId="66F2740C"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administrative work to do</w:t>
            </w:r>
          </w:p>
        </w:tc>
        <w:tc>
          <w:tcPr>
            <w:tcW w:w="960" w:type="dxa"/>
            <w:tcBorders>
              <w:top w:val="nil"/>
              <w:left w:val="nil"/>
              <w:bottom w:val="nil"/>
              <w:right w:val="nil"/>
            </w:tcBorders>
            <w:shd w:val="clear" w:color="auto" w:fill="auto"/>
            <w:noWrap/>
            <w:vAlign w:val="bottom"/>
            <w:hideMark/>
          </w:tcPr>
          <w:p w14:paraId="7E5AD76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10%</w:t>
            </w:r>
          </w:p>
        </w:tc>
        <w:tc>
          <w:tcPr>
            <w:tcW w:w="1600" w:type="dxa"/>
            <w:tcBorders>
              <w:top w:val="nil"/>
              <w:left w:val="nil"/>
              <w:bottom w:val="nil"/>
              <w:right w:val="nil"/>
            </w:tcBorders>
            <w:shd w:val="clear" w:color="auto" w:fill="auto"/>
            <w:noWrap/>
            <w:vAlign w:val="bottom"/>
            <w:hideMark/>
          </w:tcPr>
          <w:p w14:paraId="7E05C16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33%</w:t>
            </w:r>
          </w:p>
        </w:tc>
        <w:tc>
          <w:tcPr>
            <w:tcW w:w="1140" w:type="dxa"/>
            <w:tcBorders>
              <w:top w:val="nil"/>
              <w:left w:val="nil"/>
              <w:bottom w:val="nil"/>
              <w:right w:val="nil"/>
            </w:tcBorders>
            <w:shd w:val="clear" w:color="auto" w:fill="auto"/>
            <w:noWrap/>
            <w:vAlign w:val="bottom"/>
            <w:hideMark/>
          </w:tcPr>
          <w:p w14:paraId="3DDAC2D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32%</w:t>
            </w:r>
          </w:p>
        </w:tc>
        <w:tc>
          <w:tcPr>
            <w:tcW w:w="656" w:type="dxa"/>
            <w:tcBorders>
              <w:top w:val="nil"/>
              <w:left w:val="nil"/>
              <w:bottom w:val="nil"/>
              <w:right w:val="nil"/>
            </w:tcBorders>
            <w:shd w:val="clear" w:color="auto" w:fill="auto"/>
            <w:noWrap/>
            <w:vAlign w:val="bottom"/>
            <w:hideMark/>
          </w:tcPr>
          <w:p w14:paraId="0C70EA1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25%</w:t>
            </w:r>
          </w:p>
        </w:tc>
        <w:tc>
          <w:tcPr>
            <w:tcW w:w="1069" w:type="dxa"/>
            <w:tcBorders>
              <w:top w:val="nil"/>
              <w:left w:val="nil"/>
              <w:bottom w:val="nil"/>
              <w:right w:val="nil"/>
            </w:tcBorders>
            <w:shd w:val="clear" w:color="auto" w:fill="auto"/>
            <w:noWrap/>
            <w:vAlign w:val="bottom"/>
            <w:hideMark/>
          </w:tcPr>
          <w:p w14:paraId="62D1ABE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2.73</w:t>
            </w:r>
          </w:p>
        </w:tc>
      </w:tr>
      <w:tr w:rsidR="009B3987" w:rsidRPr="001F426A" w14:paraId="674680D8" w14:textId="77777777" w:rsidTr="00C15BFD">
        <w:trPr>
          <w:trHeight w:val="510"/>
        </w:trPr>
        <w:tc>
          <w:tcPr>
            <w:tcW w:w="4955" w:type="dxa"/>
            <w:tcBorders>
              <w:top w:val="nil"/>
              <w:left w:val="nil"/>
              <w:bottom w:val="nil"/>
              <w:right w:val="nil"/>
            </w:tcBorders>
            <w:shd w:val="clear" w:color="auto" w:fill="auto"/>
            <w:vAlign w:val="bottom"/>
            <w:hideMark/>
          </w:tcPr>
          <w:p w14:paraId="264B515A"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Keeping up with changing requirements from local authorities, multi-academy trusts or national government</w:t>
            </w:r>
          </w:p>
        </w:tc>
        <w:tc>
          <w:tcPr>
            <w:tcW w:w="960" w:type="dxa"/>
            <w:tcBorders>
              <w:top w:val="nil"/>
              <w:left w:val="nil"/>
              <w:bottom w:val="nil"/>
              <w:right w:val="nil"/>
            </w:tcBorders>
            <w:shd w:val="clear" w:color="auto" w:fill="auto"/>
            <w:noWrap/>
            <w:vAlign w:val="bottom"/>
            <w:hideMark/>
          </w:tcPr>
          <w:p w14:paraId="327CC03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15%</w:t>
            </w:r>
          </w:p>
        </w:tc>
        <w:tc>
          <w:tcPr>
            <w:tcW w:w="1600" w:type="dxa"/>
            <w:tcBorders>
              <w:top w:val="nil"/>
              <w:left w:val="nil"/>
              <w:bottom w:val="nil"/>
              <w:right w:val="nil"/>
            </w:tcBorders>
            <w:shd w:val="clear" w:color="auto" w:fill="auto"/>
            <w:noWrap/>
            <w:vAlign w:val="bottom"/>
            <w:hideMark/>
          </w:tcPr>
          <w:p w14:paraId="76E7B62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33%</w:t>
            </w:r>
          </w:p>
        </w:tc>
        <w:tc>
          <w:tcPr>
            <w:tcW w:w="1140" w:type="dxa"/>
            <w:tcBorders>
              <w:top w:val="nil"/>
              <w:left w:val="nil"/>
              <w:bottom w:val="nil"/>
              <w:right w:val="nil"/>
            </w:tcBorders>
            <w:shd w:val="clear" w:color="auto" w:fill="auto"/>
            <w:noWrap/>
            <w:vAlign w:val="bottom"/>
            <w:hideMark/>
          </w:tcPr>
          <w:p w14:paraId="3243054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27%</w:t>
            </w:r>
          </w:p>
        </w:tc>
        <w:tc>
          <w:tcPr>
            <w:tcW w:w="656" w:type="dxa"/>
            <w:tcBorders>
              <w:top w:val="nil"/>
              <w:left w:val="nil"/>
              <w:bottom w:val="nil"/>
              <w:right w:val="nil"/>
            </w:tcBorders>
            <w:shd w:val="clear" w:color="auto" w:fill="auto"/>
            <w:noWrap/>
            <w:vAlign w:val="bottom"/>
            <w:hideMark/>
          </w:tcPr>
          <w:p w14:paraId="502D4C6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w:t>
            </w:r>
          </w:p>
        </w:tc>
        <w:tc>
          <w:tcPr>
            <w:tcW w:w="1069" w:type="dxa"/>
            <w:tcBorders>
              <w:top w:val="nil"/>
              <w:left w:val="nil"/>
              <w:bottom w:val="nil"/>
              <w:right w:val="nil"/>
            </w:tcBorders>
            <w:shd w:val="clear" w:color="auto" w:fill="auto"/>
            <w:noWrap/>
            <w:vAlign w:val="bottom"/>
            <w:hideMark/>
          </w:tcPr>
          <w:p w14:paraId="74D9EC2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2.60</w:t>
            </w:r>
          </w:p>
        </w:tc>
      </w:tr>
      <w:tr w:rsidR="009B3987" w:rsidRPr="001F426A" w14:paraId="0A433BAC" w14:textId="77777777" w:rsidTr="00C15BFD">
        <w:trPr>
          <w:trHeight w:val="255"/>
        </w:trPr>
        <w:tc>
          <w:tcPr>
            <w:tcW w:w="4955" w:type="dxa"/>
            <w:tcBorders>
              <w:top w:val="nil"/>
              <w:left w:val="nil"/>
              <w:bottom w:val="nil"/>
              <w:right w:val="nil"/>
            </w:tcBorders>
            <w:shd w:val="clear" w:color="auto" w:fill="auto"/>
            <w:vAlign w:val="bottom"/>
            <w:hideMark/>
          </w:tcPr>
          <w:p w14:paraId="16C9BA1C"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marking</w:t>
            </w:r>
          </w:p>
        </w:tc>
        <w:tc>
          <w:tcPr>
            <w:tcW w:w="960" w:type="dxa"/>
            <w:tcBorders>
              <w:top w:val="nil"/>
              <w:left w:val="nil"/>
              <w:bottom w:val="nil"/>
              <w:right w:val="nil"/>
            </w:tcBorders>
            <w:shd w:val="clear" w:color="auto" w:fill="auto"/>
            <w:noWrap/>
            <w:vAlign w:val="bottom"/>
            <w:hideMark/>
          </w:tcPr>
          <w:p w14:paraId="53F57D4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17%</w:t>
            </w:r>
          </w:p>
        </w:tc>
        <w:tc>
          <w:tcPr>
            <w:tcW w:w="1600" w:type="dxa"/>
            <w:tcBorders>
              <w:top w:val="nil"/>
              <w:left w:val="nil"/>
              <w:bottom w:val="nil"/>
              <w:right w:val="nil"/>
            </w:tcBorders>
            <w:shd w:val="clear" w:color="auto" w:fill="auto"/>
            <w:noWrap/>
            <w:vAlign w:val="bottom"/>
            <w:hideMark/>
          </w:tcPr>
          <w:p w14:paraId="0BD3834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31%</w:t>
            </w:r>
          </w:p>
        </w:tc>
        <w:tc>
          <w:tcPr>
            <w:tcW w:w="1140" w:type="dxa"/>
            <w:tcBorders>
              <w:top w:val="nil"/>
              <w:left w:val="nil"/>
              <w:bottom w:val="nil"/>
              <w:right w:val="nil"/>
            </w:tcBorders>
            <w:shd w:val="clear" w:color="auto" w:fill="auto"/>
            <w:noWrap/>
            <w:vAlign w:val="bottom"/>
            <w:hideMark/>
          </w:tcPr>
          <w:p w14:paraId="4C60120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27%</w:t>
            </w:r>
          </w:p>
        </w:tc>
        <w:tc>
          <w:tcPr>
            <w:tcW w:w="656" w:type="dxa"/>
            <w:tcBorders>
              <w:top w:val="nil"/>
              <w:left w:val="nil"/>
              <w:bottom w:val="nil"/>
              <w:right w:val="nil"/>
            </w:tcBorders>
            <w:shd w:val="clear" w:color="auto" w:fill="auto"/>
            <w:noWrap/>
            <w:vAlign w:val="bottom"/>
            <w:hideMark/>
          </w:tcPr>
          <w:p w14:paraId="1C9FC10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25%</w:t>
            </w:r>
          </w:p>
        </w:tc>
        <w:tc>
          <w:tcPr>
            <w:tcW w:w="1069" w:type="dxa"/>
            <w:tcBorders>
              <w:top w:val="nil"/>
              <w:left w:val="nil"/>
              <w:bottom w:val="nil"/>
              <w:right w:val="nil"/>
            </w:tcBorders>
            <w:shd w:val="clear" w:color="auto" w:fill="auto"/>
            <w:noWrap/>
            <w:vAlign w:val="bottom"/>
            <w:hideMark/>
          </w:tcPr>
          <w:p w14:paraId="37BDDFE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2.60</w:t>
            </w:r>
          </w:p>
        </w:tc>
      </w:tr>
      <w:tr w:rsidR="009B3987" w:rsidRPr="001F426A" w14:paraId="15CC5C25" w14:textId="77777777" w:rsidTr="00C15BFD">
        <w:trPr>
          <w:trHeight w:val="255"/>
        </w:trPr>
        <w:tc>
          <w:tcPr>
            <w:tcW w:w="4955" w:type="dxa"/>
            <w:tcBorders>
              <w:top w:val="nil"/>
              <w:left w:val="nil"/>
              <w:bottom w:val="nil"/>
              <w:right w:val="nil"/>
            </w:tcBorders>
            <w:shd w:val="clear" w:color="auto" w:fill="auto"/>
            <w:vAlign w:val="bottom"/>
            <w:hideMark/>
          </w:tcPr>
          <w:p w14:paraId="5054E30A"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lesson preparation</w:t>
            </w:r>
          </w:p>
        </w:tc>
        <w:tc>
          <w:tcPr>
            <w:tcW w:w="960" w:type="dxa"/>
            <w:tcBorders>
              <w:top w:val="nil"/>
              <w:left w:val="nil"/>
              <w:bottom w:val="nil"/>
              <w:right w:val="nil"/>
            </w:tcBorders>
            <w:shd w:val="clear" w:color="auto" w:fill="auto"/>
            <w:noWrap/>
            <w:vAlign w:val="bottom"/>
            <w:hideMark/>
          </w:tcPr>
          <w:p w14:paraId="6396E14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16%</w:t>
            </w:r>
          </w:p>
        </w:tc>
        <w:tc>
          <w:tcPr>
            <w:tcW w:w="1600" w:type="dxa"/>
            <w:tcBorders>
              <w:top w:val="nil"/>
              <w:left w:val="nil"/>
              <w:bottom w:val="nil"/>
              <w:right w:val="nil"/>
            </w:tcBorders>
            <w:shd w:val="clear" w:color="auto" w:fill="auto"/>
            <w:noWrap/>
            <w:vAlign w:val="bottom"/>
            <w:hideMark/>
          </w:tcPr>
          <w:p w14:paraId="2E4C66A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40%</w:t>
            </w:r>
          </w:p>
        </w:tc>
        <w:tc>
          <w:tcPr>
            <w:tcW w:w="1140" w:type="dxa"/>
            <w:tcBorders>
              <w:top w:val="nil"/>
              <w:left w:val="nil"/>
              <w:bottom w:val="nil"/>
              <w:right w:val="nil"/>
            </w:tcBorders>
            <w:shd w:val="clear" w:color="auto" w:fill="auto"/>
            <w:noWrap/>
            <w:vAlign w:val="bottom"/>
            <w:hideMark/>
          </w:tcPr>
          <w:p w14:paraId="440B386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w:t>
            </w:r>
          </w:p>
        </w:tc>
        <w:tc>
          <w:tcPr>
            <w:tcW w:w="656" w:type="dxa"/>
            <w:tcBorders>
              <w:top w:val="nil"/>
              <w:left w:val="nil"/>
              <w:bottom w:val="nil"/>
              <w:right w:val="nil"/>
            </w:tcBorders>
            <w:shd w:val="clear" w:color="auto" w:fill="auto"/>
            <w:noWrap/>
            <w:vAlign w:val="bottom"/>
            <w:hideMark/>
          </w:tcPr>
          <w:p w14:paraId="7D7F036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16%</w:t>
            </w:r>
          </w:p>
        </w:tc>
        <w:tc>
          <w:tcPr>
            <w:tcW w:w="1069" w:type="dxa"/>
            <w:tcBorders>
              <w:top w:val="nil"/>
              <w:left w:val="nil"/>
              <w:bottom w:val="nil"/>
              <w:right w:val="nil"/>
            </w:tcBorders>
            <w:shd w:val="clear" w:color="auto" w:fill="auto"/>
            <w:noWrap/>
            <w:vAlign w:val="bottom"/>
            <w:hideMark/>
          </w:tcPr>
          <w:p w14:paraId="0CB1A32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2.45</w:t>
            </w:r>
          </w:p>
        </w:tc>
      </w:tr>
      <w:tr w:rsidR="009B3987" w:rsidRPr="001F426A" w14:paraId="77891823" w14:textId="77777777" w:rsidTr="00C15BFD">
        <w:trPr>
          <w:trHeight w:val="255"/>
        </w:trPr>
        <w:tc>
          <w:tcPr>
            <w:tcW w:w="4955" w:type="dxa"/>
            <w:tcBorders>
              <w:top w:val="nil"/>
              <w:left w:val="nil"/>
              <w:bottom w:val="nil"/>
              <w:right w:val="nil"/>
            </w:tcBorders>
            <w:shd w:val="clear" w:color="auto" w:fill="auto"/>
            <w:vAlign w:val="bottom"/>
            <w:hideMark/>
          </w:tcPr>
          <w:p w14:paraId="5BF7B688"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Addressing parent or guardian concerns</w:t>
            </w:r>
          </w:p>
        </w:tc>
        <w:tc>
          <w:tcPr>
            <w:tcW w:w="960" w:type="dxa"/>
            <w:tcBorders>
              <w:top w:val="nil"/>
              <w:left w:val="nil"/>
              <w:bottom w:val="nil"/>
              <w:right w:val="nil"/>
            </w:tcBorders>
            <w:shd w:val="clear" w:color="auto" w:fill="auto"/>
            <w:noWrap/>
            <w:vAlign w:val="bottom"/>
            <w:hideMark/>
          </w:tcPr>
          <w:p w14:paraId="492256F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w:t>
            </w:r>
          </w:p>
        </w:tc>
        <w:tc>
          <w:tcPr>
            <w:tcW w:w="1600" w:type="dxa"/>
            <w:tcBorders>
              <w:top w:val="nil"/>
              <w:left w:val="nil"/>
              <w:bottom w:val="nil"/>
              <w:right w:val="nil"/>
            </w:tcBorders>
            <w:shd w:val="clear" w:color="auto" w:fill="auto"/>
            <w:noWrap/>
            <w:vAlign w:val="bottom"/>
            <w:hideMark/>
          </w:tcPr>
          <w:p w14:paraId="45705B7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49%</w:t>
            </w:r>
          </w:p>
        </w:tc>
        <w:tc>
          <w:tcPr>
            <w:tcW w:w="1140" w:type="dxa"/>
            <w:tcBorders>
              <w:top w:val="nil"/>
              <w:left w:val="nil"/>
              <w:bottom w:val="nil"/>
              <w:right w:val="nil"/>
            </w:tcBorders>
            <w:shd w:val="clear" w:color="auto" w:fill="auto"/>
            <w:noWrap/>
            <w:vAlign w:val="bottom"/>
            <w:hideMark/>
          </w:tcPr>
          <w:p w14:paraId="0270B99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23%</w:t>
            </w:r>
          </w:p>
        </w:tc>
        <w:tc>
          <w:tcPr>
            <w:tcW w:w="656" w:type="dxa"/>
            <w:tcBorders>
              <w:top w:val="nil"/>
              <w:left w:val="nil"/>
              <w:bottom w:val="nil"/>
              <w:right w:val="nil"/>
            </w:tcBorders>
            <w:shd w:val="clear" w:color="auto" w:fill="auto"/>
            <w:noWrap/>
            <w:vAlign w:val="bottom"/>
            <w:hideMark/>
          </w:tcPr>
          <w:p w14:paraId="398DCBC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8%</w:t>
            </w:r>
          </w:p>
        </w:tc>
        <w:tc>
          <w:tcPr>
            <w:tcW w:w="1069" w:type="dxa"/>
            <w:tcBorders>
              <w:top w:val="nil"/>
              <w:left w:val="nil"/>
              <w:bottom w:val="nil"/>
              <w:right w:val="nil"/>
            </w:tcBorders>
            <w:shd w:val="clear" w:color="auto" w:fill="auto"/>
            <w:noWrap/>
            <w:vAlign w:val="bottom"/>
            <w:hideMark/>
          </w:tcPr>
          <w:p w14:paraId="0FCE471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2.17</w:t>
            </w:r>
          </w:p>
        </w:tc>
      </w:tr>
      <w:tr w:rsidR="009B3987" w:rsidRPr="001F426A" w14:paraId="5CC9B213" w14:textId="77777777" w:rsidTr="00C15BFD">
        <w:trPr>
          <w:trHeight w:val="510"/>
        </w:trPr>
        <w:tc>
          <w:tcPr>
            <w:tcW w:w="4955" w:type="dxa"/>
            <w:tcBorders>
              <w:top w:val="nil"/>
              <w:left w:val="nil"/>
              <w:bottom w:val="nil"/>
              <w:right w:val="nil"/>
            </w:tcBorders>
            <w:shd w:val="clear" w:color="auto" w:fill="auto"/>
            <w:vAlign w:val="bottom"/>
            <w:hideMark/>
          </w:tcPr>
          <w:p w14:paraId="616FE30F"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Modifying lessons for students with special educational needs</w:t>
            </w:r>
          </w:p>
        </w:tc>
        <w:tc>
          <w:tcPr>
            <w:tcW w:w="960" w:type="dxa"/>
            <w:tcBorders>
              <w:top w:val="nil"/>
              <w:left w:val="nil"/>
              <w:bottom w:val="nil"/>
              <w:right w:val="nil"/>
            </w:tcBorders>
            <w:shd w:val="clear" w:color="auto" w:fill="auto"/>
            <w:noWrap/>
            <w:vAlign w:val="bottom"/>
            <w:hideMark/>
          </w:tcPr>
          <w:p w14:paraId="1C66A97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30%</w:t>
            </w:r>
          </w:p>
        </w:tc>
        <w:tc>
          <w:tcPr>
            <w:tcW w:w="1600" w:type="dxa"/>
            <w:tcBorders>
              <w:top w:val="nil"/>
              <w:left w:val="nil"/>
              <w:bottom w:val="nil"/>
              <w:right w:val="nil"/>
            </w:tcBorders>
            <w:shd w:val="clear" w:color="auto" w:fill="auto"/>
            <w:noWrap/>
            <w:vAlign w:val="bottom"/>
            <w:hideMark/>
          </w:tcPr>
          <w:p w14:paraId="29800D1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46%</w:t>
            </w:r>
          </w:p>
        </w:tc>
        <w:tc>
          <w:tcPr>
            <w:tcW w:w="1140" w:type="dxa"/>
            <w:tcBorders>
              <w:top w:val="nil"/>
              <w:left w:val="nil"/>
              <w:bottom w:val="nil"/>
              <w:right w:val="nil"/>
            </w:tcBorders>
            <w:shd w:val="clear" w:color="auto" w:fill="auto"/>
            <w:noWrap/>
            <w:vAlign w:val="bottom"/>
            <w:hideMark/>
          </w:tcPr>
          <w:p w14:paraId="3083743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18%</w:t>
            </w:r>
          </w:p>
        </w:tc>
        <w:tc>
          <w:tcPr>
            <w:tcW w:w="656" w:type="dxa"/>
            <w:tcBorders>
              <w:top w:val="nil"/>
              <w:left w:val="nil"/>
              <w:bottom w:val="nil"/>
              <w:right w:val="nil"/>
            </w:tcBorders>
            <w:shd w:val="clear" w:color="auto" w:fill="auto"/>
            <w:noWrap/>
            <w:vAlign w:val="bottom"/>
            <w:hideMark/>
          </w:tcPr>
          <w:p w14:paraId="3E0F212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7%</w:t>
            </w:r>
          </w:p>
        </w:tc>
        <w:tc>
          <w:tcPr>
            <w:tcW w:w="1069" w:type="dxa"/>
            <w:tcBorders>
              <w:top w:val="nil"/>
              <w:left w:val="nil"/>
              <w:bottom w:val="nil"/>
              <w:right w:val="nil"/>
            </w:tcBorders>
            <w:shd w:val="clear" w:color="auto" w:fill="auto"/>
            <w:noWrap/>
            <w:vAlign w:val="bottom"/>
            <w:hideMark/>
          </w:tcPr>
          <w:p w14:paraId="65788D1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2.01</w:t>
            </w:r>
          </w:p>
        </w:tc>
      </w:tr>
      <w:tr w:rsidR="009B3987" w:rsidRPr="001F426A" w14:paraId="3FCCF93A" w14:textId="77777777" w:rsidTr="00C15BFD">
        <w:trPr>
          <w:trHeight w:val="255"/>
        </w:trPr>
        <w:tc>
          <w:tcPr>
            <w:tcW w:w="4955" w:type="dxa"/>
            <w:tcBorders>
              <w:top w:val="nil"/>
              <w:left w:val="nil"/>
              <w:bottom w:val="nil"/>
              <w:right w:val="nil"/>
            </w:tcBorders>
            <w:shd w:val="clear" w:color="auto" w:fill="auto"/>
            <w:vAlign w:val="bottom"/>
            <w:hideMark/>
          </w:tcPr>
          <w:p w14:paraId="40C1735F"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many lessons to teach</w:t>
            </w:r>
          </w:p>
        </w:tc>
        <w:tc>
          <w:tcPr>
            <w:tcW w:w="960" w:type="dxa"/>
            <w:tcBorders>
              <w:top w:val="nil"/>
              <w:left w:val="nil"/>
              <w:bottom w:val="nil"/>
              <w:right w:val="nil"/>
            </w:tcBorders>
            <w:shd w:val="clear" w:color="auto" w:fill="auto"/>
            <w:noWrap/>
            <w:vAlign w:val="bottom"/>
            <w:hideMark/>
          </w:tcPr>
          <w:p w14:paraId="5873CFA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37%</w:t>
            </w:r>
          </w:p>
        </w:tc>
        <w:tc>
          <w:tcPr>
            <w:tcW w:w="1600" w:type="dxa"/>
            <w:tcBorders>
              <w:top w:val="nil"/>
              <w:left w:val="nil"/>
              <w:bottom w:val="nil"/>
              <w:right w:val="nil"/>
            </w:tcBorders>
            <w:shd w:val="clear" w:color="auto" w:fill="auto"/>
            <w:noWrap/>
            <w:vAlign w:val="bottom"/>
            <w:hideMark/>
          </w:tcPr>
          <w:p w14:paraId="6DF18F0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34%</w:t>
            </w:r>
          </w:p>
        </w:tc>
        <w:tc>
          <w:tcPr>
            <w:tcW w:w="1140" w:type="dxa"/>
            <w:tcBorders>
              <w:top w:val="nil"/>
              <w:left w:val="nil"/>
              <w:bottom w:val="nil"/>
              <w:right w:val="nil"/>
            </w:tcBorders>
            <w:shd w:val="clear" w:color="auto" w:fill="auto"/>
            <w:noWrap/>
            <w:vAlign w:val="bottom"/>
            <w:hideMark/>
          </w:tcPr>
          <w:p w14:paraId="6709188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w:t>
            </w:r>
          </w:p>
        </w:tc>
        <w:tc>
          <w:tcPr>
            <w:tcW w:w="656" w:type="dxa"/>
            <w:tcBorders>
              <w:top w:val="nil"/>
              <w:left w:val="nil"/>
              <w:bottom w:val="nil"/>
              <w:right w:val="nil"/>
            </w:tcBorders>
            <w:shd w:val="clear" w:color="auto" w:fill="auto"/>
            <w:noWrap/>
            <w:vAlign w:val="bottom"/>
            <w:hideMark/>
          </w:tcPr>
          <w:p w14:paraId="62FF896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9%</w:t>
            </w:r>
          </w:p>
        </w:tc>
        <w:tc>
          <w:tcPr>
            <w:tcW w:w="1069" w:type="dxa"/>
            <w:tcBorders>
              <w:top w:val="nil"/>
              <w:left w:val="nil"/>
              <w:bottom w:val="nil"/>
              <w:right w:val="nil"/>
            </w:tcBorders>
            <w:shd w:val="clear" w:color="auto" w:fill="auto"/>
            <w:noWrap/>
            <w:vAlign w:val="bottom"/>
            <w:hideMark/>
          </w:tcPr>
          <w:p w14:paraId="0047066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2.00</w:t>
            </w:r>
          </w:p>
        </w:tc>
      </w:tr>
      <w:tr w:rsidR="009B3987" w:rsidRPr="001F426A" w14:paraId="504C5945" w14:textId="77777777" w:rsidTr="00C15BFD">
        <w:trPr>
          <w:trHeight w:val="255"/>
        </w:trPr>
        <w:tc>
          <w:tcPr>
            <w:tcW w:w="4955" w:type="dxa"/>
            <w:tcBorders>
              <w:top w:val="nil"/>
              <w:left w:val="nil"/>
              <w:bottom w:val="nil"/>
              <w:right w:val="nil"/>
            </w:tcBorders>
            <w:shd w:val="clear" w:color="auto" w:fill="auto"/>
            <w:vAlign w:val="bottom"/>
            <w:hideMark/>
          </w:tcPr>
          <w:p w14:paraId="35820A2D"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Maintaining classroom discipline</w:t>
            </w:r>
          </w:p>
        </w:tc>
        <w:tc>
          <w:tcPr>
            <w:tcW w:w="960" w:type="dxa"/>
            <w:tcBorders>
              <w:top w:val="nil"/>
              <w:left w:val="nil"/>
              <w:bottom w:val="nil"/>
              <w:right w:val="nil"/>
            </w:tcBorders>
            <w:shd w:val="clear" w:color="auto" w:fill="auto"/>
            <w:noWrap/>
            <w:vAlign w:val="bottom"/>
            <w:hideMark/>
          </w:tcPr>
          <w:p w14:paraId="58CD3BF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38%</w:t>
            </w:r>
          </w:p>
        </w:tc>
        <w:tc>
          <w:tcPr>
            <w:tcW w:w="1600" w:type="dxa"/>
            <w:tcBorders>
              <w:top w:val="nil"/>
              <w:left w:val="nil"/>
              <w:bottom w:val="nil"/>
              <w:right w:val="nil"/>
            </w:tcBorders>
            <w:shd w:val="clear" w:color="auto" w:fill="auto"/>
            <w:noWrap/>
            <w:vAlign w:val="bottom"/>
            <w:hideMark/>
          </w:tcPr>
          <w:p w14:paraId="5483120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35%</w:t>
            </w:r>
          </w:p>
        </w:tc>
        <w:tc>
          <w:tcPr>
            <w:tcW w:w="1140" w:type="dxa"/>
            <w:tcBorders>
              <w:top w:val="nil"/>
              <w:left w:val="nil"/>
              <w:bottom w:val="nil"/>
              <w:right w:val="nil"/>
            </w:tcBorders>
            <w:shd w:val="clear" w:color="auto" w:fill="auto"/>
            <w:noWrap/>
            <w:vAlign w:val="bottom"/>
            <w:hideMark/>
          </w:tcPr>
          <w:p w14:paraId="435699F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18%</w:t>
            </w:r>
          </w:p>
        </w:tc>
        <w:tc>
          <w:tcPr>
            <w:tcW w:w="656" w:type="dxa"/>
            <w:tcBorders>
              <w:top w:val="nil"/>
              <w:left w:val="nil"/>
              <w:bottom w:val="nil"/>
              <w:right w:val="nil"/>
            </w:tcBorders>
            <w:shd w:val="clear" w:color="auto" w:fill="auto"/>
            <w:noWrap/>
            <w:vAlign w:val="bottom"/>
            <w:hideMark/>
          </w:tcPr>
          <w:p w14:paraId="6C5C636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9%</w:t>
            </w:r>
          </w:p>
        </w:tc>
        <w:tc>
          <w:tcPr>
            <w:tcW w:w="1069" w:type="dxa"/>
            <w:tcBorders>
              <w:top w:val="nil"/>
              <w:left w:val="nil"/>
              <w:bottom w:val="nil"/>
              <w:right w:val="nil"/>
            </w:tcBorders>
            <w:shd w:val="clear" w:color="auto" w:fill="auto"/>
            <w:noWrap/>
            <w:vAlign w:val="bottom"/>
            <w:hideMark/>
          </w:tcPr>
          <w:p w14:paraId="2F5E50B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1.98</w:t>
            </w:r>
          </w:p>
        </w:tc>
      </w:tr>
      <w:tr w:rsidR="009B3987" w:rsidRPr="001F426A" w14:paraId="4E600661" w14:textId="77777777" w:rsidTr="00C15BFD">
        <w:trPr>
          <w:trHeight w:val="255"/>
        </w:trPr>
        <w:tc>
          <w:tcPr>
            <w:tcW w:w="4955" w:type="dxa"/>
            <w:tcBorders>
              <w:top w:val="nil"/>
              <w:left w:val="nil"/>
              <w:bottom w:val="nil"/>
              <w:right w:val="nil"/>
            </w:tcBorders>
            <w:shd w:val="clear" w:color="auto" w:fill="auto"/>
            <w:vAlign w:val="bottom"/>
            <w:hideMark/>
          </w:tcPr>
          <w:p w14:paraId="1C099A83"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extra duties due to absent teachers</w:t>
            </w:r>
          </w:p>
        </w:tc>
        <w:tc>
          <w:tcPr>
            <w:tcW w:w="960" w:type="dxa"/>
            <w:tcBorders>
              <w:top w:val="nil"/>
              <w:left w:val="nil"/>
              <w:bottom w:val="nil"/>
              <w:right w:val="nil"/>
            </w:tcBorders>
            <w:shd w:val="clear" w:color="auto" w:fill="auto"/>
            <w:noWrap/>
            <w:vAlign w:val="bottom"/>
            <w:hideMark/>
          </w:tcPr>
          <w:p w14:paraId="3779636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47%</w:t>
            </w:r>
          </w:p>
        </w:tc>
        <w:tc>
          <w:tcPr>
            <w:tcW w:w="1600" w:type="dxa"/>
            <w:tcBorders>
              <w:top w:val="nil"/>
              <w:left w:val="nil"/>
              <w:bottom w:val="nil"/>
              <w:right w:val="nil"/>
            </w:tcBorders>
            <w:shd w:val="clear" w:color="auto" w:fill="auto"/>
            <w:noWrap/>
            <w:vAlign w:val="bottom"/>
            <w:hideMark/>
          </w:tcPr>
          <w:p w14:paraId="46E6B7F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32%</w:t>
            </w:r>
          </w:p>
        </w:tc>
        <w:tc>
          <w:tcPr>
            <w:tcW w:w="1140" w:type="dxa"/>
            <w:tcBorders>
              <w:top w:val="nil"/>
              <w:left w:val="nil"/>
              <w:bottom w:val="nil"/>
              <w:right w:val="nil"/>
            </w:tcBorders>
            <w:shd w:val="clear" w:color="auto" w:fill="auto"/>
            <w:noWrap/>
            <w:vAlign w:val="bottom"/>
            <w:hideMark/>
          </w:tcPr>
          <w:p w14:paraId="1C2C40E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13%</w:t>
            </w:r>
          </w:p>
        </w:tc>
        <w:tc>
          <w:tcPr>
            <w:tcW w:w="656" w:type="dxa"/>
            <w:tcBorders>
              <w:top w:val="nil"/>
              <w:left w:val="nil"/>
              <w:bottom w:val="nil"/>
              <w:right w:val="nil"/>
            </w:tcBorders>
            <w:shd w:val="clear" w:color="auto" w:fill="auto"/>
            <w:noWrap/>
            <w:vAlign w:val="bottom"/>
            <w:hideMark/>
          </w:tcPr>
          <w:p w14:paraId="68C2539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8%</w:t>
            </w:r>
          </w:p>
        </w:tc>
        <w:tc>
          <w:tcPr>
            <w:tcW w:w="1069" w:type="dxa"/>
            <w:tcBorders>
              <w:top w:val="nil"/>
              <w:left w:val="nil"/>
              <w:bottom w:val="nil"/>
              <w:right w:val="nil"/>
            </w:tcBorders>
            <w:shd w:val="clear" w:color="auto" w:fill="auto"/>
            <w:noWrap/>
            <w:vAlign w:val="bottom"/>
            <w:hideMark/>
          </w:tcPr>
          <w:p w14:paraId="020D2C1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1.81</w:t>
            </w:r>
          </w:p>
        </w:tc>
      </w:tr>
      <w:tr w:rsidR="009B3987" w:rsidRPr="001F426A" w14:paraId="66D69321" w14:textId="77777777" w:rsidTr="00C15BFD">
        <w:trPr>
          <w:trHeight w:val="255"/>
        </w:trPr>
        <w:tc>
          <w:tcPr>
            <w:tcW w:w="4955" w:type="dxa"/>
            <w:tcBorders>
              <w:top w:val="nil"/>
              <w:left w:val="nil"/>
              <w:bottom w:val="single" w:sz="4" w:space="0" w:color="auto"/>
              <w:right w:val="nil"/>
            </w:tcBorders>
            <w:shd w:val="clear" w:color="auto" w:fill="auto"/>
            <w:vAlign w:val="bottom"/>
            <w:hideMark/>
          </w:tcPr>
          <w:p w14:paraId="54E1834B"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Being intimidated or verbally abused by students</w:t>
            </w:r>
          </w:p>
        </w:tc>
        <w:tc>
          <w:tcPr>
            <w:tcW w:w="960" w:type="dxa"/>
            <w:tcBorders>
              <w:top w:val="nil"/>
              <w:left w:val="nil"/>
              <w:bottom w:val="single" w:sz="4" w:space="0" w:color="auto"/>
              <w:right w:val="nil"/>
            </w:tcBorders>
            <w:shd w:val="clear" w:color="auto" w:fill="auto"/>
            <w:noWrap/>
            <w:vAlign w:val="bottom"/>
            <w:hideMark/>
          </w:tcPr>
          <w:p w14:paraId="6A76ACB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81%</w:t>
            </w:r>
          </w:p>
        </w:tc>
        <w:tc>
          <w:tcPr>
            <w:tcW w:w="1600" w:type="dxa"/>
            <w:tcBorders>
              <w:top w:val="nil"/>
              <w:left w:val="nil"/>
              <w:bottom w:val="single" w:sz="4" w:space="0" w:color="auto"/>
              <w:right w:val="nil"/>
            </w:tcBorders>
            <w:shd w:val="clear" w:color="auto" w:fill="auto"/>
            <w:noWrap/>
            <w:vAlign w:val="bottom"/>
            <w:hideMark/>
          </w:tcPr>
          <w:p w14:paraId="65CD95F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13%</w:t>
            </w:r>
          </w:p>
        </w:tc>
        <w:tc>
          <w:tcPr>
            <w:tcW w:w="1140" w:type="dxa"/>
            <w:tcBorders>
              <w:top w:val="nil"/>
              <w:left w:val="nil"/>
              <w:bottom w:val="single" w:sz="4" w:space="0" w:color="auto"/>
              <w:right w:val="nil"/>
            </w:tcBorders>
            <w:shd w:val="clear" w:color="auto" w:fill="auto"/>
            <w:noWrap/>
            <w:vAlign w:val="bottom"/>
            <w:hideMark/>
          </w:tcPr>
          <w:p w14:paraId="1B00081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w:t>
            </w:r>
          </w:p>
        </w:tc>
        <w:tc>
          <w:tcPr>
            <w:tcW w:w="656" w:type="dxa"/>
            <w:tcBorders>
              <w:top w:val="nil"/>
              <w:left w:val="nil"/>
              <w:bottom w:val="single" w:sz="4" w:space="0" w:color="auto"/>
              <w:right w:val="nil"/>
            </w:tcBorders>
            <w:shd w:val="clear" w:color="auto" w:fill="auto"/>
            <w:noWrap/>
            <w:vAlign w:val="bottom"/>
            <w:hideMark/>
          </w:tcPr>
          <w:p w14:paraId="6B442E6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w:t>
            </w:r>
          </w:p>
        </w:tc>
        <w:tc>
          <w:tcPr>
            <w:tcW w:w="1069" w:type="dxa"/>
            <w:tcBorders>
              <w:top w:val="nil"/>
              <w:left w:val="nil"/>
              <w:bottom w:val="single" w:sz="4" w:space="0" w:color="auto"/>
              <w:right w:val="nil"/>
            </w:tcBorders>
            <w:shd w:val="clear" w:color="auto" w:fill="auto"/>
            <w:noWrap/>
            <w:vAlign w:val="bottom"/>
            <w:hideMark/>
          </w:tcPr>
          <w:p w14:paraId="31B4240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1.27</w:t>
            </w:r>
          </w:p>
        </w:tc>
      </w:tr>
    </w:tbl>
    <w:p w14:paraId="71417C54" w14:textId="77777777" w:rsidR="00C15BFD" w:rsidRPr="00C15BFD" w:rsidRDefault="00C15BFD" w:rsidP="008B4E20">
      <w:pPr>
        <w:spacing w:after="240" w:line="257" w:lineRule="auto"/>
        <w:rPr>
          <w:rFonts w:ascii="Times New Roman" w:hAnsi="Times New Roman" w:cs="Times New Roman"/>
          <w:b/>
          <w:sz w:val="20"/>
          <w:szCs w:val="20"/>
        </w:rPr>
      </w:pPr>
      <w:r w:rsidRPr="00C15BFD">
        <w:rPr>
          <w:rFonts w:ascii="Times New Roman" w:hAnsi="Times New Roman" w:cs="Times New Roman"/>
          <w:sz w:val="20"/>
          <w:szCs w:val="20"/>
        </w:rPr>
        <w:t>Source = authors’ analysis of TALIS 2018 data for England.</w:t>
      </w:r>
    </w:p>
    <w:p w14:paraId="6D91807C" w14:textId="7ECE9498" w:rsidR="00DE6C50"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Broadly similar results emerged for lower-secondary teachers (see Table 2.4). Marking and accountability were again highlighted as the major issues, causing quite a bit or a lot of stress amongst around two-thirds of lower-secondary teaching staff. The administrative burden of the job and having to keep up with changing government requirements were also key issues of concern (raised by around half of lower-secondary teachers in England). Consistent with the primary results, issues that were only raised by a minority of lower-secondary teachers include the stress caused by staff absenteeism, having to modify lessons for SEN pupils and suffering from abuse/intimidation from pupils. </w:t>
      </w:r>
    </w:p>
    <w:p w14:paraId="56278B58" w14:textId="77777777" w:rsidR="00DE6C50" w:rsidRDefault="00DE6C50">
      <w:pPr>
        <w:spacing w:line="259" w:lineRule="auto"/>
        <w:rPr>
          <w:rFonts w:ascii="Times New Roman" w:hAnsi="Times New Roman" w:cs="Times New Roman"/>
          <w:bCs/>
          <w:sz w:val="24"/>
          <w:szCs w:val="24"/>
        </w:rPr>
      </w:pPr>
      <w:r>
        <w:rPr>
          <w:rFonts w:ascii="Times New Roman" w:hAnsi="Times New Roman" w:cs="Times New Roman"/>
          <w:bCs/>
          <w:sz w:val="24"/>
          <w:szCs w:val="24"/>
        </w:rPr>
        <w:br w:type="page"/>
      </w:r>
    </w:p>
    <w:p w14:paraId="01FAF81B" w14:textId="59F0FEC1" w:rsidR="009B3987" w:rsidRPr="00F42C0A" w:rsidRDefault="009B3987" w:rsidP="009B3987">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Table 2.4 </w:t>
      </w:r>
      <w:proofErr w:type="gramStart"/>
      <w:r>
        <w:rPr>
          <w:rFonts w:ascii="Times New Roman" w:hAnsi="Times New Roman" w:cs="Times New Roman"/>
          <w:b/>
          <w:sz w:val="24"/>
          <w:szCs w:val="24"/>
        </w:rPr>
        <w:t>What</w:t>
      </w:r>
      <w:proofErr w:type="gramEnd"/>
      <w:r>
        <w:rPr>
          <w:rFonts w:ascii="Times New Roman" w:hAnsi="Times New Roman" w:cs="Times New Roman"/>
          <w:b/>
          <w:sz w:val="24"/>
          <w:szCs w:val="24"/>
        </w:rPr>
        <w:t xml:space="preserve"> are the major sources of stress amongst secondary teachers in England?</w:t>
      </w:r>
    </w:p>
    <w:tbl>
      <w:tblPr>
        <w:tblW w:w="10175" w:type="dxa"/>
        <w:tblInd w:w="-435" w:type="dxa"/>
        <w:tblLook w:val="04A0" w:firstRow="1" w:lastRow="0" w:firstColumn="1" w:lastColumn="0" w:noHBand="0" w:noVBand="1"/>
      </w:tblPr>
      <w:tblGrid>
        <w:gridCol w:w="4826"/>
        <w:gridCol w:w="854"/>
        <w:gridCol w:w="1406"/>
        <w:gridCol w:w="1060"/>
        <w:gridCol w:w="960"/>
        <w:gridCol w:w="1069"/>
      </w:tblGrid>
      <w:tr w:rsidR="009B3987" w:rsidRPr="001F426A" w14:paraId="3951AF29" w14:textId="77777777" w:rsidTr="00141B6D">
        <w:trPr>
          <w:trHeight w:val="510"/>
        </w:trPr>
        <w:tc>
          <w:tcPr>
            <w:tcW w:w="4826" w:type="dxa"/>
            <w:tcBorders>
              <w:top w:val="single" w:sz="4" w:space="0" w:color="auto"/>
              <w:left w:val="nil"/>
              <w:bottom w:val="single" w:sz="4" w:space="0" w:color="auto"/>
              <w:right w:val="nil"/>
            </w:tcBorders>
            <w:shd w:val="clear" w:color="000000" w:fill="B4C6E7"/>
            <w:noWrap/>
            <w:vAlign w:val="bottom"/>
            <w:hideMark/>
          </w:tcPr>
          <w:p w14:paraId="140CDC62" w14:textId="77777777" w:rsidR="009B3987" w:rsidRPr="001F426A" w:rsidRDefault="009B3987" w:rsidP="00141B6D">
            <w:pPr>
              <w:spacing w:after="0" w:line="240" w:lineRule="auto"/>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Variable</w:t>
            </w:r>
          </w:p>
        </w:tc>
        <w:tc>
          <w:tcPr>
            <w:tcW w:w="854" w:type="dxa"/>
            <w:tcBorders>
              <w:top w:val="single" w:sz="4" w:space="0" w:color="auto"/>
              <w:left w:val="nil"/>
              <w:bottom w:val="single" w:sz="4" w:space="0" w:color="auto"/>
              <w:right w:val="nil"/>
            </w:tcBorders>
            <w:shd w:val="clear" w:color="000000" w:fill="B4C6E7"/>
            <w:vAlign w:val="bottom"/>
            <w:hideMark/>
          </w:tcPr>
          <w:p w14:paraId="4C6F5466"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1. Not at all</w:t>
            </w:r>
          </w:p>
        </w:tc>
        <w:tc>
          <w:tcPr>
            <w:tcW w:w="1406" w:type="dxa"/>
            <w:tcBorders>
              <w:top w:val="single" w:sz="4" w:space="0" w:color="auto"/>
              <w:left w:val="nil"/>
              <w:bottom w:val="single" w:sz="4" w:space="0" w:color="auto"/>
              <w:right w:val="nil"/>
            </w:tcBorders>
            <w:shd w:val="clear" w:color="000000" w:fill="B4C6E7"/>
            <w:vAlign w:val="bottom"/>
            <w:hideMark/>
          </w:tcPr>
          <w:p w14:paraId="6605B1C2"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2. To some extent</w:t>
            </w:r>
          </w:p>
        </w:tc>
        <w:tc>
          <w:tcPr>
            <w:tcW w:w="1060" w:type="dxa"/>
            <w:tcBorders>
              <w:top w:val="single" w:sz="4" w:space="0" w:color="auto"/>
              <w:left w:val="nil"/>
              <w:bottom w:val="single" w:sz="4" w:space="0" w:color="auto"/>
              <w:right w:val="nil"/>
            </w:tcBorders>
            <w:shd w:val="clear" w:color="000000" w:fill="B4C6E7"/>
            <w:vAlign w:val="bottom"/>
            <w:hideMark/>
          </w:tcPr>
          <w:p w14:paraId="03813E1D"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3. Quite a bit</w:t>
            </w:r>
          </w:p>
        </w:tc>
        <w:tc>
          <w:tcPr>
            <w:tcW w:w="960" w:type="dxa"/>
            <w:tcBorders>
              <w:top w:val="single" w:sz="4" w:space="0" w:color="auto"/>
              <w:left w:val="nil"/>
              <w:bottom w:val="single" w:sz="4" w:space="0" w:color="auto"/>
              <w:right w:val="nil"/>
            </w:tcBorders>
            <w:shd w:val="clear" w:color="000000" w:fill="B4C6E7"/>
            <w:vAlign w:val="bottom"/>
            <w:hideMark/>
          </w:tcPr>
          <w:p w14:paraId="1038A1D3"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4. A lot</w:t>
            </w:r>
          </w:p>
        </w:tc>
        <w:tc>
          <w:tcPr>
            <w:tcW w:w="1069" w:type="dxa"/>
            <w:tcBorders>
              <w:top w:val="single" w:sz="4" w:space="0" w:color="auto"/>
              <w:left w:val="nil"/>
              <w:bottom w:val="single" w:sz="4" w:space="0" w:color="auto"/>
              <w:right w:val="nil"/>
            </w:tcBorders>
            <w:shd w:val="clear" w:color="000000" w:fill="B4C6E7"/>
            <w:vAlign w:val="bottom"/>
            <w:hideMark/>
          </w:tcPr>
          <w:p w14:paraId="67A4D379"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 xml:space="preserve">Average </w:t>
            </w:r>
          </w:p>
        </w:tc>
      </w:tr>
      <w:tr w:rsidR="009B3987" w:rsidRPr="001F426A" w14:paraId="31F9F09A" w14:textId="77777777" w:rsidTr="00141B6D">
        <w:trPr>
          <w:trHeight w:val="255"/>
        </w:trPr>
        <w:tc>
          <w:tcPr>
            <w:tcW w:w="4826" w:type="dxa"/>
            <w:tcBorders>
              <w:top w:val="nil"/>
              <w:left w:val="nil"/>
              <w:bottom w:val="nil"/>
              <w:right w:val="nil"/>
            </w:tcBorders>
            <w:shd w:val="clear" w:color="auto" w:fill="auto"/>
            <w:noWrap/>
            <w:vAlign w:val="bottom"/>
            <w:hideMark/>
          </w:tcPr>
          <w:p w14:paraId="0DB98872"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marking</w:t>
            </w:r>
          </w:p>
        </w:tc>
        <w:tc>
          <w:tcPr>
            <w:tcW w:w="854" w:type="dxa"/>
            <w:tcBorders>
              <w:top w:val="nil"/>
              <w:left w:val="nil"/>
              <w:bottom w:val="nil"/>
              <w:right w:val="nil"/>
            </w:tcBorders>
            <w:shd w:val="clear" w:color="auto" w:fill="auto"/>
            <w:noWrap/>
            <w:vAlign w:val="bottom"/>
            <w:hideMark/>
          </w:tcPr>
          <w:p w14:paraId="21B43B0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9%</w:t>
            </w:r>
          </w:p>
        </w:tc>
        <w:tc>
          <w:tcPr>
            <w:tcW w:w="1406" w:type="dxa"/>
            <w:tcBorders>
              <w:top w:val="nil"/>
              <w:left w:val="nil"/>
              <w:bottom w:val="nil"/>
              <w:right w:val="nil"/>
            </w:tcBorders>
            <w:shd w:val="clear" w:color="auto" w:fill="auto"/>
            <w:noWrap/>
            <w:vAlign w:val="bottom"/>
            <w:hideMark/>
          </w:tcPr>
          <w:p w14:paraId="1A487B0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22%</w:t>
            </w:r>
          </w:p>
        </w:tc>
        <w:tc>
          <w:tcPr>
            <w:tcW w:w="1060" w:type="dxa"/>
            <w:tcBorders>
              <w:top w:val="nil"/>
              <w:left w:val="nil"/>
              <w:bottom w:val="nil"/>
              <w:right w:val="nil"/>
            </w:tcBorders>
            <w:shd w:val="clear" w:color="auto" w:fill="auto"/>
            <w:noWrap/>
            <w:vAlign w:val="bottom"/>
            <w:hideMark/>
          </w:tcPr>
          <w:p w14:paraId="69A51B2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30%</w:t>
            </w:r>
          </w:p>
        </w:tc>
        <w:tc>
          <w:tcPr>
            <w:tcW w:w="960" w:type="dxa"/>
            <w:tcBorders>
              <w:top w:val="nil"/>
              <w:left w:val="nil"/>
              <w:bottom w:val="nil"/>
              <w:right w:val="nil"/>
            </w:tcBorders>
            <w:shd w:val="clear" w:color="auto" w:fill="auto"/>
            <w:noWrap/>
            <w:vAlign w:val="bottom"/>
            <w:hideMark/>
          </w:tcPr>
          <w:p w14:paraId="7E0E9B6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39%</w:t>
            </w:r>
          </w:p>
        </w:tc>
        <w:tc>
          <w:tcPr>
            <w:tcW w:w="1069" w:type="dxa"/>
            <w:tcBorders>
              <w:top w:val="nil"/>
              <w:left w:val="nil"/>
              <w:bottom w:val="nil"/>
              <w:right w:val="nil"/>
            </w:tcBorders>
            <w:shd w:val="clear" w:color="auto" w:fill="auto"/>
            <w:noWrap/>
            <w:vAlign w:val="bottom"/>
            <w:hideMark/>
          </w:tcPr>
          <w:p w14:paraId="116D87A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3.00</w:t>
            </w:r>
          </w:p>
        </w:tc>
      </w:tr>
      <w:tr w:rsidR="009B3987" w:rsidRPr="001F426A" w14:paraId="16478BEB" w14:textId="77777777" w:rsidTr="00141B6D">
        <w:trPr>
          <w:trHeight w:val="255"/>
        </w:trPr>
        <w:tc>
          <w:tcPr>
            <w:tcW w:w="4826" w:type="dxa"/>
            <w:tcBorders>
              <w:top w:val="nil"/>
              <w:left w:val="nil"/>
              <w:bottom w:val="nil"/>
              <w:right w:val="nil"/>
            </w:tcBorders>
            <w:shd w:val="clear" w:color="auto" w:fill="auto"/>
            <w:noWrap/>
            <w:vAlign w:val="bottom"/>
            <w:hideMark/>
          </w:tcPr>
          <w:p w14:paraId="5C90231A"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Being held responsible for students’ achievement</w:t>
            </w:r>
          </w:p>
        </w:tc>
        <w:tc>
          <w:tcPr>
            <w:tcW w:w="854" w:type="dxa"/>
            <w:tcBorders>
              <w:top w:val="nil"/>
              <w:left w:val="nil"/>
              <w:bottom w:val="nil"/>
              <w:right w:val="nil"/>
            </w:tcBorders>
            <w:shd w:val="clear" w:color="auto" w:fill="auto"/>
            <w:noWrap/>
            <w:vAlign w:val="bottom"/>
            <w:hideMark/>
          </w:tcPr>
          <w:p w14:paraId="209F908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7%</w:t>
            </w:r>
          </w:p>
        </w:tc>
        <w:tc>
          <w:tcPr>
            <w:tcW w:w="1406" w:type="dxa"/>
            <w:tcBorders>
              <w:top w:val="nil"/>
              <w:left w:val="nil"/>
              <w:bottom w:val="nil"/>
              <w:right w:val="nil"/>
            </w:tcBorders>
            <w:shd w:val="clear" w:color="auto" w:fill="auto"/>
            <w:noWrap/>
            <w:vAlign w:val="bottom"/>
            <w:hideMark/>
          </w:tcPr>
          <w:p w14:paraId="2477B2E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w:t>
            </w:r>
          </w:p>
        </w:tc>
        <w:tc>
          <w:tcPr>
            <w:tcW w:w="1060" w:type="dxa"/>
            <w:tcBorders>
              <w:top w:val="nil"/>
              <w:left w:val="nil"/>
              <w:bottom w:val="nil"/>
              <w:right w:val="nil"/>
            </w:tcBorders>
            <w:shd w:val="clear" w:color="auto" w:fill="auto"/>
            <w:noWrap/>
            <w:vAlign w:val="bottom"/>
            <w:hideMark/>
          </w:tcPr>
          <w:p w14:paraId="1F1816E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32%</w:t>
            </w:r>
          </w:p>
        </w:tc>
        <w:tc>
          <w:tcPr>
            <w:tcW w:w="960" w:type="dxa"/>
            <w:tcBorders>
              <w:top w:val="nil"/>
              <w:left w:val="nil"/>
              <w:bottom w:val="nil"/>
              <w:right w:val="nil"/>
            </w:tcBorders>
            <w:shd w:val="clear" w:color="auto" w:fill="auto"/>
            <w:noWrap/>
            <w:vAlign w:val="bottom"/>
            <w:hideMark/>
          </w:tcPr>
          <w:p w14:paraId="7A3439F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36%</w:t>
            </w:r>
          </w:p>
        </w:tc>
        <w:tc>
          <w:tcPr>
            <w:tcW w:w="1069" w:type="dxa"/>
            <w:tcBorders>
              <w:top w:val="nil"/>
              <w:left w:val="nil"/>
              <w:bottom w:val="nil"/>
              <w:right w:val="nil"/>
            </w:tcBorders>
            <w:shd w:val="clear" w:color="auto" w:fill="auto"/>
            <w:noWrap/>
            <w:vAlign w:val="bottom"/>
            <w:hideMark/>
          </w:tcPr>
          <w:p w14:paraId="40A1B27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2.98</w:t>
            </w:r>
          </w:p>
        </w:tc>
      </w:tr>
      <w:tr w:rsidR="009B3987" w:rsidRPr="001F426A" w14:paraId="1EB4926E" w14:textId="77777777" w:rsidTr="00141B6D">
        <w:trPr>
          <w:trHeight w:val="255"/>
        </w:trPr>
        <w:tc>
          <w:tcPr>
            <w:tcW w:w="4826" w:type="dxa"/>
            <w:tcBorders>
              <w:top w:val="nil"/>
              <w:left w:val="nil"/>
              <w:bottom w:val="nil"/>
              <w:right w:val="nil"/>
            </w:tcBorders>
            <w:shd w:val="clear" w:color="auto" w:fill="auto"/>
            <w:noWrap/>
            <w:vAlign w:val="bottom"/>
            <w:hideMark/>
          </w:tcPr>
          <w:p w14:paraId="51CF7B4E"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administrative work to do</w:t>
            </w:r>
          </w:p>
        </w:tc>
        <w:tc>
          <w:tcPr>
            <w:tcW w:w="854" w:type="dxa"/>
            <w:tcBorders>
              <w:top w:val="nil"/>
              <w:left w:val="nil"/>
              <w:bottom w:val="nil"/>
              <w:right w:val="nil"/>
            </w:tcBorders>
            <w:shd w:val="clear" w:color="auto" w:fill="auto"/>
            <w:noWrap/>
            <w:vAlign w:val="bottom"/>
            <w:hideMark/>
          </w:tcPr>
          <w:p w14:paraId="1FBA3D6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7%</w:t>
            </w:r>
          </w:p>
        </w:tc>
        <w:tc>
          <w:tcPr>
            <w:tcW w:w="1406" w:type="dxa"/>
            <w:tcBorders>
              <w:top w:val="nil"/>
              <w:left w:val="nil"/>
              <w:bottom w:val="nil"/>
              <w:right w:val="nil"/>
            </w:tcBorders>
            <w:shd w:val="clear" w:color="auto" w:fill="auto"/>
            <w:noWrap/>
            <w:vAlign w:val="bottom"/>
            <w:hideMark/>
          </w:tcPr>
          <w:p w14:paraId="46D13DC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w:t>
            </w:r>
          </w:p>
        </w:tc>
        <w:tc>
          <w:tcPr>
            <w:tcW w:w="1060" w:type="dxa"/>
            <w:tcBorders>
              <w:top w:val="nil"/>
              <w:left w:val="nil"/>
              <w:bottom w:val="nil"/>
              <w:right w:val="nil"/>
            </w:tcBorders>
            <w:shd w:val="clear" w:color="auto" w:fill="auto"/>
            <w:noWrap/>
            <w:vAlign w:val="bottom"/>
            <w:hideMark/>
          </w:tcPr>
          <w:p w14:paraId="643BD41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38%</w:t>
            </w:r>
          </w:p>
        </w:tc>
        <w:tc>
          <w:tcPr>
            <w:tcW w:w="960" w:type="dxa"/>
            <w:tcBorders>
              <w:top w:val="nil"/>
              <w:left w:val="nil"/>
              <w:bottom w:val="nil"/>
              <w:right w:val="nil"/>
            </w:tcBorders>
            <w:shd w:val="clear" w:color="auto" w:fill="auto"/>
            <w:noWrap/>
            <w:vAlign w:val="bottom"/>
            <w:hideMark/>
          </w:tcPr>
          <w:p w14:paraId="66440CD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w:t>
            </w:r>
          </w:p>
        </w:tc>
        <w:tc>
          <w:tcPr>
            <w:tcW w:w="1069" w:type="dxa"/>
            <w:tcBorders>
              <w:top w:val="nil"/>
              <w:left w:val="nil"/>
              <w:bottom w:val="nil"/>
              <w:right w:val="nil"/>
            </w:tcBorders>
            <w:shd w:val="clear" w:color="auto" w:fill="auto"/>
            <w:noWrap/>
            <w:vAlign w:val="bottom"/>
            <w:hideMark/>
          </w:tcPr>
          <w:p w14:paraId="5BAD341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2.86</w:t>
            </w:r>
          </w:p>
        </w:tc>
      </w:tr>
      <w:tr w:rsidR="009B3987" w:rsidRPr="001F426A" w14:paraId="79E0FD90" w14:textId="77777777" w:rsidTr="00141B6D">
        <w:trPr>
          <w:trHeight w:val="510"/>
        </w:trPr>
        <w:tc>
          <w:tcPr>
            <w:tcW w:w="4826" w:type="dxa"/>
            <w:tcBorders>
              <w:top w:val="nil"/>
              <w:left w:val="nil"/>
              <w:bottom w:val="nil"/>
              <w:right w:val="nil"/>
            </w:tcBorders>
            <w:shd w:val="clear" w:color="auto" w:fill="auto"/>
            <w:vAlign w:val="bottom"/>
            <w:hideMark/>
          </w:tcPr>
          <w:p w14:paraId="1062364B"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Keeping up with changing requirements from local authorities, multi-academy trusts or national government</w:t>
            </w:r>
          </w:p>
        </w:tc>
        <w:tc>
          <w:tcPr>
            <w:tcW w:w="854" w:type="dxa"/>
            <w:tcBorders>
              <w:top w:val="nil"/>
              <w:left w:val="nil"/>
              <w:bottom w:val="nil"/>
              <w:right w:val="nil"/>
            </w:tcBorders>
            <w:shd w:val="clear" w:color="auto" w:fill="auto"/>
            <w:noWrap/>
            <w:vAlign w:val="bottom"/>
            <w:hideMark/>
          </w:tcPr>
          <w:p w14:paraId="22C994C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19%</w:t>
            </w:r>
          </w:p>
        </w:tc>
        <w:tc>
          <w:tcPr>
            <w:tcW w:w="1406" w:type="dxa"/>
            <w:tcBorders>
              <w:top w:val="nil"/>
              <w:left w:val="nil"/>
              <w:bottom w:val="nil"/>
              <w:right w:val="nil"/>
            </w:tcBorders>
            <w:shd w:val="clear" w:color="auto" w:fill="auto"/>
            <w:noWrap/>
            <w:vAlign w:val="bottom"/>
            <w:hideMark/>
          </w:tcPr>
          <w:p w14:paraId="2A5DF66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31%</w:t>
            </w:r>
          </w:p>
        </w:tc>
        <w:tc>
          <w:tcPr>
            <w:tcW w:w="1060" w:type="dxa"/>
            <w:tcBorders>
              <w:top w:val="nil"/>
              <w:left w:val="nil"/>
              <w:bottom w:val="nil"/>
              <w:right w:val="nil"/>
            </w:tcBorders>
            <w:shd w:val="clear" w:color="auto" w:fill="auto"/>
            <w:noWrap/>
            <w:vAlign w:val="bottom"/>
            <w:hideMark/>
          </w:tcPr>
          <w:p w14:paraId="71C2B24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26%</w:t>
            </w:r>
          </w:p>
        </w:tc>
        <w:tc>
          <w:tcPr>
            <w:tcW w:w="960" w:type="dxa"/>
            <w:tcBorders>
              <w:top w:val="nil"/>
              <w:left w:val="nil"/>
              <w:bottom w:val="nil"/>
              <w:right w:val="nil"/>
            </w:tcBorders>
            <w:shd w:val="clear" w:color="auto" w:fill="auto"/>
            <w:noWrap/>
            <w:vAlign w:val="bottom"/>
            <w:hideMark/>
          </w:tcPr>
          <w:p w14:paraId="553DEDA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w:t>
            </w:r>
          </w:p>
        </w:tc>
        <w:tc>
          <w:tcPr>
            <w:tcW w:w="1069" w:type="dxa"/>
            <w:tcBorders>
              <w:top w:val="nil"/>
              <w:left w:val="nil"/>
              <w:bottom w:val="nil"/>
              <w:right w:val="nil"/>
            </w:tcBorders>
            <w:shd w:val="clear" w:color="auto" w:fill="auto"/>
            <w:noWrap/>
            <w:vAlign w:val="bottom"/>
            <w:hideMark/>
          </w:tcPr>
          <w:p w14:paraId="43D267B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2.55</w:t>
            </w:r>
          </w:p>
        </w:tc>
      </w:tr>
      <w:tr w:rsidR="009B3987" w:rsidRPr="001F426A" w14:paraId="2AACCF84" w14:textId="77777777" w:rsidTr="00141B6D">
        <w:trPr>
          <w:trHeight w:val="255"/>
        </w:trPr>
        <w:tc>
          <w:tcPr>
            <w:tcW w:w="4826" w:type="dxa"/>
            <w:tcBorders>
              <w:top w:val="nil"/>
              <w:left w:val="nil"/>
              <w:bottom w:val="nil"/>
              <w:right w:val="nil"/>
            </w:tcBorders>
            <w:shd w:val="clear" w:color="auto" w:fill="auto"/>
            <w:noWrap/>
            <w:vAlign w:val="bottom"/>
            <w:hideMark/>
          </w:tcPr>
          <w:p w14:paraId="476C7EB7"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lesson preparation</w:t>
            </w:r>
          </w:p>
        </w:tc>
        <w:tc>
          <w:tcPr>
            <w:tcW w:w="854" w:type="dxa"/>
            <w:tcBorders>
              <w:top w:val="nil"/>
              <w:left w:val="nil"/>
              <w:bottom w:val="nil"/>
              <w:right w:val="nil"/>
            </w:tcBorders>
            <w:shd w:val="clear" w:color="auto" w:fill="auto"/>
            <w:noWrap/>
            <w:vAlign w:val="bottom"/>
            <w:hideMark/>
          </w:tcPr>
          <w:p w14:paraId="284600A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19%</w:t>
            </w:r>
          </w:p>
        </w:tc>
        <w:tc>
          <w:tcPr>
            <w:tcW w:w="1406" w:type="dxa"/>
            <w:tcBorders>
              <w:top w:val="nil"/>
              <w:left w:val="nil"/>
              <w:bottom w:val="nil"/>
              <w:right w:val="nil"/>
            </w:tcBorders>
            <w:shd w:val="clear" w:color="auto" w:fill="auto"/>
            <w:noWrap/>
            <w:vAlign w:val="bottom"/>
            <w:hideMark/>
          </w:tcPr>
          <w:p w14:paraId="20930BA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40%</w:t>
            </w:r>
          </w:p>
        </w:tc>
        <w:tc>
          <w:tcPr>
            <w:tcW w:w="1060" w:type="dxa"/>
            <w:tcBorders>
              <w:top w:val="nil"/>
              <w:left w:val="nil"/>
              <w:bottom w:val="nil"/>
              <w:right w:val="nil"/>
            </w:tcBorders>
            <w:shd w:val="clear" w:color="auto" w:fill="auto"/>
            <w:noWrap/>
            <w:vAlign w:val="bottom"/>
            <w:hideMark/>
          </w:tcPr>
          <w:p w14:paraId="44323C5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29%</w:t>
            </w:r>
          </w:p>
        </w:tc>
        <w:tc>
          <w:tcPr>
            <w:tcW w:w="960" w:type="dxa"/>
            <w:tcBorders>
              <w:top w:val="nil"/>
              <w:left w:val="nil"/>
              <w:bottom w:val="nil"/>
              <w:right w:val="nil"/>
            </w:tcBorders>
            <w:shd w:val="clear" w:color="auto" w:fill="auto"/>
            <w:noWrap/>
            <w:vAlign w:val="bottom"/>
            <w:hideMark/>
          </w:tcPr>
          <w:p w14:paraId="5640A99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12%</w:t>
            </w:r>
          </w:p>
        </w:tc>
        <w:tc>
          <w:tcPr>
            <w:tcW w:w="1069" w:type="dxa"/>
            <w:tcBorders>
              <w:top w:val="nil"/>
              <w:left w:val="nil"/>
              <w:bottom w:val="nil"/>
              <w:right w:val="nil"/>
            </w:tcBorders>
            <w:shd w:val="clear" w:color="auto" w:fill="auto"/>
            <w:noWrap/>
            <w:vAlign w:val="bottom"/>
            <w:hideMark/>
          </w:tcPr>
          <w:p w14:paraId="09B61E1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2.34</w:t>
            </w:r>
          </w:p>
        </w:tc>
      </w:tr>
      <w:tr w:rsidR="009B3987" w:rsidRPr="001F426A" w14:paraId="3FFE1DC8" w14:textId="77777777" w:rsidTr="00141B6D">
        <w:trPr>
          <w:trHeight w:val="255"/>
        </w:trPr>
        <w:tc>
          <w:tcPr>
            <w:tcW w:w="4826" w:type="dxa"/>
            <w:tcBorders>
              <w:top w:val="nil"/>
              <w:left w:val="nil"/>
              <w:bottom w:val="nil"/>
              <w:right w:val="nil"/>
            </w:tcBorders>
            <w:shd w:val="clear" w:color="auto" w:fill="auto"/>
            <w:noWrap/>
            <w:vAlign w:val="bottom"/>
            <w:hideMark/>
          </w:tcPr>
          <w:p w14:paraId="42A1C429"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many lessons to teach</w:t>
            </w:r>
          </w:p>
        </w:tc>
        <w:tc>
          <w:tcPr>
            <w:tcW w:w="854" w:type="dxa"/>
            <w:tcBorders>
              <w:top w:val="nil"/>
              <w:left w:val="nil"/>
              <w:bottom w:val="nil"/>
              <w:right w:val="nil"/>
            </w:tcBorders>
            <w:shd w:val="clear" w:color="auto" w:fill="auto"/>
            <w:noWrap/>
            <w:vAlign w:val="bottom"/>
            <w:hideMark/>
          </w:tcPr>
          <w:p w14:paraId="52EF1E2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w:t>
            </w:r>
          </w:p>
        </w:tc>
        <w:tc>
          <w:tcPr>
            <w:tcW w:w="1406" w:type="dxa"/>
            <w:tcBorders>
              <w:top w:val="nil"/>
              <w:left w:val="nil"/>
              <w:bottom w:val="nil"/>
              <w:right w:val="nil"/>
            </w:tcBorders>
            <w:shd w:val="clear" w:color="auto" w:fill="auto"/>
            <w:noWrap/>
            <w:vAlign w:val="bottom"/>
            <w:hideMark/>
          </w:tcPr>
          <w:p w14:paraId="3A63AB8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33%</w:t>
            </w:r>
          </w:p>
        </w:tc>
        <w:tc>
          <w:tcPr>
            <w:tcW w:w="1060" w:type="dxa"/>
            <w:tcBorders>
              <w:top w:val="nil"/>
              <w:left w:val="nil"/>
              <w:bottom w:val="nil"/>
              <w:right w:val="nil"/>
            </w:tcBorders>
            <w:shd w:val="clear" w:color="auto" w:fill="auto"/>
            <w:noWrap/>
            <w:vAlign w:val="bottom"/>
            <w:hideMark/>
          </w:tcPr>
          <w:p w14:paraId="1CB86E8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23%</w:t>
            </w:r>
          </w:p>
        </w:tc>
        <w:tc>
          <w:tcPr>
            <w:tcW w:w="960" w:type="dxa"/>
            <w:tcBorders>
              <w:top w:val="nil"/>
              <w:left w:val="nil"/>
              <w:bottom w:val="nil"/>
              <w:right w:val="nil"/>
            </w:tcBorders>
            <w:shd w:val="clear" w:color="auto" w:fill="auto"/>
            <w:noWrap/>
            <w:vAlign w:val="bottom"/>
            <w:hideMark/>
          </w:tcPr>
          <w:p w14:paraId="6A75F18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16%</w:t>
            </w:r>
          </w:p>
        </w:tc>
        <w:tc>
          <w:tcPr>
            <w:tcW w:w="1069" w:type="dxa"/>
            <w:tcBorders>
              <w:top w:val="nil"/>
              <w:left w:val="nil"/>
              <w:bottom w:val="nil"/>
              <w:right w:val="nil"/>
            </w:tcBorders>
            <w:shd w:val="clear" w:color="auto" w:fill="auto"/>
            <w:noWrap/>
            <w:vAlign w:val="bottom"/>
            <w:hideMark/>
          </w:tcPr>
          <w:p w14:paraId="49BF03B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2.27</w:t>
            </w:r>
          </w:p>
        </w:tc>
      </w:tr>
      <w:tr w:rsidR="009B3987" w:rsidRPr="001F426A" w14:paraId="3FAD5457" w14:textId="77777777" w:rsidTr="00141B6D">
        <w:trPr>
          <w:trHeight w:val="255"/>
        </w:trPr>
        <w:tc>
          <w:tcPr>
            <w:tcW w:w="4826" w:type="dxa"/>
            <w:tcBorders>
              <w:top w:val="nil"/>
              <w:left w:val="nil"/>
              <w:bottom w:val="nil"/>
              <w:right w:val="nil"/>
            </w:tcBorders>
            <w:shd w:val="clear" w:color="auto" w:fill="auto"/>
            <w:noWrap/>
            <w:vAlign w:val="bottom"/>
            <w:hideMark/>
          </w:tcPr>
          <w:p w14:paraId="12C95222"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Maintaining classroom discipline</w:t>
            </w:r>
          </w:p>
        </w:tc>
        <w:tc>
          <w:tcPr>
            <w:tcW w:w="854" w:type="dxa"/>
            <w:tcBorders>
              <w:top w:val="nil"/>
              <w:left w:val="nil"/>
              <w:bottom w:val="nil"/>
              <w:right w:val="nil"/>
            </w:tcBorders>
            <w:shd w:val="clear" w:color="auto" w:fill="auto"/>
            <w:noWrap/>
            <w:vAlign w:val="bottom"/>
            <w:hideMark/>
          </w:tcPr>
          <w:p w14:paraId="506098F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31%</w:t>
            </w:r>
          </w:p>
        </w:tc>
        <w:tc>
          <w:tcPr>
            <w:tcW w:w="1406" w:type="dxa"/>
            <w:tcBorders>
              <w:top w:val="nil"/>
              <w:left w:val="nil"/>
              <w:bottom w:val="nil"/>
              <w:right w:val="nil"/>
            </w:tcBorders>
            <w:shd w:val="clear" w:color="auto" w:fill="auto"/>
            <w:noWrap/>
            <w:vAlign w:val="bottom"/>
            <w:hideMark/>
          </w:tcPr>
          <w:p w14:paraId="24D9724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39%</w:t>
            </w:r>
          </w:p>
        </w:tc>
        <w:tc>
          <w:tcPr>
            <w:tcW w:w="1060" w:type="dxa"/>
            <w:tcBorders>
              <w:top w:val="nil"/>
              <w:left w:val="nil"/>
              <w:bottom w:val="nil"/>
              <w:right w:val="nil"/>
            </w:tcBorders>
            <w:shd w:val="clear" w:color="auto" w:fill="auto"/>
            <w:noWrap/>
            <w:vAlign w:val="bottom"/>
            <w:hideMark/>
          </w:tcPr>
          <w:p w14:paraId="450113B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19%</w:t>
            </w:r>
          </w:p>
        </w:tc>
        <w:tc>
          <w:tcPr>
            <w:tcW w:w="960" w:type="dxa"/>
            <w:tcBorders>
              <w:top w:val="nil"/>
              <w:left w:val="nil"/>
              <w:bottom w:val="nil"/>
              <w:right w:val="nil"/>
            </w:tcBorders>
            <w:shd w:val="clear" w:color="auto" w:fill="auto"/>
            <w:noWrap/>
            <w:vAlign w:val="bottom"/>
            <w:hideMark/>
          </w:tcPr>
          <w:p w14:paraId="555EF14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11%</w:t>
            </w:r>
          </w:p>
        </w:tc>
        <w:tc>
          <w:tcPr>
            <w:tcW w:w="1069" w:type="dxa"/>
            <w:tcBorders>
              <w:top w:val="nil"/>
              <w:left w:val="nil"/>
              <w:bottom w:val="nil"/>
              <w:right w:val="nil"/>
            </w:tcBorders>
            <w:shd w:val="clear" w:color="auto" w:fill="auto"/>
            <w:noWrap/>
            <w:vAlign w:val="bottom"/>
            <w:hideMark/>
          </w:tcPr>
          <w:p w14:paraId="365A424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2.12</w:t>
            </w:r>
          </w:p>
        </w:tc>
      </w:tr>
      <w:tr w:rsidR="009B3987" w:rsidRPr="001F426A" w14:paraId="54CCD3DA" w14:textId="77777777" w:rsidTr="00141B6D">
        <w:trPr>
          <w:trHeight w:val="255"/>
        </w:trPr>
        <w:tc>
          <w:tcPr>
            <w:tcW w:w="4826" w:type="dxa"/>
            <w:tcBorders>
              <w:top w:val="nil"/>
              <w:left w:val="nil"/>
              <w:bottom w:val="nil"/>
              <w:right w:val="nil"/>
            </w:tcBorders>
            <w:shd w:val="clear" w:color="auto" w:fill="auto"/>
            <w:noWrap/>
            <w:vAlign w:val="bottom"/>
            <w:hideMark/>
          </w:tcPr>
          <w:p w14:paraId="7789706F"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Addressing parent or guardian concerns</w:t>
            </w:r>
          </w:p>
        </w:tc>
        <w:tc>
          <w:tcPr>
            <w:tcW w:w="854" w:type="dxa"/>
            <w:tcBorders>
              <w:top w:val="nil"/>
              <w:left w:val="nil"/>
              <w:bottom w:val="nil"/>
              <w:right w:val="nil"/>
            </w:tcBorders>
            <w:shd w:val="clear" w:color="auto" w:fill="auto"/>
            <w:noWrap/>
            <w:vAlign w:val="bottom"/>
            <w:hideMark/>
          </w:tcPr>
          <w:p w14:paraId="6EAB429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w:t>
            </w:r>
          </w:p>
        </w:tc>
        <w:tc>
          <w:tcPr>
            <w:tcW w:w="1406" w:type="dxa"/>
            <w:tcBorders>
              <w:top w:val="nil"/>
              <w:left w:val="nil"/>
              <w:bottom w:val="nil"/>
              <w:right w:val="nil"/>
            </w:tcBorders>
            <w:shd w:val="clear" w:color="auto" w:fill="auto"/>
            <w:noWrap/>
            <w:vAlign w:val="bottom"/>
            <w:hideMark/>
          </w:tcPr>
          <w:p w14:paraId="3B25926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50%</w:t>
            </w:r>
          </w:p>
        </w:tc>
        <w:tc>
          <w:tcPr>
            <w:tcW w:w="1060" w:type="dxa"/>
            <w:tcBorders>
              <w:top w:val="nil"/>
              <w:left w:val="nil"/>
              <w:bottom w:val="nil"/>
              <w:right w:val="nil"/>
            </w:tcBorders>
            <w:shd w:val="clear" w:color="auto" w:fill="auto"/>
            <w:noWrap/>
            <w:vAlign w:val="bottom"/>
            <w:hideMark/>
          </w:tcPr>
          <w:p w14:paraId="2B6EA8F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w:t>
            </w:r>
          </w:p>
        </w:tc>
        <w:tc>
          <w:tcPr>
            <w:tcW w:w="960" w:type="dxa"/>
            <w:tcBorders>
              <w:top w:val="nil"/>
              <w:left w:val="nil"/>
              <w:bottom w:val="nil"/>
              <w:right w:val="nil"/>
            </w:tcBorders>
            <w:shd w:val="clear" w:color="auto" w:fill="auto"/>
            <w:noWrap/>
            <w:vAlign w:val="bottom"/>
            <w:hideMark/>
          </w:tcPr>
          <w:p w14:paraId="4F5548B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w:t>
            </w:r>
          </w:p>
        </w:tc>
        <w:tc>
          <w:tcPr>
            <w:tcW w:w="1069" w:type="dxa"/>
            <w:tcBorders>
              <w:top w:val="nil"/>
              <w:left w:val="nil"/>
              <w:bottom w:val="nil"/>
              <w:right w:val="nil"/>
            </w:tcBorders>
            <w:shd w:val="clear" w:color="auto" w:fill="auto"/>
            <w:noWrap/>
            <w:vAlign w:val="bottom"/>
            <w:hideMark/>
          </w:tcPr>
          <w:p w14:paraId="15D2D89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2.09</w:t>
            </w:r>
          </w:p>
        </w:tc>
      </w:tr>
      <w:tr w:rsidR="009B3987" w:rsidRPr="001F426A" w14:paraId="22239007" w14:textId="77777777" w:rsidTr="00141B6D">
        <w:trPr>
          <w:trHeight w:val="255"/>
        </w:trPr>
        <w:tc>
          <w:tcPr>
            <w:tcW w:w="4826" w:type="dxa"/>
            <w:tcBorders>
              <w:top w:val="nil"/>
              <w:left w:val="nil"/>
              <w:bottom w:val="nil"/>
              <w:right w:val="nil"/>
            </w:tcBorders>
            <w:shd w:val="clear" w:color="auto" w:fill="auto"/>
            <w:noWrap/>
            <w:vAlign w:val="bottom"/>
            <w:hideMark/>
          </w:tcPr>
          <w:p w14:paraId="50E843B6"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extra duties due to absent teachers</w:t>
            </w:r>
          </w:p>
        </w:tc>
        <w:tc>
          <w:tcPr>
            <w:tcW w:w="854" w:type="dxa"/>
            <w:tcBorders>
              <w:top w:val="nil"/>
              <w:left w:val="nil"/>
              <w:bottom w:val="nil"/>
              <w:right w:val="nil"/>
            </w:tcBorders>
            <w:shd w:val="clear" w:color="auto" w:fill="auto"/>
            <w:noWrap/>
            <w:vAlign w:val="bottom"/>
            <w:hideMark/>
          </w:tcPr>
          <w:p w14:paraId="797A7E1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33%</w:t>
            </w:r>
          </w:p>
        </w:tc>
        <w:tc>
          <w:tcPr>
            <w:tcW w:w="1406" w:type="dxa"/>
            <w:tcBorders>
              <w:top w:val="nil"/>
              <w:left w:val="nil"/>
              <w:bottom w:val="nil"/>
              <w:right w:val="nil"/>
            </w:tcBorders>
            <w:shd w:val="clear" w:color="auto" w:fill="auto"/>
            <w:noWrap/>
            <w:vAlign w:val="bottom"/>
            <w:hideMark/>
          </w:tcPr>
          <w:p w14:paraId="6B437A6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38%</w:t>
            </w:r>
          </w:p>
        </w:tc>
        <w:tc>
          <w:tcPr>
            <w:tcW w:w="1060" w:type="dxa"/>
            <w:tcBorders>
              <w:top w:val="nil"/>
              <w:left w:val="nil"/>
              <w:bottom w:val="nil"/>
              <w:right w:val="nil"/>
            </w:tcBorders>
            <w:shd w:val="clear" w:color="auto" w:fill="auto"/>
            <w:noWrap/>
            <w:vAlign w:val="bottom"/>
            <w:hideMark/>
          </w:tcPr>
          <w:p w14:paraId="16BB1FE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17%</w:t>
            </w:r>
          </w:p>
        </w:tc>
        <w:tc>
          <w:tcPr>
            <w:tcW w:w="960" w:type="dxa"/>
            <w:tcBorders>
              <w:top w:val="nil"/>
              <w:left w:val="nil"/>
              <w:bottom w:val="nil"/>
              <w:right w:val="nil"/>
            </w:tcBorders>
            <w:shd w:val="clear" w:color="auto" w:fill="auto"/>
            <w:noWrap/>
            <w:vAlign w:val="bottom"/>
            <w:hideMark/>
          </w:tcPr>
          <w:p w14:paraId="23C4999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12%</w:t>
            </w:r>
          </w:p>
        </w:tc>
        <w:tc>
          <w:tcPr>
            <w:tcW w:w="1069" w:type="dxa"/>
            <w:tcBorders>
              <w:top w:val="nil"/>
              <w:left w:val="nil"/>
              <w:bottom w:val="nil"/>
              <w:right w:val="nil"/>
            </w:tcBorders>
            <w:shd w:val="clear" w:color="auto" w:fill="auto"/>
            <w:noWrap/>
            <w:vAlign w:val="bottom"/>
            <w:hideMark/>
          </w:tcPr>
          <w:p w14:paraId="4845358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2.08</w:t>
            </w:r>
          </w:p>
        </w:tc>
      </w:tr>
      <w:tr w:rsidR="009B3987" w:rsidRPr="001F426A" w14:paraId="27218D2A" w14:textId="77777777" w:rsidTr="00141B6D">
        <w:trPr>
          <w:trHeight w:val="255"/>
        </w:trPr>
        <w:tc>
          <w:tcPr>
            <w:tcW w:w="4826" w:type="dxa"/>
            <w:tcBorders>
              <w:top w:val="nil"/>
              <w:left w:val="nil"/>
              <w:bottom w:val="nil"/>
              <w:right w:val="nil"/>
            </w:tcBorders>
            <w:shd w:val="clear" w:color="auto" w:fill="auto"/>
            <w:noWrap/>
            <w:vAlign w:val="bottom"/>
            <w:hideMark/>
          </w:tcPr>
          <w:p w14:paraId="49592C6B"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Modifying lessons for students with special educational needs</w:t>
            </w:r>
          </w:p>
        </w:tc>
        <w:tc>
          <w:tcPr>
            <w:tcW w:w="854" w:type="dxa"/>
            <w:tcBorders>
              <w:top w:val="nil"/>
              <w:left w:val="nil"/>
              <w:bottom w:val="nil"/>
              <w:right w:val="nil"/>
            </w:tcBorders>
            <w:shd w:val="clear" w:color="auto" w:fill="auto"/>
            <w:noWrap/>
            <w:vAlign w:val="bottom"/>
            <w:hideMark/>
          </w:tcPr>
          <w:p w14:paraId="7D09D07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34%</w:t>
            </w:r>
          </w:p>
        </w:tc>
        <w:tc>
          <w:tcPr>
            <w:tcW w:w="1406" w:type="dxa"/>
            <w:tcBorders>
              <w:top w:val="nil"/>
              <w:left w:val="nil"/>
              <w:bottom w:val="nil"/>
              <w:right w:val="nil"/>
            </w:tcBorders>
            <w:shd w:val="clear" w:color="auto" w:fill="auto"/>
            <w:noWrap/>
            <w:vAlign w:val="bottom"/>
            <w:hideMark/>
          </w:tcPr>
          <w:p w14:paraId="7C8F965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47%</w:t>
            </w:r>
          </w:p>
        </w:tc>
        <w:tc>
          <w:tcPr>
            <w:tcW w:w="1060" w:type="dxa"/>
            <w:tcBorders>
              <w:top w:val="nil"/>
              <w:left w:val="nil"/>
              <w:bottom w:val="nil"/>
              <w:right w:val="nil"/>
            </w:tcBorders>
            <w:shd w:val="clear" w:color="auto" w:fill="auto"/>
            <w:noWrap/>
            <w:vAlign w:val="bottom"/>
            <w:hideMark/>
          </w:tcPr>
          <w:p w14:paraId="2B88308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14%</w:t>
            </w:r>
          </w:p>
        </w:tc>
        <w:tc>
          <w:tcPr>
            <w:tcW w:w="960" w:type="dxa"/>
            <w:tcBorders>
              <w:top w:val="nil"/>
              <w:left w:val="nil"/>
              <w:bottom w:val="nil"/>
              <w:right w:val="nil"/>
            </w:tcBorders>
            <w:shd w:val="clear" w:color="auto" w:fill="auto"/>
            <w:noWrap/>
            <w:vAlign w:val="bottom"/>
            <w:hideMark/>
          </w:tcPr>
          <w:p w14:paraId="22BB3EB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w:t>
            </w:r>
          </w:p>
        </w:tc>
        <w:tc>
          <w:tcPr>
            <w:tcW w:w="1069" w:type="dxa"/>
            <w:tcBorders>
              <w:top w:val="nil"/>
              <w:left w:val="nil"/>
              <w:bottom w:val="nil"/>
              <w:right w:val="nil"/>
            </w:tcBorders>
            <w:shd w:val="clear" w:color="auto" w:fill="auto"/>
            <w:noWrap/>
            <w:vAlign w:val="bottom"/>
            <w:hideMark/>
          </w:tcPr>
          <w:p w14:paraId="0461630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1.88</w:t>
            </w:r>
          </w:p>
        </w:tc>
      </w:tr>
      <w:tr w:rsidR="009B3987" w:rsidRPr="001F426A" w14:paraId="7B32E273" w14:textId="77777777" w:rsidTr="00141B6D">
        <w:trPr>
          <w:trHeight w:val="255"/>
        </w:trPr>
        <w:tc>
          <w:tcPr>
            <w:tcW w:w="4826" w:type="dxa"/>
            <w:tcBorders>
              <w:top w:val="nil"/>
              <w:left w:val="nil"/>
              <w:bottom w:val="single" w:sz="4" w:space="0" w:color="auto"/>
              <w:right w:val="nil"/>
            </w:tcBorders>
            <w:shd w:val="clear" w:color="auto" w:fill="auto"/>
            <w:noWrap/>
            <w:vAlign w:val="bottom"/>
            <w:hideMark/>
          </w:tcPr>
          <w:p w14:paraId="4D315AE0"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Being intimidated or verbally abused by students</w:t>
            </w:r>
          </w:p>
        </w:tc>
        <w:tc>
          <w:tcPr>
            <w:tcW w:w="854" w:type="dxa"/>
            <w:tcBorders>
              <w:top w:val="nil"/>
              <w:left w:val="nil"/>
              <w:bottom w:val="single" w:sz="4" w:space="0" w:color="auto"/>
              <w:right w:val="nil"/>
            </w:tcBorders>
            <w:shd w:val="clear" w:color="auto" w:fill="auto"/>
            <w:noWrap/>
            <w:vAlign w:val="bottom"/>
            <w:hideMark/>
          </w:tcPr>
          <w:p w14:paraId="79781C5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64%</w:t>
            </w:r>
          </w:p>
        </w:tc>
        <w:tc>
          <w:tcPr>
            <w:tcW w:w="1406" w:type="dxa"/>
            <w:tcBorders>
              <w:top w:val="nil"/>
              <w:left w:val="nil"/>
              <w:bottom w:val="single" w:sz="4" w:space="0" w:color="auto"/>
              <w:right w:val="nil"/>
            </w:tcBorders>
            <w:shd w:val="clear" w:color="auto" w:fill="auto"/>
            <w:noWrap/>
            <w:vAlign w:val="bottom"/>
            <w:hideMark/>
          </w:tcPr>
          <w:p w14:paraId="0FE31A3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23%</w:t>
            </w:r>
          </w:p>
        </w:tc>
        <w:tc>
          <w:tcPr>
            <w:tcW w:w="1060" w:type="dxa"/>
            <w:tcBorders>
              <w:top w:val="nil"/>
              <w:left w:val="nil"/>
              <w:bottom w:val="single" w:sz="4" w:space="0" w:color="auto"/>
              <w:right w:val="nil"/>
            </w:tcBorders>
            <w:shd w:val="clear" w:color="auto" w:fill="auto"/>
            <w:noWrap/>
            <w:vAlign w:val="bottom"/>
            <w:hideMark/>
          </w:tcPr>
          <w:p w14:paraId="1671218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8%</w:t>
            </w:r>
          </w:p>
        </w:tc>
        <w:tc>
          <w:tcPr>
            <w:tcW w:w="960" w:type="dxa"/>
            <w:tcBorders>
              <w:top w:val="nil"/>
              <w:left w:val="nil"/>
              <w:bottom w:val="single" w:sz="4" w:space="0" w:color="auto"/>
              <w:right w:val="nil"/>
            </w:tcBorders>
            <w:shd w:val="clear" w:color="auto" w:fill="auto"/>
            <w:noWrap/>
            <w:vAlign w:val="bottom"/>
            <w:hideMark/>
          </w:tcPr>
          <w:p w14:paraId="0D1FC2F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w:t>
            </w:r>
          </w:p>
        </w:tc>
        <w:tc>
          <w:tcPr>
            <w:tcW w:w="1069" w:type="dxa"/>
            <w:tcBorders>
              <w:top w:val="nil"/>
              <w:left w:val="nil"/>
              <w:bottom w:val="single" w:sz="4" w:space="0" w:color="auto"/>
              <w:right w:val="nil"/>
            </w:tcBorders>
            <w:shd w:val="clear" w:color="auto" w:fill="auto"/>
            <w:noWrap/>
            <w:vAlign w:val="bottom"/>
            <w:hideMark/>
          </w:tcPr>
          <w:p w14:paraId="168804F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1.55</w:t>
            </w:r>
          </w:p>
        </w:tc>
      </w:tr>
    </w:tbl>
    <w:p w14:paraId="6A263F80" w14:textId="77777777" w:rsidR="009B3987" w:rsidRPr="00C15BFD" w:rsidRDefault="009B3987" w:rsidP="008B4E20">
      <w:pPr>
        <w:spacing w:after="240" w:line="257" w:lineRule="auto"/>
        <w:rPr>
          <w:rFonts w:ascii="Times New Roman" w:hAnsi="Times New Roman" w:cs="Times New Roman"/>
          <w:b/>
          <w:sz w:val="20"/>
          <w:szCs w:val="20"/>
        </w:rPr>
      </w:pPr>
      <w:r w:rsidRPr="00C15BFD">
        <w:rPr>
          <w:rFonts w:ascii="Times New Roman" w:hAnsi="Times New Roman" w:cs="Times New Roman"/>
          <w:sz w:val="20"/>
          <w:szCs w:val="20"/>
        </w:rPr>
        <w:t>Source = authors’ analysis of TALIS 2018 data for England.</w:t>
      </w:r>
    </w:p>
    <w:p w14:paraId="4E2C269F" w14:textId="59C0B148" w:rsidR="009B3987"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Next, Table 2.5 investigates whether teachers in England find each aspect of their job more or less stressful than teachers in other countries. Specifically, this compares the percentage of teachers in England who said each area caused them </w:t>
      </w:r>
      <w:r w:rsidR="00E17CA1">
        <w:rPr>
          <w:rFonts w:ascii="Times New Roman" w:hAnsi="Times New Roman" w:cs="Times New Roman"/>
          <w:bCs/>
          <w:sz w:val="24"/>
          <w:szCs w:val="24"/>
        </w:rPr>
        <w:t>‘</w:t>
      </w:r>
      <w:r>
        <w:rPr>
          <w:rFonts w:ascii="Times New Roman" w:hAnsi="Times New Roman" w:cs="Times New Roman"/>
          <w:bCs/>
          <w:sz w:val="24"/>
          <w:szCs w:val="24"/>
        </w:rPr>
        <w:t>quite a bit</w:t>
      </w:r>
      <w:r w:rsidR="00E17CA1">
        <w:rPr>
          <w:rFonts w:ascii="Times New Roman" w:hAnsi="Times New Roman" w:cs="Times New Roman"/>
          <w:bCs/>
          <w:sz w:val="24"/>
          <w:szCs w:val="24"/>
        </w:rPr>
        <w:t>’</w:t>
      </w:r>
      <w:r>
        <w:rPr>
          <w:rFonts w:ascii="Times New Roman" w:hAnsi="Times New Roman" w:cs="Times New Roman"/>
          <w:bCs/>
          <w:sz w:val="24"/>
          <w:szCs w:val="24"/>
        </w:rPr>
        <w:t xml:space="preserve"> or </w:t>
      </w:r>
      <w:r w:rsidR="00E17CA1">
        <w:rPr>
          <w:rFonts w:ascii="Times New Roman" w:hAnsi="Times New Roman" w:cs="Times New Roman"/>
          <w:bCs/>
          <w:sz w:val="24"/>
          <w:szCs w:val="24"/>
        </w:rPr>
        <w:t>‘</w:t>
      </w:r>
      <w:r>
        <w:rPr>
          <w:rFonts w:ascii="Times New Roman" w:hAnsi="Times New Roman" w:cs="Times New Roman"/>
          <w:bCs/>
          <w:sz w:val="24"/>
          <w:szCs w:val="24"/>
        </w:rPr>
        <w:t>a lot</w:t>
      </w:r>
      <w:r w:rsidR="00E17CA1">
        <w:rPr>
          <w:rFonts w:ascii="Times New Roman" w:hAnsi="Times New Roman" w:cs="Times New Roman"/>
          <w:bCs/>
          <w:sz w:val="24"/>
          <w:szCs w:val="24"/>
        </w:rPr>
        <w:t>’</w:t>
      </w:r>
      <w:r>
        <w:rPr>
          <w:rFonts w:ascii="Times New Roman" w:hAnsi="Times New Roman" w:cs="Times New Roman"/>
          <w:bCs/>
          <w:sz w:val="24"/>
          <w:szCs w:val="24"/>
        </w:rPr>
        <w:t xml:space="preserve"> of stress to other participating English-speaking countries and either the OECD average (lower-secondary) or the average across all participating countries (primary).</w:t>
      </w:r>
    </w:p>
    <w:p w14:paraId="0ED26E91" w14:textId="1919F0F5" w:rsidR="009B3987" w:rsidRDefault="009B3987" w:rsidP="009B3987">
      <w:pPr>
        <w:spacing w:line="360" w:lineRule="auto"/>
        <w:jc w:val="both"/>
        <w:rPr>
          <w:rFonts w:ascii="Times New Roman" w:hAnsi="Times New Roman" w:cs="Times New Roman"/>
          <w:bCs/>
          <w:sz w:val="24"/>
          <w:szCs w:val="24"/>
        </w:rPr>
        <w:sectPr w:rsidR="009B3987" w:rsidSect="00141B6D">
          <w:pgSz w:w="11906" w:h="16838"/>
          <w:pgMar w:top="1440" w:right="1440" w:bottom="1440" w:left="1440" w:header="708" w:footer="708" w:gutter="0"/>
          <w:cols w:space="708"/>
          <w:docGrid w:linePitch="360"/>
        </w:sectPr>
      </w:pPr>
      <w:r>
        <w:rPr>
          <w:rFonts w:ascii="Times New Roman" w:hAnsi="Times New Roman" w:cs="Times New Roman"/>
          <w:bCs/>
          <w:sz w:val="24"/>
          <w:szCs w:val="24"/>
        </w:rPr>
        <w:t xml:space="preserve">The two areas where England clearly stands out from other countries are the stress caused by (a) marking and (b) accountability. For lower-secondary teachers, England is 29 percentage points above the OECD average for the proportion of teachers who said marking was causing them stress, and 25 percentage points </w:t>
      </w:r>
      <w:r w:rsidR="003F6D6B">
        <w:rPr>
          <w:rFonts w:ascii="Times New Roman" w:hAnsi="Times New Roman" w:cs="Times New Roman"/>
          <w:bCs/>
          <w:sz w:val="24"/>
          <w:szCs w:val="24"/>
        </w:rPr>
        <w:t xml:space="preserve">above </w:t>
      </w:r>
      <w:r>
        <w:rPr>
          <w:rFonts w:ascii="Times New Roman" w:hAnsi="Times New Roman" w:cs="Times New Roman"/>
          <w:bCs/>
          <w:sz w:val="24"/>
          <w:szCs w:val="24"/>
        </w:rPr>
        <w:t>with respect to being held responsible for pupils’ achievement. This message is reinforced by Figure 2.2, which illustrates this finding graphically. England is towards the top-right of the cloud of data</w:t>
      </w:r>
      <w:r w:rsidR="004E265B">
        <w:rPr>
          <w:rFonts w:ascii="Times New Roman" w:hAnsi="Times New Roman" w:cs="Times New Roman"/>
          <w:bCs/>
          <w:sz w:val="24"/>
          <w:szCs w:val="24"/>
        </w:rPr>
        <w:t xml:space="preserve"> </w:t>
      </w:r>
      <w:r>
        <w:rPr>
          <w:rFonts w:ascii="Times New Roman" w:hAnsi="Times New Roman" w:cs="Times New Roman"/>
          <w:bCs/>
          <w:sz w:val="24"/>
          <w:szCs w:val="24"/>
        </w:rPr>
        <w:t xml:space="preserve">points in both the primary and lower-secondary graphs, illustrating how teachers in England felt that this was causing them more stress than teachers in almost every other participating country. Again, England also stands out from the four other English-speaking </w:t>
      </w:r>
      <w:r w:rsidR="008B4E20">
        <w:rPr>
          <w:rFonts w:ascii="Times New Roman" w:hAnsi="Times New Roman" w:cs="Times New Roman"/>
          <w:bCs/>
          <w:sz w:val="24"/>
          <w:szCs w:val="24"/>
        </w:rPr>
        <w:t>jurisdictions</w:t>
      </w:r>
      <w:r>
        <w:rPr>
          <w:rFonts w:ascii="Times New Roman" w:hAnsi="Times New Roman" w:cs="Times New Roman"/>
          <w:bCs/>
          <w:sz w:val="24"/>
          <w:szCs w:val="24"/>
        </w:rPr>
        <w:t xml:space="preserve"> (Australia, Alberta, New Zealand and the United States) in responses to this question, indicating that this result is unlikely to be driven by cross-national differences in language and interpretation.  </w:t>
      </w:r>
    </w:p>
    <w:p w14:paraId="39E86B1F" w14:textId="505DFFFB" w:rsidR="009B3987" w:rsidRDefault="009B3987" w:rsidP="009B3987">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Table 2.5 Key drivers of stress amongst </w:t>
      </w:r>
      <w:r w:rsidRPr="00EA7722">
        <w:rPr>
          <w:rFonts w:ascii="Times New Roman" w:hAnsi="Times New Roman" w:cs="Times New Roman"/>
          <w:b/>
          <w:i/>
          <w:sz w:val="24"/>
          <w:szCs w:val="24"/>
          <w:u w:val="single"/>
        </w:rPr>
        <w:t>teachers</w:t>
      </w:r>
      <w:r>
        <w:rPr>
          <w:rFonts w:ascii="Times New Roman" w:hAnsi="Times New Roman" w:cs="Times New Roman"/>
          <w:b/>
          <w:sz w:val="24"/>
          <w:szCs w:val="24"/>
        </w:rPr>
        <w:t xml:space="preserve"> in England compared to other English-speaking countries and international averages</w:t>
      </w:r>
    </w:p>
    <w:p w14:paraId="246251D1" w14:textId="77777777" w:rsidR="009B3987" w:rsidRPr="004277DB" w:rsidRDefault="009B3987" w:rsidP="009B3987">
      <w:pPr>
        <w:pStyle w:val="ListParagraph"/>
        <w:jc w:val="center"/>
        <w:rPr>
          <w:rFonts w:ascii="Times New Roman" w:hAnsi="Times New Roman" w:cs="Times New Roman"/>
          <w:sz w:val="24"/>
          <w:szCs w:val="24"/>
        </w:rPr>
      </w:pPr>
      <w:r>
        <w:rPr>
          <w:rFonts w:ascii="Times New Roman" w:hAnsi="Times New Roman" w:cs="Times New Roman"/>
          <w:sz w:val="24"/>
          <w:szCs w:val="24"/>
        </w:rPr>
        <w:t>Primary</w:t>
      </w:r>
    </w:p>
    <w:tbl>
      <w:tblPr>
        <w:tblW w:w="8791" w:type="dxa"/>
        <w:jc w:val="center"/>
        <w:tblLook w:val="04A0" w:firstRow="1" w:lastRow="0" w:firstColumn="1" w:lastColumn="0" w:noHBand="0" w:noVBand="1"/>
      </w:tblPr>
      <w:tblGrid>
        <w:gridCol w:w="5046"/>
        <w:gridCol w:w="1140"/>
        <w:gridCol w:w="1158"/>
        <w:gridCol w:w="1447"/>
      </w:tblGrid>
      <w:tr w:rsidR="009B3987" w:rsidRPr="001F426A" w14:paraId="65F7B84F" w14:textId="77777777" w:rsidTr="00141B6D">
        <w:trPr>
          <w:trHeight w:val="510"/>
          <w:jc w:val="center"/>
        </w:trPr>
        <w:tc>
          <w:tcPr>
            <w:tcW w:w="5046" w:type="dxa"/>
            <w:tcBorders>
              <w:top w:val="single" w:sz="4" w:space="0" w:color="auto"/>
              <w:left w:val="nil"/>
              <w:bottom w:val="single" w:sz="4" w:space="0" w:color="auto"/>
              <w:right w:val="nil"/>
            </w:tcBorders>
            <w:shd w:val="clear" w:color="000000" w:fill="B4C6E7"/>
            <w:noWrap/>
            <w:vAlign w:val="bottom"/>
            <w:hideMark/>
          </w:tcPr>
          <w:p w14:paraId="6AE97253" w14:textId="77777777" w:rsidR="009B3987" w:rsidRPr="001F426A" w:rsidRDefault="009B3987" w:rsidP="00141B6D">
            <w:pPr>
              <w:spacing w:after="0" w:line="240" w:lineRule="auto"/>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 </w:t>
            </w:r>
          </w:p>
        </w:tc>
        <w:tc>
          <w:tcPr>
            <w:tcW w:w="1140" w:type="dxa"/>
            <w:tcBorders>
              <w:top w:val="single" w:sz="4" w:space="0" w:color="auto"/>
              <w:left w:val="nil"/>
              <w:bottom w:val="single" w:sz="4" w:space="0" w:color="auto"/>
              <w:right w:val="nil"/>
            </w:tcBorders>
            <w:shd w:val="clear" w:color="000000" w:fill="B4C6E7"/>
            <w:vAlign w:val="bottom"/>
            <w:hideMark/>
          </w:tcPr>
          <w:p w14:paraId="18D3CB39"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England</w:t>
            </w:r>
          </w:p>
        </w:tc>
        <w:tc>
          <w:tcPr>
            <w:tcW w:w="1158" w:type="dxa"/>
            <w:tcBorders>
              <w:top w:val="single" w:sz="4" w:space="0" w:color="auto"/>
              <w:left w:val="nil"/>
              <w:bottom w:val="single" w:sz="4" w:space="0" w:color="auto"/>
              <w:right w:val="nil"/>
            </w:tcBorders>
            <w:shd w:val="clear" w:color="000000" w:fill="B4C6E7"/>
            <w:vAlign w:val="bottom"/>
            <w:hideMark/>
          </w:tcPr>
          <w:p w14:paraId="102800EF"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Australia</w:t>
            </w:r>
          </w:p>
        </w:tc>
        <w:tc>
          <w:tcPr>
            <w:tcW w:w="1447" w:type="dxa"/>
            <w:tcBorders>
              <w:top w:val="single" w:sz="4" w:space="0" w:color="auto"/>
              <w:left w:val="nil"/>
              <w:bottom w:val="single" w:sz="4" w:space="0" w:color="auto"/>
              <w:right w:val="nil"/>
            </w:tcBorders>
            <w:shd w:val="clear" w:color="000000" w:fill="B4C6E7"/>
            <w:vAlign w:val="bottom"/>
          </w:tcPr>
          <w:p w14:paraId="69B87F47"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TALIS Average</w:t>
            </w:r>
          </w:p>
        </w:tc>
      </w:tr>
      <w:tr w:rsidR="009B3987" w:rsidRPr="001F426A" w14:paraId="3A2FA34F"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6B668FA7"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Too much marking</w:t>
            </w:r>
          </w:p>
        </w:tc>
        <w:tc>
          <w:tcPr>
            <w:tcW w:w="1140" w:type="dxa"/>
            <w:tcBorders>
              <w:top w:val="nil"/>
              <w:left w:val="nil"/>
              <w:bottom w:val="nil"/>
              <w:right w:val="nil"/>
            </w:tcBorders>
            <w:shd w:val="clear" w:color="auto" w:fill="auto"/>
            <w:noWrap/>
            <w:vAlign w:val="bottom"/>
            <w:hideMark/>
          </w:tcPr>
          <w:p w14:paraId="58A1FB8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52</w:t>
            </w:r>
          </w:p>
        </w:tc>
        <w:tc>
          <w:tcPr>
            <w:tcW w:w="1158" w:type="dxa"/>
            <w:tcBorders>
              <w:top w:val="nil"/>
              <w:left w:val="nil"/>
              <w:bottom w:val="nil"/>
              <w:right w:val="nil"/>
            </w:tcBorders>
            <w:shd w:val="clear" w:color="auto" w:fill="auto"/>
            <w:noWrap/>
            <w:vAlign w:val="bottom"/>
          </w:tcPr>
          <w:p w14:paraId="593AEEE9"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33</w:t>
            </w:r>
          </w:p>
        </w:tc>
        <w:tc>
          <w:tcPr>
            <w:tcW w:w="1447" w:type="dxa"/>
            <w:tcBorders>
              <w:top w:val="nil"/>
              <w:left w:val="nil"/>
              <w:bottom w:val="nil"/>
              <w:right w:val="nil"/>
            </w:tcBorders>
            <w:vAlign w:val="bottom"/>
          </w:tcPr>
          <w:p w14:paraId="44EC596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35</w:t>
            </w:r>
          </w:p>
        </w:tc>
      </w:tr>
      <w:tr w:rsidR="009B3987" w:rsidRPr="001F426A" w14:paraId="194F7E26"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5098D914"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Being held responsible for students’ achievement</w:t>
            </w:r>
          </w:p>
        </w:tc>
        <w:tc>
          <w:tcPr>
            <w:tcW w:w="1140" w:type="dxa"/>
            <w:tcBorders>
              <w:top w:val="nil"/>
              <w:left w:val="nil"/>
              <w:bottom w:val="nil"/>
              <w:right w:val="nil"/>
            </w:tcBorders>
            <w:shd w:val="clear" w:color="auto" w:fill="auto"/>
            <w:noWrap/>
            <w:vAlign w:val="bottom"/>
            <w:hideMark/>
          </w:tcPr>
          <w:p w14:paraId="12CCA3C5"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62</w:t>
            </w:r>
          </w:p>
        </w:tc>
        <w:tc>
          <w:tcPr>
            <w:tcW w:w="1158" w:type="dxa"/>
            <w:tcBorders>
              <w:top w:val="nil"/>
              <w:left w:val="nil"/>
              <w:bottom w:val="nil"/>
              <w:right w:val="nil"/>
            </w:tcBorders>
            <w:shd w:val="clear" w:color="auto" w:fill="auto"/>
            <w:noWrap/>
            <w:vAlign w:val="bottom"/>
          </w:tcPr>
          <w:p w14:paraId="4FB3655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40</w:t>
            </w:r>
          </w:p>
        </w:tc>
        <w:tc>
          <w:tcPr>
            <w:tcW w:w="1447" w:type="dxa"/>
            <w:tcBorders>
              <w:top w:val="nil"/>
              <w:left w:val="nil"/>
              <w:bottom w:val="nil"/>
              <w:right w:val="nil"/>
            </w:tcBorders>
            <w:vAlign w:val="bottom"/>
          </w:tcPr>
          <w:p w14:paraId="30431A2A"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47</w:t>
            </w:r>
          </w:p>
        </w:tc>
      </w:tr>
      <w:tr w:rsidR="009B3987" w:rsidRPr="001F426A" w14:paraId="1DFA2B75"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19A736D2"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Changing requirements</w:t>
            </w:r>
          </w:p>
        </w:tc>
        <w:tc>
          <w:tcPr>
            <w:tcW w:w="1140" w:type="dxa"/>
            <w:tcBorders>
              <w:top w:val="nil"/>
              <w:left w:val="nil"/>
              <w:bottom w:val="nil"/>
              <w:right w:val="nil"/>
            </w:tcBorders>
            <w:shd w:val="clear" w:color="auto" w:fill="auto"/>
            <w:noWrap/>
            <w:vAlign w:val="bottom"/>
            <w:hideMark/>
          </w:tcPr>
          <w:p w14:paraId="3EEEE6EA"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51</w:t>
            </w:r>
          </w:p>
        </w:tc>
        <w:tc>
          <w:tcPr>
            <w:tcW w:w="1158" w:type="dxa"/>
            <w:tcBorders>
              <w:top w:val="nil"/>
              <w:left w:val="nil"/>
              <w:bottom w:val="nil"/>
              <w:right w:val="nil"/>
            </w:tcBorders>
            <w:shd w:val="clear" w:color="auto" w:fill="auto"/>
            <w:noWrap/>
            <w:vAlign w:val="bottom"/>
          </w:tcPr>
          <w:p w14:paraId="6E1D6391"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42</w:t>
            </w:r>
          </w:p>
        </w:tc>
        <w:tc>
          <w:tcPr>
            <w:tcW w:w="1447" w:type="dxa"/>
            <w:tcBorders>
              <w:top w:val="nil"/>
              <w:left w:val="nil"/>
              <w:bottom w:val="nil"/>
              <w:right w:val="nil"/>
            </w:tcBorders>
            <w:vAlign w:val="bottom"/>
          </w:tcPr>
          <w:p w14:paraId="7881933B"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41</w:t>
            </w:r>
          </w:p>
        </w:tc>
      </w:tr>
      <w:tr w:rsidR="009B3987" w:rsidRPr="001F426A" w14:paraId="7A2F9539"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2161E612"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Too much lesson preparation</w:t>
            </w:r>
          </w:p>
        </w:tc>
        <w:tc>
          <w:tcPr>
            <w:tcW w:w="1140" w:type="dxa"/>
            <w:tcBorders>
              <w:top w:val="nil"/>
              <w:left w:val="nil"/>
              <w:bottom w:val="nil"/>
              <w:right w:val="nil"/>
            </w:tcBorders>
            <w:shd w:val="clear" w:color="auto" w:fill="auto"/>
            <w:noWrap/>
            <w:vAlign w:val="bottom"/>
            <w:hideMark/>
          </w:tcPr>
          <w:p w14:paraId="43C40DB7"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44</w:t>
            </w:r>
          </w:p>
        </w:tc>
        <w:tc>
          <w:tcPr>
            <w:tcW w:w="1158" w:type="dxa"/>
            <w:tcBorders>
              <w:top w:val="nil"/>
              <w:left w:val="nil"/>
              <w:bottom w:val="nil"/>
              <w:right w:val="nil"/>
            </w:tcBorders>
            <w:shd w:val="clear" w:color="auto" w:fill="auto"/>
            <w:noWrap/>
            <w:vAlign w:val="bottom"/>
          </w:tcPr>
          <w:p w14:paraId="534F02C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39</w:t>
            </w:r>
          </w:p>
        </w:tc>
        <w:tc>
          <w:tcPr>
            <w:tcW w:w="1447" w:type="dxa"/>
            <w:tcBorders>
              <w:top w:val="nil"/>
              <w:left w:val="nil"/>
              <w:bottom w:val="nil"/>
              <w:right w:val="nil"/>
            </w:tcBorders>
            <w:vAlign w:val="bottom"/>
          </w:tcPr>
          <w:p w14:paraId="1929F88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35</w:t>
            </w:r>
          </w:p>
        </w:tc>
      </w:tr>
      <w:tr w:rsidR="009B3987" w:rsidRPr="001F426A" w14:paraId="5E9F2000"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0E7CB188"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Too much administration</w:t>
            </w:r>
          </w:p>
        </w:tc>
        <w:tc>
          <w:tcPr>
            <w:tcW w:w="1140" w:type="dxa"/>
            <w:tcBorders>
              <w:top w:val="nil"/>
              <w:left w:val="nil"/>
              <w:bottom w:val="nil"/>
              <w:right w:val="nil"/>
            </w:tcBorders>
            <w:shd w:val="clear" w:color="auto" w:fill="auto"/>
            <w:noWrap/>
            <w:vAlign w:val="bottom"/>
            <w:hideMark/>
          </w:tcPr>
          <w:p w14:paraId="60B371C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57</w:t>
            </w:r>
          </w:p>
        </w:tc>
        <w:tc>
          <w:tcPr>
            <w:tcW w:w="1158" w:type="dxa"/>
            <w:tcBorders>
              <w:top w:val="nil"/>
              <w:left w:val="nil"/>
              <w:bottom w:val="nil"/>
              <w:right w:val="nil"/>
            </w:tcBorders>
            <w:shd w:val="clear" w:color="auto" w:fill="auto"/>
            <w:noWrap/>
            <w:vAlign w:val="bottom"/>
          </w:tcPr>
          <w:p w14:paraId="5F20515B"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49</w:t>
            </w:r>
          </w:p>
        </w:tc>
        <w:tc>
          <w:tcPr>
            <w:tcW w:w="1447" w:type="dxa"/>
            <w:tcBorders>
              <w:top w:val="nil"/>
              <w:left w:val="nil"/>
              <w:bottom w:val="nil"/>
              <w:right w:val="nil"/>
            </w:tcBorders>
            <w:vAlign w:val="bottom"/>
          </w:tcPr>
          <w:p w14:paraId="75DDF223"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49</w:t>
            </w:r>
          </w:p>
        </w:tc>
      </w:tr>
      <w:tr w:rsidR="009B3987" w:rsidRPr="001F426A" w14:paraId="2BF53092"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199B806F"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Too many lessons to teach</w:t>
            </w:r>
          </w:p>
        </w:tc>
        <w:tc>
          <w:tcPr>
            <w:tcW w:w="1140" w:type="dxa"/>
            <w:tcBorders>
              <w:top w:val="nil"/>
              <w:left w:val="nil"/>
              <w:bottom w:val="nil"/>
              <w:right w:val="nil"/>
            </w:tcBorders>
            <w:shd w:val="clear" w:color="auto" w:fill="auto"/>
            <w:noWrap/>
            <w:vAlign w:val="bottom"/>
            <w:hideMark/>
          </w:tcPr>
          <w:p w14:paraId="7D9AF365"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29</w:t>
            </w:r>
          </w:p>
        </w:tc>
        <w:tc>
          <w:tcPr>
            <w:tcW w:w="1158" w:type="dxa"/>
            <w:tcBorders>
              <w:top w:val="nil"/>
              <w:left w:val="nil"/>
              <w:bottom w:val="nil"/>
              <w:right w:val="nil"/>
            </w:tcBorders>
            <w:shd w:val="clear" w:color="auto" w:fill="auto"/>
            <w:noWrap/>
            <w:vAlign w:val="bottom"/>
          </w:tcPr>
          <w:p w14:paraId="3C785810"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29</w:t>
            </w:r>
          </w:p>
        </w:tc>
        <w:tc>
          <w:tcPr>
            <w:tcW w:w="1447" w:type="dxa"/>
            <w:tcBorders>
              <w:top w:val="nil"/>
              <w:left w:val="nil"/>
              <w:bottom w:val="nil"/>
              <w:right w:val="nil"/>
            </w:tcBorders>
            <w:vAlign w:val="bottom"/>
          </w:tcPr>
          <w:p w14:paraId="6FD726B7"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29</w:t>
            </w:r>
          </w:p>
        </w:tc>
      </w:tr>
      <w:tr w:rsidR="009B3987" w:rsidRPr="001F426A" w14:paraId="2710384D"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78550EB4"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Extra duties due to absent teachers</w:t>
            </w:r>
          </w:p>
        </w:tc>
        <w:tc>
          <w:tcPr>
            <w:tcW w:w="1140" w:type="dxa"/>
            <w:tcBorders>
              <w:top w:val="nil"/>
              <w:left w:val="nil"/>
              <w:bottom w:val="nil"/>
              <w:right w:val="nil"/>
            </w:tcBorders>
            <w:shd w:val="clear" w:color="auto" w:fill="auto"/>
            <w:noWrap/>
            <w:vAlign w:val="bottom"/>
            <w:hideMark/>
          </w:tcPr>
          <w:p w14:paraId="7221FC09"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21</w:t>
            </w:r>
          </w:p>
        </w:tc>
        <w:tc>
          <w:tcPr>
            <w:tcW w:w="1158" w:type="dxa"/>
            <w:tcBorders>
              <w:top w:val="nil"/>
              <w:left w:val="nil"/>
              <w:bottom w:val="nil"/>
              <w:right w:val="nil"/>
            </w:tcBorders>
            <w:shd w:val="clear" w:color="auto" w:fill="auto"/>
            <w:noWrap/>
            <w:vAlign w:val="bottom"/>
          </w:tcPr>
          <w:p w14:paraId="1CCECDCC"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13</w:t>
            </w:r>
          </w:p>
        </w:tc>
        <w:tc>
          <w:tcPr>
            <w:tcW w:w="1447" w:type="dxa"/>
            <w:tcBorders>
              <w:top w:val="nil"/>
              <w:left w:val="nil"/>
              <w:bottom w:val="nil"/>
              <w:right w:val="nil"/>
            </w:tcBorders>
            <w:vAlign w:val="bottom"/>
          </w:tcPr>
          <w:p w14:paraId="44B9CD9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23</w:t>
            </w:r>
          </w:p>
        </w:tc>
      </w:tr>
      <w:tr w:rsidR="009B3987" w:rsidRPr="001F426A" w14:paraId="00F783A9"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344CA8C8"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Abuse from pupils</w:t>
            </w:r>
          </w:p>
        </w:tc>
        <w:tc>
          <w:tcPr>
            <w:tcW w:w="1140" w:type="dxa"/>
            <w:tcBorders>
              <w:top w:val="nil"/>
              <w:left w:val="nil"/>
              <w:bottom w:val="nil"/>
              <w:right w:val="nil"/>
            </w:tcBorders>
            <w:shd w:val="clear" w:color="auto" w:fill="auto"/>
            <w:noWrap/>
            <w:vAlign w:val="bottom"/>
            <w:hideMark/>
          </w:tcPr>
          <w:p w14:paraId="7BF3CD1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6</w:t>
            </w:r>
          </w:p>
        </w:tc>
        <w:tc>
          <w:tcPr>
            <w:tcW w:w="1158" w:type="dxa"/>
            <w:tcBorders>
              <w:top w:val="nil"/>
              <w:left w:val="nil"/>
              <w:bottom w:val="nil"/>
              <w:right w:val="nil"/>
            </w:tcBorders>
            <w:shd w:val="clear" w:color="auto" w:fill="auto"/>
            <w:noWrap/>
            <w:vAlign w:val="bottom"/>
          </w:tcPr>
          <w:p w14:paraId="530F82F5"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9</w:t>
            </w:r>
          </w:p>
        </w:tc>
        <w:tc>
          <w:tcPr>
            <w:tcW w:w="1447" w:type="dxa"/>
            <w:tcBorders>
              <w:top w:val="nil"/>
              <w:left w:val="nil"/>
              <w:bottom w:val="nil"/>
              <w:right w:val="nil"/>
            </w:tcBorders>
            <w:vAlign w:val="bottom"/>
          </w:tcPr>
          <w:p w14:paraId="151FD33D"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10</w:t>
            </w:r>
          </w:p>
        </w:tc>
      </w:tr>
      <w:tr w:rsidR="009B3987" w:rsidRPr="001F426A" w14:paraId="0B4356CB"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32829C39"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Addressing parent concerns</w:t>
            </w:r>
          </w:p>
        </w:tc>
        <w:tc>
          <w:tcPr>
            <w:tcW w:w="1140" w:type="dxa"/>
            <w:tcBorders>
              <w:top w:val="nil"/>
              <w:left w:val="nil"/>
              <w:bottom w:val="nil"/>
              <w:right w:val="nil"/>
            </w:tcBorders>
            <w:shd w:val="clear" w:color="auto" w:fill="auto"/>
            <w:noWrap/>
            <w:vAlign w:val="bottom"/>
            <w:hideMark/>
          </w:tcPr>
          <w:p w14:paraId="57B00887"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30</w:t>
            </w:r>
          </w:p>
        </w:tc>
        <w:tc>
          <w:tcPr>
            <w:tcW w:w="1158" w:type="dxa"/>
            <w:tcBorders>
              <w:top w:val="nil"/>
              <w:left w:val="nil"/>
              <w:bottom w:val="nil"/>
              <w:right w:val="nil"/>
            </w:tcBorders>
            <w:shd w:val="clear" w:color="auto" w:fill="auto"/>
            <w:noWrap/>
            <w:vAlign w:val="bottom"/>
          </w:tcPr>
          <w:p w14:paraId="174415E0"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31</w:t>
            </w:r>
          </w:p>
        </w:tc>
        <w:tc>
          <w:tcPr>
            <w:tcW w:w="1447" w:type="dxa"/>
            <w:tcBorders>
              <w:top w:val="nil"/>
              <w:left w:val="nil"/>
              <w:bottom w:val="nil"/>
              <w:right w:val="nil"/>
            </w:tcBorders>
            <w:vAlign w:val="bottom"/>
          </w:tcPr>
          <w:p w14:paraId="2A07E0A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41</w:t>
            </w:r>
          </w:p>
        </w:tc>
      </w:tr>
      <w:tr w:rsidR="009B3987" w:rsidRPr="001F426A" w14:paraId="2703CFF4"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31656C95"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Maintaining classroom discipline</w:t>
            </w:r>
          </w:p>
        </w:tc>
        <w:tc>
          <w:tcPr>
            <w:tcW w:w="1140" w:type="dxa"/>
            <w:tcBorders>
              <w:top w:val="nil"/>
              <w:left w:val="nil"/>
              <w:bottom w:val="nil"/>
              <w:right w:val="nil"/>
            </w:tcBorders>
            <w:shd w:val="clear" w:color="auto" w:fill="auto"/>
            <w:noWrap/>
            <w:vAlign w:val="bottom"/>
            <w:hideMark/>
          </w:tcPr>
          <w:p w14:paraId="1B036AD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27</w:t>
            </w:r>
          </w:p>
        </w:tc>
        <w:tc>
          <w:tcPr>
            <w:tcW w:w="1158" w:type="dxa"/>
            <w:tcBorders>
              <w:top w:val="nil"/>
              <w:left w:val="nil"/>
              <w:bottom w:val="nil"/>
              <w:right w:val="nil"/>
            </w:tcBorders>
            <w:shd w:val="clear" w:color="auto" w:fill="auto"/>
            <w:noWrap/>
            <w:vAlign w:val="bottom"/>
          </w:tcPr>
          <w:p w14:paraId="6D279F36"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31</w:t>
            </w:r>
          </w:p>
        </w:tc>
        <w:tc>
          <w:tcPr>
            <w:tcW w:w="1447" w:type="dxa"/>
            <w:tcBorders>
              <w:top w:val="nil"/>
              <w:left w:val="nil"/>
              <w:bottom w:val="nil"/>
              <w:right w:val="nil"/>
            </w:tcBorders>
            <w:vAlign w:val="bottom"/>
          </w:tcPr>
          <w:p w14:paraId="2413CF48"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39</w:t>
            </w:r>
          </w:p>
        </w:tc>
      </w:tr>
      <w:tr w:rsidR="009B3987" w:rsidRPr="001F426A" w14:paraId="1892B1E0" w14:textId="77777777" w:rsidTr="00141B6D">
        <w:trPr>
          <w:trHeight w:val="255"/>
          <w:jc w:val="center"/>
        </w:trPr>
        <w:tc>
          <w:tcPr>
            <w:tcW w:w="5046" w:type="dxa"/>
            <w:tcBorders>
              <w:top w:val="nil"/>
              <w:left w:val="nil"/>
              <w:bottom w:val="single" w:sz="4" w:space="0" w:color="auto"/>
              <w:right w:val="nil"/>
            </w:tcBorders>
            <w:shd w:val="clear" w:color="auto" w:fill="auto"/>
            <w:noWrap/>
            <w:vAlign w:val="bottom"/>
            <w:hideMark/>
          </w:tcPr>
          <w:p w14:paraId="584D9277"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Modifying lessons for SEN pupils</w:t>
            </w:r>
          </w:p>
        </w:tc>
        <w:tc>
          <w:tcPr>
            <w:tcW w:w="1140" w:type="dxa"/>
            <w:tcBorders>
              <w:top w:val="nil"/>
              <w:left w:val="nil"/>
              <w:bottom w:val="single" w:sz="4" w:space="0" w:color="auto"/>
              <w:right w:val="nil"/>
            </w:tcBorders>
            <w:shd w:val="clear" w:color="auto" w:fill="auto"/>
            <w:noWrap/>
            <w:vAlign w:val="bottom"/>
            <w:hideMark/>
          </w:tcPr>
          <w:p w14:paraId="32F8BC5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24</w:t>
            </w:r>
          </w:p>
        </w:tc>
        <w:tc>
          <w:tcPr>
            <w:tcW w:w="1158" w:type="dxa"/>
            <w:tcBorders>
              <w:top w:val="nil"/>
              <w:left w:val="nil"/>
              <w:bottom w:val="single" w:sz="4" w:space="0" w:color="auto"/>
              <w:right w:val="nil"/>
            </w:tcBorders>
            <w:shd w:val="clear" w:color="auto" w:fill="auto"/>
            <w:noWrap/>
            <w:vAlign w:val="bottom"/>
          </w:tcPr>
          <w:p w14:paraId="0B5F3386"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30</w:t>
            </w:r>
          </w:p>
        </w:tc>
        <w:tc>
          <w:tcPr>
            <w:tcW w:w="1447" w:type="dxa"/>
            <w:tcBorders>
              <w:top w:val="nil"/>
              <w:left w:val="nil"/>
              <w:bottom w:val="single" w:sz="4" w:space="0" w:color="auto"/>
              <w:right w:val="nil"/>
            </w:tcBorders>
            <w:vAlign w:val="bottom"/>
          </w:tcPr>
          <w:p w14:paraId="5E48593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37</w:t>
            </w:r>
          </w:p>
        </w:tc>
      </w:tr>
    </w:tbl>
    <w:p w14:paraId="4EBEA8A1" w14:textId="77777777" w:rsidR="009B3987" w:rsidRPr="00C739B6" w:rsidRDefault="009B3987" w:rsidP="009B3987">
      <w:pPr>
        <w:jc w:val="center"/>
        <w:rPr>
          <w:rFonts w:ascii="Times New Roman" w:hAnsi="Times New Roman" w:cs="Times New Roman"/>
          <w:sz w:val="24"/>
          <w:szCs w:val="24"/>
        </w:rPr>
      </w:pPr>
      <w:r w:rsidRPr="00C739B6">
        <w:rPr>
          <w:rFonts w:ascii="Times New Roman" w:hAnsi="Times New Roman" w:cs="Times New Roman"/>
          <w:sz w:val="24"/>
          <w:szCs w:val="24"/>
        </w:rPr>
        <w:t xml:space="preserve">Lower-secondary </w:t>
      </w:r>
    </w:p>
    <w:tbl>
      <w:tblPr>
        <w:tblW w:w="13226" w:type="dxa"/>
        <w:jc w:val="center"/>
        <w:tblLook w:val="04A0" w:firstRow="1" w:lastRow="0" w:firstColumn="1" w:lastColumn="0" w:noHBand="0" w:noVBand="1"/>
      </w:tblPr>
      <w:tblGrid>
        <w:gridCol w:w="5046"/>
        <w:gridCol w:w="1140"/>
        <w:gridCol w:w="1158"/>
        <w:gridCol w:w="1483"/>
        <w:gridCol w:w="1663"/>
        <w:gridCol w:w="1260"/>
        <w:gridCol w:w="1476"/>
      </w:tblGrid>
      <w:tr w:rsidR="009B3987" w:rsidRPr="001F426A" w14:paraId="480F5111" w14:textId="77777777" w:rsidTr="00141B6D">
        <w:trPr>
          <w:trHeight w:val="255"/>
          <w:jc w:val="center"/>
        </w:trPr>
        <w:tc>
          <w:tcPr>
            <w:tcW w:w="5046" w:type="dxa"/>
            <w:tcBorders>
              <w:top w:val="single" w:sz="4" w:space="0" w:color="auto"/>
              <w:left w:val="nil"/>
              <w:bottom w:val="single" w:sz="4" w:space="0" w:color="auto"/>
              <w:right w:val="nil"/>
            </w:tcBorders>
            <w:shd w:val="clear" w:color="000000" w:fill="B4C6E7"/>
            <w:noWrap/>
            <w:vAlign w:val="bottom"/>
            <w:hideMark/>
          </w:tcPr>
          <w:p w14:paraId="0358028E" w14:textId="77777777" w:rsidR="009B3987" w:rsidRPr="001F426A" w:rsidRDefault="009B3987" w:rsidP="00141B6D">
            <w:pPr>
              <w:spacing w:after="0" w:line="240" w:lineRule="auto"/>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 </w:t>
            </w:r>
          </w:p>
        </w:tc>
        <w:tc>
          <w:tcPr>
            <w:tcW w:w="1140" w:type="dxa"/>
            <w:tcBorders>
              <w:top w:val="single" w:sz="4" w:space="0" w:color="auto"/>
              <w:left w:val="nil"/>
              <w:bottom w:val="single" w:sz="4" w:space="0" w:color="auto"/>
              <w:right w:val="nil"/>
            </w:tcBorders>
            <w:shd w:val="clear" w:color="000000" w:fill="B4C6E7"/>
            <w:noWrap/>
            <w:vAlign w:val="bottom"/>
            <w:hideMark/>
          </w:tcPr>
          <w:p w14:paraId="6266C1CC"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England</w:t>
            </w:r>
          </w:p>
        </w:tc>
        <w:tc>
          <w:tcPr>
            <w:tcW w:w="1158" w:type="dxa"/>
            <w:tcBorders>
              <w:top w:val="single" w:sz="4" w:space="0" w:color="auto"/>
              <w:left w:val="nil"/>
              <w:bottom w:val="single" w:sz="4" w:space="0" w:color="auto"/>
              <w:right w:val="nil"/>
            </w:tcBorders>
            <w:shd w:val="clear" w:color="000000" w:fill="B4C6E7"/>
            <w:noWrap/>
            <w:vAlign w:val="bottom"/>
            <w:hideMark/>
          </w:tcPr>
          <w:p w14:paraId="1B25A280"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Australia</w:t>
            </w:r>
          </w:p>
        </w:tc>
        <w:tc>
          <w:tcPr>
            <w:tcW w:w="1483" w:type="dxa"/>
            <w:tcBorders>
              <w:top w:val="single" w:sz="4" w:space="0" w:color="auto"/>
              <w:left w:val="nil"/>
              <w:bottom w:val="single" w:sz="4" w:space="0" w:color="auto"/>
              <w:right w:val="nil"/>
            </w:tcBorders>
            <w:shd w:val="clear" w:color="000000" w:fill="B4C6E7"/>
          </w:tcPr>
          <w:p w14:paraId="0DD7D7DA"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Alberta</w:t>
            </w:r>
          </w:p>
        </w:tc>
        <w:tc>
          <w:tcPr>
            <w:tcW w:w="1663" w:type="dxa"/>
            <w:tcBorders>
              <w:top w:val="single" w:sz="4" w:space="0" w:color="auto"/>
              <w:left w:val="nil"/>
              <w:bottom w:val="single" w:sz="4" w:space="0" w:color="auto"/>
              <w:right w:val="nil"/>
            </w:tcBorders>
            <w:shd w:val="clear" w:color="000000" w:fill="B4C6E7"/>
          </w:tcPr>
          <w:p w14:paraId="2C808762"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New Zealand</w:t>
            </w:r>
          </w:p>
        </w:tc>
        <w:tc>
          <w:tcPr>
            <w:tcW w:w="1260" w:type="dxa"/>
            <w:tcBorders>
              <w:top w:val="single" w:sz="4" w:space="0" w:color="auto"/>
              <w:left w:val="nil"/>
              <w:bottom w:val="single" w:sz="4" w:space="0" w:color="auto"/>
              <w:right w:val="nil"/>
            </w:tcBorders>
            <w:shd w:val="clear" w:color="000000" w:fill="B4C6E7"/>
          </w:tcPr>
          <w:p w14:paraId="59D6957D"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USA</w:t>
            </w:r>
          </w:p>
        </w:tc>
        <w:tc>
          <w:tcPr>
            <w:tcW w:w="1476" w:type="dxa"/>
            <w:tcBorders>
              <w:top w:val="single" w:sz="4" w:space="0" w:color="auto"/>
              <w:left w:val="nil"/>
              <w:bottom w:val="single" w:sz="4" w:space="0" w:color="auto"/>
              <w:right w:val="nil"/>
            </w:tcBorders>
            <w:shd w:val="clear" w:color="000000" w:fill="B4C6E7"/>
            <w:vAlign w:val="bottom"/>
          </w:tcPr>
          <w:p w14:paraId="1831C2EA" w14:textId="77777777" w:rsidR="009B3987" w:rsidRPr="001F426A" w:rsidRDefault="009B3987" w:rsidP="00141B6D">
            <w:pPr>
              <w:spacing w:after="0" w:line="240" w:lineRule="auto"/>
              <w:jc w:val="center"/>
              <w:rPr>
                <w:rFonts w:ascii="Times New Roman" w:eastAsia="Times New Roman" w:hAnsi="Times New Roman" w:cs="Times New Roman"/>
                <w:b/>
                <w:bCs/>
                <w:lang w:eastAsia="en-GB"/>
              </w:rPr>
            </w:pPr>
            <w:r w:rsidRPr="001F426A">
              <w:rPr>
                <w:rFonts w:ascii="Times New Roman" w:eastAsia="Times New Roman" w:hAnsi="Times New Roman" w:cs="Times New Roman"/>
                <w:b/>
                <w:bCs/>
                <w:lang w:eastAsia="en-GB"/>
              </w:rPr>
              <w:t>OECD</w:t>
            </w:r>
          </w:p>
        </w:tc>
      </w:tr>
      <w:tr w:rsidR="009B3987" w:rsidRPr="001F426A" w14:paraId="73744E44"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0EA5CCA6"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Too much marking</w:t>
            </w:r>
          </w:p>
        </w:tc>
        <w:tc>
          <w:tcPr>
            <w:tcW w:w="1140" w:type="dxa"/>
            <w:tcBorders>
              <w:top w:val="nil"/>
              <w:left w:val="nil"/>
              <w:bottom w:val="nil"/>
              <w:right w:val="nil"/>
            </w:tcBorders>
            <w:shd w:val="clear" w:color="auto" w:fill="auto"/>
            <w:noWrap/>
            <w:vAlign w:val="bottom"/>
            <w:hideMark/>
          </w:tcPr>
          <w:p w14:paraId="09A8BD1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69</w:t>
            </w:r>
          </w:p>
        </w:tc>
        <w:tc>
          <w:tcPr>
            <w:tcW w:w="1158" w:type="dxa"/>
            <w:tcBorders>
              <w:top w:val="nil"/>
              <w:left w:val="nil"/>
              <w:bottom w:val="nil"/>
              <w:right w:val="nil"/>
            </w:tcBorders>
            <w:shd w:val="clear" w:color="auto" w:fill="auto"/>
            <w:noWrap/>
            <w:vAlign w:val="bottom"/>
          </w:tcPr>
          <w:p w14:paraId="296C064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43</w:t>
            </w:r>
          </w:p>
        </w:tc>
        <w:tc>
          <w:tcPr>
            <w:tcW w:w="1483" w:type="dxa"/>
            <w:tcBorders>
              <w:top w:val="nil"/>
              <w:left w:val="nil"/>
              <w:bottom w:val="nil"/>
              <w:right w:val="nil"/>
            </w:tcBorders>
          </w:tcPr>
          <w:p w14:paraId="303AD97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42</w:t>
            </w:r>
          </w:p>
        </w:tc>
        <w:tc>
          <w:tcPr>
            <w:tcW w:w="1663" w:type="dxa"/>
            <w:tcBorders>
              <w:top w:val="nil"/>
              <w:left w:val="nil"/>
              <w:bottom w:val="nil"/>
              <w:right w:val="nil"/>
            </w:tcBorders>
          </w:tcPr>
          <w:p w14:paraId="5CB4AE99"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48</w:t>
            </w:r>
          </w:p>
        </w:tc>
        <w:tc>
          <w:tcPr>
            <w:tcW w:w="1260" w:type="dxa"/>
            <w:tcBorders>
              <w:top w:val="nil"/>
              <w:left w:val="nil"/>
              <w:bottom w:val="nil"/>
              <w:right w:val="nil"/>
            </w:tcBorders>
          </w:tcPr>
          <w:p w14:paraId="1A9B08AA"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36</w:t>
            </w:r>
          </w:p>
        </w:tc>
        <w:tc>
          <w:tcPr>
            <w:tcW w:w="1476" w:type="dxa"/>
            <w:tcBorders>
              <w:top w:val="nil"/>
              <w:left w:val="nil"/>
              <w:bottom w:val="nil"/>
              <w:right w:val="nil"/>
            </w:tcBorders>
            <w:vAlign w:val="bottom"/>
          </w:tcPr>
          <w:p w14:paraId="48A8168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41</w:t>
            </w:r>
          </w:p>
        </w:tc>
      </w:tr>
      <w:tr w:rsidR="009B3987" w:rsidRPr="001F426A" w14:paraId="7F226783"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4FEB8D20"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Being held responsible for students’ achievement</w:t>
            </w:r>
          </w:p>
        </w:tc>
        <w:tc>
          <w:tcPr>
            <w:tcW w:w="1140" w:type="dxa"/>
            <w:tcBorders>
              <w:top w:val="nil"/>
              <w:left w:val="nil"/>
              <w:bottom w:val="nil"/>
              <w:right w:val="nil"/>
            </w:tcBorders>
            <w:shd w:val="clear" w:color="auto" w:fill="auto"/>
            <w:noWrap/>
            <w:vAlign w:val="bottom"/>
            <w:hideMark/>
          </w:tcPr>
          <w:p w14:paraId="1A91D95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68</w:t>
            </w:r>
          </w:p>
        </w:tc>
        <w:tc>
          <w:tcPr>
            <w:tcW w:w="1158" w:type="dxa"/>
            <w:tcBorders>
              <w:top w:val="nil"/>
              <w:left w:val="nil"/>
              <w:bottom w:val="nil"/>
              <w:right w:val="nil"/>
            </w:tcBorders>
            <w:shd w:val="clear" w:color="auto" w:fill="auto"/>
            <w:noWrap/>
            <w:vAlign w:val="bottom"/>
          </w:tcPr>
          <w:p w14:paraId="684CD5B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37</w:t>
            </w:r>
          </w:p>
        </w:tc>
        <w:tc>
          <w:tcPr>
            <w:tcW w:w="1483" w:type="dxa"/>
            <w:tcBorders>
              <w:top w:val="nil"/>
              <w:left w:val="nil"/>
              <w:bottom w:val="nil"/>
              <w:right w:val="nil"/>
            </w:tcBorders>
          </w:tcPr>
          <w:p w14:paraId="66AEF2B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37</w:t>
            </w:r>
          </w:p>
        </w:tc>
        <w:tc>
          <w:tcPr>
            <w:tcW w:w="1663" w:type="dxa"/>
            <w:tcBorders>
              <w:top w:val="nil"/>
              <w:left w:val="nil"/>
              <w:bottom w:val="nil"/>
              <w:right w:val="nil"/>
            </w:tcBorders>
          </w:tcPr>
          <w:p w14:paraId="60A33E2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46</w:t>
            </w:r>
          </w:p>
        </w:tc>
        <w:tc>
          <w:tcPr>
            <w:tcW w:w="1260" w:type="dxa"/>
            <w:tcBorders>
              <w:top w:val="nil"/>
              <w:left w:val="nil"/>
              <w:bottom w:val="nil"/>
              <w:right w:val="nil"/>
            </w:tcBorders>
          </w:tcPr>
          <w:p w14:paraId="719399C1"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35</w:t>
            </w:r>
          </w:p>
        </w:tc>
        <w:tc>
          <w:tcPr>
            <w:tcW w:w="1476" w:type="dxa"/>
            <w:tcBorders>
              <w:top w:val="nil"/>
              <w:left w:val="nil"/>
              <w:bottom w:val="nil"/>
              <w:right w:val="nil"/>
            </w:tcBorders>
            <w:vAlign w:val="bottom"/>
          </w:tcPr>
          <w:p w14:paraId="467E8789"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44</w:t>
            </w:r>
          </w:p>
        </w:tc>
      </w:tr>
      <w:tr w:rsidR="009B3987" w:rsidRPr="001F426A" w14:paraId="120D2898"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65E9F723"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Too much administration</w:t>
            </w:r>
          </w:p>
        </w:tc>
        <w:tc>
          <w:tcPr>
            <w:tcW w:w="1140" w:type="dxa"/>
            <w:tcBorders>
              <w:top w:val="nil"/>
              <w:left w:val="nil"/>
              <w:bottom w:val="nil"/>
              <w:right w:val="nil"/>
            </w:tcBorders>
            <w:shd w:val="clear" w:color="auto" w:fill="auto"/>
            <w:noWrap/>
            <w:vAlign w:val="bottom"/>
            <w:hideMark/>
          </w:tcPr>
          <w:p w14:paraId="5BBADEF1"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65</w:t>
            </w:r>
          </w:p>
        </w:tc>
        <w:tc>
          <w:tcPr>
            <w:tcW w:w="1158" w:type="dxa"/>
            <w:tcBorders>
              <w:top w:val="nil"/>
              <w:left w:val="nil"/>
              <w:bottom w:val="nil"/>
              <w:right w:val="nil"/>
            </w:tcBorders>
            <w:shd w:val="clear" w:color="auto" w:fill="auto"/>
            <w:noWrap/>
            <w:vAlign w:val="bottom"/>
          </w:tcPr>
          <w:p w14:paraId="2B07AC9A"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55</w:t>
            </w:r>
          </w:p>
        </w:tc>
        <w:tc>
          <w:tcPr>
            <w:tcW w:w="1483" w:type="dxa"/>
            <w:tcBorders>
              <w:top w:val="nil"/>
              <w:left w:val="nil"/>
              <w:bottom w:val="nil"/>
              <w:right w:val="nil"/>
            </w:tcBorders>
          </w:tcPr>
          <w:p w14:paraId="60755CB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29</w:t>
            </w:r>
          </w:p>
        </w:tc>
        <w:tc>
          <w:tcPr>
            <w:tcW w:w="1663" w:type="dxa"/>
            <w:tcBorders>
              <w:top w:val="nil"/>
              <w:left w:val="nil"/>
              <w:bottom w:val="nil"/>
              <w:right w:val="nil"/>
            </w:tcBorders>
          </w:tcPr>
          <w:p w14:paraId="1173EC3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64</w:t>
            </w:r>
          </w:p>
        </w:tc>
        <w:tc>
          <w:tcPr>
            <w:tcW w:w="1260" w:type="dxa"/>
            <w:tcBorders>
              <w:top w:val="nil"/>
              <w:left w:val="nil"/>
              <w:bottom w:val="nil"/>
              <w:right w:val="nil"/>
            </w:tcBorders>
          </w:tcPr>
          <w:p w14:paraId="273907B7"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30</w:t>
            </w:r>
          </w:p>
        </w:tc>
        <w:tc>
          <w:tcPr>
            <w:tcW w:w="1476" w:type="dxa"/>
            <w:tcBorders>
              <w:top w:val="nil"/>
              <w:left w:val="nil"/>
              <w:bottom w:val="nil"/>
              <w:right w:val="nil"/>
            </w:tcBorders>
            <w:vAlign w:val="bottom"/>
          </w:tcPr>
          <w:p w14:paraId="51E9D13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49</w:t>
            </w:r>
          </w:p>
        </w:tc>
      </w:tr>
      <w:tr w:rsidR="009B3987" w:rsidRPr="001F426A" w14:paraId="28FE1BFB"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1DDB065E"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Too many lessons to teach</w:t>
            </w:r>
          </w:p>
        </w:tc>
        <w:tc>
          <w:tcPr>
            <w:tcW w:w="1140" w:type="dxa"/>
            <w:tcBorders>
              <w:top w:val="nil"/>
              <w:left w:val="nil"/>
              <w:bottom w:val="nil"/>
              <w:right w:val="nil"/>
            </w:tcBorders>
            <w:shd w:val="clear" w:color="auto" w:fill="auto"/>
            <w:noWrap/>
            <w:vAlign w:val="bottom"/>
            <w:hideMark/>
          </w:tcPr>
          <w:p w14:paraId="769011F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39</w:t>
            </w:r>
          </w:p>
        </w:tc>
        <w:tc>
          <w:tcPr>
            <w:tcW w:w="1158" w:type="dxa"/>
            <w:tcBorders>
              <w:top w:val="nil"/>
              <w:left w:val="nil"/>
              <w:bottom w:val="nil"/>
              <w:right w:val="nil"/>
            </w:tcBorders>
            <w:shd w:val="clear" w:color="auto" w:fill="auto"/>
            <w:noWrap/>
            <w:vAlign w:val="bottom"/>
          </w:tcPr>
          <w:p w14:paraId="100F5947"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25</w:t>
            </w:r>
          </w:p>
        </w:tc>
        <w:tc>
          <w:tcPr>
            <w:tcW w:w="1483" w:type="dxa"/>
            <w:tcBorders>
              <w:top w:val="nil"/>
              <w:left w:val="nil"/>
              <w:bottom w:val="nil"/>
              <w:right w:val="nil"/>
            </w:tcBorders>
          </w:tcPr>
          <w:p w14:paraId="37E0B32A"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27</w:t>
            </w:r>
          </w:p>
        </w:tc>
        <w:tc>
          <w:tcPr>
            <w:tcW w:w="1663" w:type="dxa"/>
            <w:tcBorders>
              <w:top w:val="nil"/>
              <w:left w:val="nil"/>
              <w:bottom w:val="nil"/>
              <w:right w:val="nil"/>
            </w:tcBorders>
          </w:tcPr>
          <w:p w14:paraId="424618D7"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24</w:t>
            </w:r>
          </w:p>
        </w:tc>
        <w:tc>
          <w:tcPr>
            <w:tcW w:w="1260" w:type="dxa"/>
            <w:tcBorders>
              <w:top w:val="nil"/>
              <w:left w:val="nil"/>
              <w:bottom w:val="nil"/>
              <w:right w:val="nil"/>
            </w:tcBorders>
          </w:tcPr>
          <w:p w14:paraId="1633CDF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22</w:t>
            </w:r>
          </w:p>
        </w:tc>
        <w:tc>
          <w:tcPr>
            <w:tcW w:w="1476" w:type="dxa"/>
            <w:tcBorders>
              <w:top w:val="nil"/>
              <w:left w:val="nil"/>
              <w:bottom w:val="nil"/>
              <w:right w:val="nil"/>
            </w:tcBorders>
            <w:vAlign w:val="bottom"/>
          </w:tcPr>
          <w:p w14:paraId="5C72539A"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28</w:t>
            </w:r>
          </w:p>
        </w:tc>
      </w:tr>
      <w:tr w:rsidR="009B3987" w:rsidRPr="001F426A" w14:paraId="4E62EBA1"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37842847"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Changing requirements</w:t>
            </w:r>
          </w:p>
        </w:tc>
        <w:tc>
          <w:tcPr>
            <w:tcW w:w="1140" w:type="dxa"/>
            <w:tcBorders>
              <w:top w:val="nil"/>
              <w:left w:val="nil"/>
              <w:bottom w:val="nil"/>
              <w:right w:val="nil"/>
            </w:tcBorders>
            <w:shd w:val="clear" w:color="auto" w:fill="auto"/>
            <w:noWrap/>
            <w:vAlign w:val="bottom"/>
            <w:hideMark/>
          </w:tcPr>
          <w:p w14:paraId="6409F931"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50</w:t>
            </w:r>
          </w:p>
        </w:tc>
        <w:tc>
          <w:tcPr>
            <w:tcW w:w="1158" w:type="dxa"/>
            <w:tcBorders>
              <w:top w:val="nil"/>
              <w:left w:val="nil"/>
              <w:bottom w:val="nil"/>
              <w:right w:val="nil"/>
            </w:tcBorders>
            <w:shd w:val="clear" w:color="auto" w:fill="auto"/>
            <w:noWrap/>
            <w:vAlign w:val="bottom"/>
          </w:tcPr>
          <w:p w14:paraId="6DA9BEFD"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38</w:t>
            </w:r>
          </w:p>
        </w:tc>
        <w:tc>
          <w:tcPr>
            <w:tcW w:w="1483" w:type="dxa"/>
            <w:tcBorders>
              <w:top w:val="nil"/>
              <w:left w:val="nil"/>
              <w:bottom w:val="nil"/>
              <w:right w:val="nil"/>
            </w:tcBorders>
          </w:tcPr>
          <w:p w14:paraId="2410E939"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28</w:t>
            </w:r>
          </w:p>
        </w:tc>
        <w:tc>
          <w:tcPr>
            <w:tcW w:w="1663" w:type="dxa"/>
            <w:tcBorders>
              <w:top w:val="nil"/>
              <w:left w:val="nil"/>
              <w:bottom w:val="nil"/>
              <w:right w:val="nil"/>
            </w:tcBorders>
          </w:tcPr>
          <w:p w14:paraId="37CFE62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47</w:t>
            </w:r>
          </w:p>
        </w:tc>
        <w:tc>
          <w:tcPr>
            <w:tcW w:w="1260" w:type="dxa"/>
            <w:tcBorders>
              <w:top w:val="nil"/>
              <w:left w:val="nil"/>
              <w:bottom w:val="nil"/>
              <w:right w:val="nil"/>
            </w:tcBorders>
          </w:tcPr>
          <w:p w14:paraId="3DBE4E93"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32</w:t>
            </w:r>
          </w:p>
        </w:tc>
        <w:tc>
          <w:tcPr>
            <w:tcW w:w="1476" w:type="dxa"/>
            <w:tcBorders>
              <w:top w:val="nil"/>
              <w:left w:val="nil"/>
              <w:bottom w:val="nil"/>
              <w:right w:val="nil"/>
            </w:tcBorders>
            <w:vAlign w:val="bottom"/>
          </w:tcPr>
          <w:p w14:paraId="48D92B67"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41</w:t>
            </w:r>
          </w:p>
        </w:tc>
      </w:tr>
      <w:tr w:rsidR="009B3987" w:rsidRPr="001F426A" w14:paraId="21C354BA"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43F657D4"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Too much lesson preparation</w:t>
            </w:r>
          </w:p>
        </w:tc>
        <w:tc>
          <w:tcPr>
            <w:tcW w:w="1140" w:type="dxa"/>
            <w:tcBorders>
              <w:top w:val="nil"/>
              <w:left w:val="nil"/>
              <w:bottom w:val="nil"/>
              <w:right w:val="nil"/>
            </w:tcBorders>
            <w:shd w:val="clear" w:color="auto" w:fill="auto"/>
            <w:noWrap/>
            <w:vAlign w:val="bottom"/>
            <w:hideMark/>
          </w:tcPr>
          <w:p w14:paraId="5C943FC6"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41</w:t>
            </w:r>
          </w:p>
        </w:tc>
        <w:tc>
          <w:tcPr>
            <w:tcW w:w="1158" w:type="dxa"/>
            <w:tcBorders>
              <w:top w:val="nil"/>
              <w:left w:val="nil"/>
              <w:bottom w:val="nil"/>
              <w:right w:val="nil"/>
            </w:tcBorders>
            <w:shd w:val="clear" w:color="auto" w:fill="auto"/>
            <w:noWrap/>
            <w:vAlign w:val="bottom"/>
          </w:tcPr>
          <w:p w14:paraId="3E5F6E0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30</w:t>
            </w:r>
          </w:p>
        </w:tc>
        <w:tc>
          <w:tcPr>
            <w:tcW w:w="1483" w:type="dxa"/>
            <w:tcBorders>
              <w:top w:val="nil"/>
              <w:left w:val="nil"/>
              <w:bottom w:val="nil"/>
              <w:right w:val="nil"/>
            </w:tcBorders>
          </w:tcPr>
          <w:p w14:paraId="6E0C562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33</w:t>
            </w:r>
          </w:p>
        </w:tc>
        <w:tc>
          <w:tcPr>
            <w:tcW w:w="1663" w:type="dxa"/>
            <w:tcBorders>
              <w:top w:val="nil"/>
              <w:left w:val="nil"/>
              <w:bottom w:val="nil"/>
              <w:right w:val="nil"/>
            </w:tcBorders>
          </w:tcPr>
          <w:p w14:paraId="6A5334E5"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29</w:t>
            </w:r>
          </w:p>
        </w:tc>
        <w:tc>
          <w:tcPr>
            <w:tcW w:w="1260" w:type="dxa"/>
            <w:tcBorders>
              <w:top w:val="nil"/>
              <w:left w:val="nil"/>
              <w:bottom w:val="nil"/>
              <w:right w:val="nil"/>
            </w:tcBorders>
          </w:tcPr>
          <w:p w14:paraId="15211DB8"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29</w:t>
            </w:r>
          </w:p>
        </w:tc>
        <w:tc>
          <w:tcPr>
            <w:tcW w:w="1476" w:type="dxa"/>
            <w:tcBorders>
              <w:top w:val="nil"/>
              <w:left w:val="nil"/>
              <w:bottom w:val="nil"/>
              <w:right w:val="nil"/>
            </w:tcBorders>
            <w:vAlign w:val="bottom"/>
          </w:tcPr>
          <w:p w14:paraId="327DDE3B"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33</w:t>
            </w:r>
          </w:p>
        </w:tc>
      </w:tr>
      <w:tr w:rsidR="009B3987" w:rsidRPr="001F426A" w14:paraId="13F94EAF"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5D962E7F"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Extra duties due to absent teachers</w:t>
            </w:r>
          </w:p>
        </w:tc>
        <w:tc>
          <w:tcPr>
            <w:tcW w:w="1140" w:type="dxa"/>
            <w:tcBorders>
              <w:top w:val="nil"/>
              <w:left w:val="nil"/>
              <w:bottom w:val="nil"/>
              <w:right w:val="nil"/>
            </w:tcBorders>
            <w:shd w:val="clear" w:color="auto" w:fill="auto"/>
            <w:noWrap/>
            <w:vAlign w:val="bottom"/>
            <w:hideMark/>
          </w:tcPr>
          <w:p w14:paraId="6582B08D"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29</w:t>
            </w:r>
          </w:p>
        </w:tc>
        <w:tc>
          <w:tcPr>
            <w:tcW w:w="1158" w:type="dxa"/>
            <w:tcBorders>
              <w:top w:val="nil"/>
              <w:left w:val="nil"/>
              <w:bottom w:val="nil"/>
              <w:right w:val="nil"/>
            </w:tcBorders>
            <w:shd w:val="clear" w:color="auto" w:fill="auto"/>
            <w:noWrap/>
            <w:vAlign w:val="bottom"/>
          </w:tcPr>
          <w:p w14:paraId="61BBF91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24</w:t>
            </w:r>
          </w:p>
        </w:tc>
        <w:tc>
          <w:tcPr>
            <w:tcW w:w="1483" w:type="dxa"/>
            <w:tcBorders>
              <w:top w:val="nil"/>
              <w:left w:val="nil"/>
              <w:bottom w:val="nil"/>
              <w:right w:val="nil"/>
            </w:tcBorders>
          </w:tcPr>
          <w:p w14:paraId="034F1E4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12</w:t>
            </w:r>
          </w:p>
        </w:tc>
        <w:tc>
          <w:tcPr>
            <w:tcW w:w="1663" w:type="dxa"/>
            <w:tcBorders>
              <w:top w:val="nil"/>
              <w:left w:val="nil"/>
              <w:bottom w:val="nil"/>
              <w:right w:val="nil"/>
            </w:tcBorders>
          </w:tcPr>
          <w:p w14:paraId="0D4A45F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23</w:t>
            </w:r>
          </w:p>
        </w:tc>
        <w:tc>
          <w:tcPr>
            <w:tcW w:w="1260" w:type="dxa"/>
            <w:tcBorders>
              <w:top w:val="nil"/>
              <w:left w:val="nil"/>
              <w:bottom w:val="nil"/>
              <w:right w:val="nil"/>
            </w:tcBorders>
          </w:tcPr>
          <w:p w14:paraId="756BE8D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13</w:t>
            </w:r>
          </w:p>
        </w:tc>
        <w:tc>
          <w:tcPr>
            <w:tcW w:w="1476" w:type="dxa"/>
            <w:tcBorders>
              <w:top w:val="nil"/>
              <w:left w:val="nil"/>
              <w:bottom w:val="nil"/>
              <w:right w:val="nil"/>
            </w:tcBorders>
            <w:vAlign w:val="bottom"/>
          </w:tcPr>
          <w:p w14:paraId="47D00FC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25</w:t>
            </w:r>
          </w:p>
        </w:tc>
      </w:tr>
      <w:tr w:rsidR="009B3987" w:rsidRPr="001F426A" w14:paraId="37E5C740"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5E4C54CE"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Abuse from pupils</w:t>
            </w:r>
          </w:p>
        </w:tc>
        <w:tc>
          <w:tcPr>
            <w:tcW w:w="1140" w:type="dxa"/>
            <w:tcBorders>
              <w:top w:val="nil"/>
              <w:left w:val="nil"/>
              <w:bottom w:val="nil"/>
              <w:right w:val="nil"/>
            </w:tcBorders>
            <w:shd w:val="clear" w:color="auto" w:fill="auto"/>
            <w:noWrap/>
            <w:vAlign w:val="bottom"/>
            <w:hideMark/>
          </w:tcPr>
          <w:p w14:paraId="315E5CB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13</w:t>
            </w:r>
          </w:p>
        </w:tc>
        <w:tc>
          <w:tcPr>
            <w:tcW w:w="1158" w:type="dxa"/>
            <w:tcBorders>
              <w:top w:val="nil"/>
              <w:left w:val="nil"/>
              <w:bottom w:val="nil"/>
              <w:right w:val="nil"/>
            </w:tcBorders>
            <w:shd w:val="clear" w:color="auto" w:fill="auto"/>
            <w:noWrap/>
            <w:vAlign w:val="bottom"/>
          </w:tcPr>
          <w:p w14:paraId="0C18D32C"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13</w:t>
            </w:r>
          </w:p>
        </w:tc>
        <w:tc>
          <w:tcPr>
            <w:tcW w:w="1483" w:type="dxa"/>
            <w:tcBorders>
              <w:top w:val="nil"/>
              <w:left w:val="nil"/>
              <w:bottom w:val="nil"/>
              <w:right w:val="nil"/>
            </w:tcBorders>
          </w:tcPr>
          <w:p w14:paraId="2F69F2E9"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6</w:t>
            </w:r>
          </w:p>
        </w:tc>
        <w:tc>
          <w:tcPr>
            <w:tcW w:w="1663" w:type="dxa"/>
            <w:tcBorders>
              <w:top w:val="nil"/>
              <w:left w:val="nil"/>
              <w:bottom w:val="nil"/>
              <w:right w:val="nil"/>
            </w:tcBorders>
          </w:tcPr>
          <w:p w14:paraId="0E98A9C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12</w:t>
            </w:r>
          </w:p>
        </w:tc>
        <w:tc>
          <w:tcPr>
            <w:tcW w:w="1260" w:type="dxa"/>
            <w:tcBorders>
              <w:top w:val="nil"/>
              <w:left w:val="nil"/>
              <w:bottom w:val="nil"/>
              <w:right w:val="nil"/>
            </w:tcBorders>
          </w:tcPr>
          <w:p w14:paraId="11B584DF"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11</w:t>
            </w:r>
          </w:p>
        </w:tc>
        <w:tc>
          <w:tcPr>
            <w:tcW w:w="1476" w:type="dxa"/>
            <w:tcBorders>
              <w:top w:val="nil"/>
              <w:left w:val="nil"/>
              <w:bottom w:val="nil"/>
              <w:right w:val="nil"/>
            </w:tcBorders>
            <w:vAlign w:val="bottom"/>
          </w:tcPr>
          <w:p w14:paraId="7BB7091E"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14</w:t>
            </w:r>
          </w:p>
        </w:tc>
      </w:tr>
      <w:tr w:rsidR="009B3987" w:rsidRPr="001F426A" w14:paraId="10586936"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0519A5C4"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Maintaining classroom discipline</w:t>
            </w:r>
          </w:p>
        </w:tc>
        <w:tc>
          <w:tcPr>
            <w:tcW w:w="1140" w:type="dxa"/>
            <w:tcBorders>
              <w:top w:val="nil"/>
              <w:left w:val="nil"/>
              <w:bottom w:val="nil"/>
              <w:right w:val="nil"/>
            </w:tcBorders>
            <w:shd w:val="clear" w:color="auto" w:fill="auto"/>
            <w:noWrap/>
            <w:vAlign w:val="bottom"/>
            <w:hideMark/>
          </w:tcPr>
          <w:p w14:paraId="43F8F691"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31</w:t>
            </w:r>
          </w:p>
        </w:tc>
        <w:tc>
          <w:tcPr>
            <w:tcW w:w="1158" w:type="dxa"/>
            <w:tcBorders>
              <w:top w:val="nil"/>
              <w:left w:val="nil"/>
              <w:bottom w:val="nil"/>
              <w:right w:val="nil"/>
            </w:tcBorders>
            <w:shd w:val="clear" w:color="auto" w:fill="auto"/>
            <w:noWrap/>
            <w:vAlign w:val="bottom"/>
          </w:tcPr>
          <w:p w14:paraId="4117F28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28</w:t>
            </w:r>
          </w:p>
        </w:tc>
        <w:tc>
          <w:tcPr>
            <w:tcW w:w="1483" w:type="dxa"/>
            <w:tcBorders>
              <w:top w:val="nil"/>
              <w:left w:val="nil"/>
              <w:bottom w:val="nil"/>
              <w:right w:val="nil"/>
            </w:tcBorders>
          </w:tcPr>
          <w:p w14:paraId="4EBF83A0"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28</w:t>
            </w:r>
          </w:p>
        </w:tc>
        <w:tc>
          <w:tcPr>
            <w:tcW w:w="1663" w:type="dxa"/>
            <w:tcBorders>
              <w:top w:val="nil"/>
              <w:left w:val="nil"/>
              <w:bottom w:val="nil"/>
              <w:right w:val="nil"/>
            </w:tcBorders>
          </w:tcPr>
          <w:p w14:paraId="24296A8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30</w:t>
            </w:r>
          </w:p>
        </w:tc>
        <w:tc>
          <w:tcPr>
            <w:tcW w:w="1260" w:type="dxa"/>
            <w:tcBorders>
              <w:top w:val="nil"/>
              <w:left w:val="nil"/>
              <w:bottom w:val="nil"/>
              <w:right w:val="nil"/>
            </w:tcBorders>
          </w:tcPr>
          <w:p w14:paraId="63E8182D"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32</w:t>
            </w:r>
          </w:p>
        </w:tc>
        <w:tc>
          <w:tcPr>
            <w:tcW w:w="1476" w:type="dxa"/>
            <w:tcBorders>
              <w:top w:val="nil"/>
              <w:left w:val="nil"/>
              <w:bottom w:val="nil"/>
              <w:right w:val="nil"/>
            </w:tcBorders>
            <w:vAlign w:val="bottom"/>
          </w:tcPr>
          <w:p w14:paraId="59F46876"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38</w:t>
            </w:r>
          </w:p>
        </w:tc>
      </w:tr>
      <w:tr w:rsidR="009B3987" w:rsidRPr="001F426A" w14:paraId="58E59D84" w14:textId="77777777" w:rsidTr="00141B6D">
        <w:trPr>
          <w:trHeight w:val="255"/>
          <w:jc w:val="center"/>
        </w:trPr>
        <w:tc>
          <w:tcPr>
            <w:tcW w:w="5046" w:type="dxa"/>
            <w:tcBorders>
              <w:top w:val="nil"/>
              <w:left w:val="nil"/>
              <w:bottom w:val="nil"/>
              <w:right w:val="nil"/>
            </w:tcBorders>
            <w:shd w:val="clear" w:color="auto" w:fill="auto"/>
            <w:noWrap/>
            <w:vAlign w:val="bottom"/>
            <w:hideMark/>
          </w:tcPr>
          <w:p w14:paraId="2AC8F723"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Addressing parent concerns</w:t>
            </w:r>
          </w:p>
        </w:tc>
        <w:tc>
          <w:tcPr>
            <w:tcW w:w="1140" w:type="dxa"/>
            <w:tcBorders>
              <w:top w:val="nil"/>
              <w:left w:val="nil"/>
              <w:bottom w:val="nil"/>
              <w:right w:val="nil"/>
            </w:tcBorders>
            <w:shd w:val="clear" w:color="auto" w:fill="auto"/>
            <w:noWrap/>
            <w:vAlign w:val="bottom"/>
            <w:hideMark/>
          </w:tcPr>
          <w:p w14:paraId="7ABDCE3B"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26</w:t>
            </w:r>
          </w:p>
        </w:tc>
        <w:tc>
          <w:tcPr>
            <w:tcW w:w="1158" w:type="dxa"/>
            <w:tcBorders>
              <w:top w:val="nil"/>
              <w:left w:val="nil"/>
              <w:bottom w:val="nil"/>
              <w:right w:val="nil"/>
            </w:tcBorders>
            <w:shd w:val="clear" w:color="auto" w:fill="auto"/>
            <w:noWrap/>
            <w:vAlign w:val="bottom"/>
          </w:tcPr>
          <w:p w14:paraId="5E9DA970"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24</w:t>
            </w:r>
          </w:p>
        </w:tc>
        <w:tc>
          <w:tcPr>
            <w:tcW w:w="1483" w:type="dxa"/>
            <w:tcBorders>
              <w:top w:val="nil"/>
              <w:left w:val="nil"/>
              <w:bottom w:val="nil"/>
              <w:right w:val="nil"/>
            </w:tcBorders>
          </w:tcPr>
          <w:p w14:paraId="617A1F3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27</w:t>
            </w:r>
          </w:p>
        </w:tc>
        <w:tc>
          <w:tcPr>
            <w:tcW w:w="1663" w:type="dxa"/>
            <w:tcBorders>
              <w:top w:val="nil"/>
              <w:left w:val="nil"/>
              <w:bottom w:val="nil"/>
              <w:right w:val="nil"/>
            </w:tcBorders>
          </w:tcPr>
          <w:p w14:paraId="250BEEDA"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26</w:t>
            </w:r>
          </w:p>
        </w:tc>
        <w:tc>
          <w:tcPr>
            <w:tcW w:w="1260" w:type="dxa"/>
            <w:tcBorders>
              <w:top w:val="nil"/>
              <w:left w:val="nil"/>
              <w:bottom w:val="nil"/>
              <w:right w:val="nil"/>
            </w:tcBorders>
          </w:tcPr>
          <w:p w14:paraId="55D6D65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20</w:t>
            </w:r>
          </w:p>
        </w:tc>
        <w:tc>
          <w:tcPr>
            <w:tcW w:w="1476" w:type="dxa"/>
            <w:tcBorders>
              <w:top w:val="nil"/>
              <w:left w:val="nil"/>
              <w:bottom w:val="nil"/>
              <w:right w:val="nil"/>
            </w:tcBorders>
            <w:vAlign w:val="bottom"/>
          </w:tcPr>
          <w:p w14:paraId="2DE8D950"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34</w:t>
            </w:r>
          </w:p>
        </w:tc>
      </w:tr>
      <w:tr w:rsidR="009B3987" w:rsidRPr="001F426A" w14:paraId="5E95722A" w14:textId="77777777" w:rsidTr="00141B6D">
        <w:trPr>
          <w:trHeight w:val="255"/>
          <w:jc w:val="center"/>
        </w:trPr>
        <w:tc>
          <w:tcPr>
            <w:tcW w:w="5046" w:type="dxa"/>
            <w:tcBorders>
              <w:top w:val="nil"/>
              <w:left w:val="nil"/>
              <w:bottom w:val="single" w:sz="4" w:space="0" w:color="auto"/>
              <w:right w:val="nil"/>
            </w:tcBorders>
            <w:shd w:val="clear" w:color="auto" w:fill="auto"/>
            <w:noWrap/>
            <w:vAlign w:val="bottom"/>
            <w:hideMark/>
          </w:tcPr>
          <w:p w14:paraId="7BD8A76B" w14:textId="77777777" w:rsidR="009B3987" w:rsidRPr="001F426A" w:rsidRDefault="009B3987" w:rsidP="00141B6D">
            <w:pPr>
              <w:spacing w:after="0" w:line="240" w:lineRule="auto"/>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Modifying lessons for SEN pupils</w:t>
            </w:r>
          </w:p>
        </w:tc>
        <w:tc>
          <w:tcPr>
            <w:tcW w:w="1140" w:type="dxa"/>
            <w:tcBorders>
              <w:top w:val="nil"/>
              <w:left w:val="nil"/>
              <w:bottom w:val="single" w:sz="4" w:space="0" w:color="auto"/>
              <w:right w:val="nil"/>
            </w:tcBorders>
            <w:shd w:val="clear" w:color="auto" w:fill="auto"/>
            <w:noWrap/>
            <w:vAlign w:val="bottom"/>
            <w:hideMark/>
          </w:tcPr>
          <w:p w14:paraId="419BA53D"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19</w:t>
            </w:r>
          </w:p>
        </w:tc>
        <w:tc>
          <w:tcPr>
            <w:tcW w:w="1158" w:type="dxa"/>
            <w:tcBorders>
              <w:top w:val="nil"/>
              <w:left w:val="nil"/>
              <w:bottom w:val="single" w:sz="4" w:space="0" w:color="auto"/>
              <w:right w:val="nil"/>
            </w:tcBorders>
            <w:shd w:val="clear" w:color="auto" w:fill="auto"/>
            <w:noWrap/>
            <w:vAlign w:val="bottom"/>
          </w:tcPr>
          <w:p w14:paraId="0B1EE842"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25</w:t>
            </w:r>
          </w:p>
        </w:tc>
        <w:tc>
          <w:tcPr>
            <w:tcW w:w="1483" w:type="dxa"/>
            <w:tcBorders>
              <w:top w:val="nil"/>
              <w:left w:val="nil"/>
              <w:bottom w:val="single" w:sz="4" w:space="0" w:color="auto"/>
              <w:right w:val="nil"/>
            </w:tcBorders>
          </w:tcPr>
          <w:p w14:paraId="3BC0F050"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37</w:t>
            </w:r>
          </w:p>
        </w:tc>
        <w:tc>
          <w:tcPr>
            <w:tcW w:w="1663" w:type="dxa"/>
            <w:tcBorders>
              <w:top w:val="nil"/>
              <w:left w:val="nil"/>
              <w:bottom w:val="single" w:sz="4" w:space="0" w:color="auto"/>
              <w:right w:val="nil"/>
            </w:tcBorders>
          </w:tcPr>
          <w:p w14:paraId="73CFF9B6"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19</w:t>
            </w:r>
          </w:p>
        </w:tc>
        <w:tc>
          <w:tcPr>
            <w:tcW w:w="1260" w:type="dxa"/>
            <w:tcBorders>
              <w:top w:val="nil"/>
              <w:left w:val="nil"/>
              <w:bottom w:val="single" w:sz="4" w:space="0" w:color="auto"/>
              <w:right w:val="nil"/>
            </w:tcBorders>
          </w:tcPr>
          <w:p w14:paraId="0CABB45B"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22</w:t>
            </w:r>
          </w:p>
        </w:tc>
        <w:tc>
          <w:tcPr>
            <w:tcW w:w="1476" w:type="dxa"/>
            <w:tcBorders>
              <w:top w:val="nil"/>
              <w:left w:val="nil"/>
              <w:bottom w:val="single" w:sz="4" w:space="0" w:color="auto"/>
              <w:right w:val="nil"/>
            </w:tcBorders>
            <w:vAlign w:val="bottom"/>
          </w:tcPr>
          <w:p w14:paraId="3232B6A4" w14:textId="77777777" w:rsidR="009B3987" w:rsidRPr="001F426A" w:rsidRDefault="009B3987" w:rsidP="00141B6D">
            <w:pPr>
              <w:spacing w:after="0" w:line="240" w:lineRule="auto"/>
              <w:jc w:val="center"/>
              <w:rPr>
                <w:rFonts w:ascii="Times New Roman" w:eastAsia="Times New Roman" w:hAnsi="Times New Roman" w:cs="Times New Roman"/>
                <w:lang w:eastAsia="en-GB"/>
              </w:rPr>
            </w:pPr>
            <w:r w:rsidRPr="001F426A">
              <w:rPr>
                <w:rFonts w:ascii="Times New Roman" w:eastAsia="Times New Roman" w:hAnsi="Times New Roman" w:cs="Times New Roman"/>
                <w:lang w:eastAsia="en-GB"/>
              </w:rPr>
              <w:t>31</w:t>
            </w:r>
          </w:p>
        </w:tc>
      </w:tr>
    </w:tbl>
    <w:p w14:paraId="2649A521" w14:textId="4AD3CA30" w:rsidR="009B3987" w:rsidRPr="00DD2C57" w:rsidRDefault="009B3987" w:rsidP="009B3987">
      <w:pPr>
        <w:rPr>
          <w:rFonts w:ascii="Times New Roman" w:hAnsi="Times New Roman" w:cs="Times New Roman"/>
          <w:b/>
          <w:sz w:val="20"/>
          <w:szCs w:val="20"/>
        </w:rPr>
      </w:pPr>
      <w:r>
        <w:rPr>
          <w:rFonts w:ascii="Times New Roman" w:hAnsi="Times New Roman" w:cs="Times New Roman"/>
          <w:bCs/>
          <w:sz w:val="20"/>
          <w:szCs w:val="20"/>
        </w:rPr>
        <w:t xml:space="preserve">Notes: </w:t>
      </w:r>
      <w:r w:rsidRPr="005E3040">
        <w:rPr>
          <w:rFonts w:ascii="Times New Roman" w:hAnsi="Times New Roman" w:cs="Times New Roman"/>
          <w:bCs/>
          <w:sz w:val="20"/>
          <w:szCs w:val="20"/>
        </w:rPr>
        <w:t xml:space="preserve">Figures refer to the percentage of </w:t>
      </w:r>
      <w:proofErr w:type="spellStart"/>
      <w:r>
        <w:rPr>
          <w:rFonts w:ascii="Times New Roman" w:hAnsi="Times New Roman" w:cs="Times New Roman"/>
          <w:bCs/>
          <w:sz w:val="20"/>
          <w:szCs w:val="20"/>
        </w:rPr>
        <w:t>head</w:t>
      </w:r>
      <w:r w:rsidRPr="005E3040">
        <w:rPr>
          <w:rFonts w:ascii="Times New Roman" w:hAnsi="Times New Roman" w:cs="Times New Roman"/>
          <w:bCs/>
          <w:sz w:val="20"/>
          <w:szCs w:val="20"/>
        </w:rPr>
        <w:t>teachers</w:t>
      </w:r>
      <w:proofErr w:type="spellEnd"/>
      <w:r w:rsidRPr="005E3040">
        <w:rPr>
          <w:rFonts w:ascii="Times New Roman" w:hAnsi="Times New Roman" w:cs="Times New Roman"/>
          <w:bCs/>
          <w:sz w:val="20"/>
          <w:szCs w:val="20"/>
        </w:rPr>
        <w:t xml:space="preserve"> in each </w:t>
      </w:r>
      <w:r w:rsidR="008B4E20">
        <w:rPr>
          <w:rFonts w:ascii="Times New Roman" w:hAnsi="Times New Roman" w:cs="Times New Roman"/>
          <w:bCs/>
          <w:sz w:val="20"/>
          <w:szCs w:val="20"/>
        </w:rPr>
        <w:t>jurisdiction</w:t>
      </w:r>
      <w:r w:rsidRPr="005E3040">
        <w:rPr>
          <w:rFonts w:ascii="Times New Roman" w:hAnsi="Times New Roman" w:cs="Times New Roman"/>
          <w:bCs/>
          <w:sz w:val="20"/>
          <w:szCs w:val="20"/>
        </w:rPr>
        <w:t xml:space="preserve"> who indicated each task caused them either ‘quite a bit’ or ‘a lot’ of stress. </w:t>
      </w:r>
      <w:r w:rsidRPr="005E3040">
        <w:rPr>
          <w:rFonts w:ascii="Times New Roman" w:hAnsi="Times New Roman" w:cs="Times New Roman"/>
          <w:sz w:val="20"/>
          <w:szCs w:val="20"/>
        </w:rPr>
        <w:t xml:space="preserve">TALIS average for primary is the </w:t>
      </w:r>
      <w:r w:rsidRPr="00DD2C57">
        <w:rPr>
          <w:rFonts w:ascii="Times New Roman" w:hAnsi="Times New Roman" w:cs="Times New Roman"/>
          <w:sz w:val="20"/>
          <w:szCs w:val="20"/>
        </w:rPr>
        <w:t>average across the 15 countries with data available. OECD average for lower-secondary is the average across the OECD countries that participated in TALIS 2018. Source = authors’ analysis of TALIS 2018 data.</w:t>
      </w:r>
    </w:p>
    <w:p w14:paraId="72509DBB" w14:textId="77777777" w:rsidR="009B3987" w:rsidRDefault="009B3987" w:rsidP="009B3987">
      <w:pPr>
        <w:rPr>
          <w:rFonts w:ascii="Times New Roman" w:hAnsi="Times New Roman" w:cs="Times New Roman"/>
          <w:b/>
          <w:sz w:val="24"/>
          <w:szCs w:val="24"/>
        </w:rPr>
        <w:sectPr w:rsidR="009B3987" w:rsidSect="00141B6D">
          <w:pgSz w:w="16838" w:h="11906" w:orient="landscape"/>
          <w:pgMar w:top="1440" w:right="1440" w:bottom="1440" w:left="1440" w:header="708" w:footer="708" w:gutter="0"/>
          <w:cols w:space="708"/>
          <w:docGrid w:linePitch="360"/>
        </w:sectPr>
      </w:pPr>
    </w:p>
    <w:p w14:paraId="19BFF85C" w14:textId="2AE1317D" w:rsidR="009B3987" w:rsidRDefault="009B3987" w:rsidP="009B3987">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Figure 2.2 Cross-national comparison of accountability and marking of sources of stress amongst </w:t>
      </w:r>
      <w:r w:rsidRPr="0022518D">
        <w:rPr>
          <w:rFonts w:ascii="Times New Roman" w:hAnsi="Times New Roman" w:cs="Times New Roman"/>
          <w:b/>
          <w:i/>
          <w:sz w:val="24"/>
          <w:szCs w:val="24"/>
          <w:u w:val="single"/>
        </w:rPr>
        <w:t>teachers</w:t>
      </w:r>
      <w:r>
        <w:rPr>
          <w:rFonts w:ascii="Times New Roman" w:hAnsi="Times New Roman" w:cs="Times New Roman"/>
          <w:b/>
          <w:sz w:val="24"/>
          <w:szCs w:val="24"/>
        </w:rPr>
        <w:t xml:space="preserve"> in England</w:t>
      </w:r>
    </w:p>
    <w:p w14:paraId="1C345716" w14:textId="77777777" w:rsidR="00015239" w:rsidRDefault="00015239" w:rsidP="009B3987">
      <w:pPr>
        <w:spacing w:after="0"/>
        <w:jc w:val="center"/>
        <w:rPr>
          <w:rFonts w:ascii="Times New Roman" w:hAnsi="Times New Roman" w:cs="Times New Roman"/>
          <w:b/>
          <w:sz w:val="24"/>
          <w:szCs w:val="24"/>
        </w:rPr>
      </w:pPr>
    </w:p>
    <w:p w14:paraId="74A7AAC6" w14:textId="77777777" w:rsidR="009B3987" w:rsidRPr="00CA0415" w:rsidRDefault="009B3987" w:rsidP="00697230">
      <w:pPr>
        <w:pStyle w:val="ListParagraph"/>
        <w:numPr>
          <w:ilvl w:val="0"/>
          <w:numId w:val="4"/>
        </w:numPr>
        <w:spacing w:after="0" w:line="259" w:lineRule="auto"/>
        <w:rPr>
          <w:rFonts w:ascii="Times New Roman" w:hAnsi="Times New Roman" w:cs="Times New Roman"/>
          <w:b/>
          <w:sz w:val="24"/>
          <w:szCs w:val="24"/>
        </w:rPr>
      </w:pPr>
      <w:r>
        <w:rPr>
          <w:rFonts w:ascii="Times New Roman" w:hAnsi="Times New Roman" w:cs="Times New Roman"/>
          <w:b/>
          <w:sz w:val="24"/>
          <w:szCs w:val="24"/>
        </w:rPr>
        <w:t>Primary</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(b) Secondary</w:t>
      </w:r>
    </w:p>
    <w:p w14:paraId="5F4F6776" w14:textId="41321E72" w:rsidR="009B3987" w:rsidRPr="00CB5C96" w:rsidRDefault="009B3987" w:rsidP="009B3987">
      <w:pPr>
        <w:jc w:val="both"/>
        <w:rPr>
          <w:rFonts w:ascii="Times New Roman" w:hAnsi="Times New Roman" w:cs="Times New Roman"/>
          <w:b/>
          <w:sz w:val="24"/>
          <w:szCs w:val="24"/>
        </w:rPr>
      </w:pPr>
      <w:r w:rsidRPr="009D05DA">
        <w:rPr>
          <w:rFonts w:ascii="Times New Roman" w:hAnsi="Times New Roman" w:cs="Times New Roman"/>
          <w:b/>
          <w:noProof/>
          <w:sz w:val="24"/>
          <w:szCs w:val="24"/>
          <w:lang w:eastAsia="en-GB"/>
        </w:rPr>
        <w:drawing>
          <wp:inline distT="0" distB="0" distL="0" distR="0" wp14:anchorId="30B625D5" wp14:editId="342E1B08">
            <wp:extent cx="4238625" cy="42386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238625" cy="4238625"/>
                    </a:xfrm>
                    <a:prstGeom prst="rect">
                      <a:avLst/>
                    </a:prstGeom>
                    <a:noFill/>
                    <a:ln>
                      <a:noFill/>
                    </a:ln>
                  </pic:spPr>
                </pic:pic>
              </a:graphicData>
            </a:graphic>
          </wp:inline>
        </w:drawing>
      </w:r>
      <w:r w:rsidRPr="008E1C6F">
        <w:rPr>
          <w:rFonts w:ascii="Times New Roman" w:hAnsi="Times New Roman" w:cs="Times New Roman"/>
          <w:b/>
          <w:sz w:val="24"/>
          <w:szCs w:val="24"/>
        </w:rPr>
        <w:t xml:space="preserve"> </w:t>
      </w:r>
      <w:r w:rsidRPr="008E1C6F">
        <w:rPr>
          <w:rFonts w:ascii="Times New Roman" w:hAnsi="Times New Roman" w:cs="Times New Roman"/>
          <w:b/>
          <w:noProof/>
          <w:sz w:val="24"/>
          <w:szCs w:val="24"/>
          <w:lang w:eastAsia="en-GB"/>
        </w:rPr>
        <w:drawing>
          <wp:inline distT="0" distB="0" distL="0" distR="0" wp14:anchorId="73BCAA92" wp14:editId="50226FAA">
            <wp:extent cx="4238625" cy="42386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238625" cy="4238625"/>
                    </a:xfrm>
                    <a:prstGeom prst="rect">
                      <a:avLst/>
                    </a:prstGeom>
                    <a:noFill/>
                    <a:ln>
                      <a:noFill/>
                    </a:ln>
                  </pic:spPr>
                </pic:pic>
              </a:graphicData>
            </a:graphic>
          </wp:inline>
        </w:drawing>
      </w:r>
      <w:r w:rsidRPr="00DD2C57">
        <w:rPr>
          <w:rFonts w:ascii="Times New Roman" w:hAnsi="Times New Roman" w:cs="Times New Roman"/>
          <w:sz w:val="21"/>
          <w:szCs w:val="21"/>
        </w:rPr>
        <w:t>Notes: Figures refer to the percentage of teachers who responded either ‘quite a bit’ or ‘a lot’. Dashed line illustrates the ordinary least squares line-of-best-fit. A steeper line illustrates a stronger cross-country relationship. Red diamonds = high-performing countries, green triangles = low-performing countries, blue circles = countries with similar performance to England, black squares = English-speaking countries</w:t>
      </w:r>
      <w:r>
        <w:rPr>
          <w:rFonts w:ascii="Times New Roman" w:hAnsi="Times New Roman" w:cs="Times New Roman"/>
          <w:sz w:val="21"/>
          <w:szCs w:val="21"/>
        </w:rPr>
        <w:t xml:space="preserve"> (see Jerrim and</w:t>
      </w:r>
      <w:r w:rsidR="00235BDF">
        <w:rPr>
          <w:rFonts w:ascii="Times New Roman" w:hAnsi="Times New Roman" w:cs="Times New Roman"/>
          <w:sz w:val="21"/>
          <w:szCs w:val="21"/>
        </w:rPr>
        <w:t xml:space="preserve"> </w:t>
      </w:r>
      <w:r>
        <w:rPr>
          <w:rFonts w:ascii="Times New Roman" w:hAnsi="Times New Roman" w:cs="Times New Roman"/>
          <w:sz w:val="21"/>
          <w:szCs w:val="21"/>
        </w:rPr>
        <w:t>Sims</w:t>
      </w:r>
      <w:r w:rsidR="00DD0FF9">
        <w:rPr>
          <w:rFonts w:ascii="Times New Roman" w:hAnsi="Times New Roman" w:cs="Times New Roman"/>
          <w:sz w:val="21"/>
          <w:szCs w:val="21"/>
        </w:rPr>
        <w:t>,</w:t>
      </w:r>
      <w:r>
        <w:rPr>
          <w:rFonts w:ascii="Times New Roman" w:hAnsi="Times New Roman" w:cs="Times New Roman"/>
          <w:sz w:val="21"/>
          <w:szCs w:val="21"/>
        </w:rPr>
        <w:t xml:space="preserve"> 2020a for further details)</w:t>
      </w:r>
      <w:r w:rsidRPr="001D4B73">
        <w:rPr>
          <w:rFonts w:ascii="Times New Roman" w:hAnsi="Times New Roman" w:cs="Times New Roman"/>
          <w:sz w:val="21"/>
          <w:szCs w:val="21"/>
        </w:rPr>
        <w:t>.</w:t>
      </w:r>
      <w:r w:rsidRPr="00DD2C57">
        <w:rPr>
          <w:rFonts w:ascii="Times New Roman" w:hAnsi="Times New Roman" w:cs="Times New Roman"/>
          <w:sz w:val="21"/>
          <w:szCs w:val="21"/>
        </w:rPr>
        <w:t xml:space="preserve"> Source = authors’ analysis of TALIS 2018 data for England.</w:t>
      </w:r>
    </w:p>
    <w:p w14:paraId="04410BB0" w14:textId="77777777" w:rsidR="009B3987" w:rsidRDefault="009B3987" w:rsidP="009B3987">
      <w:pPr>
        <w:spacing w:line="360" w:lineRule="auto"/>
        <w:jc w:val="both"/>
        <w:rPr>
          <w:rFonts w:ascii="Times New Roman" w:hAnsi="Times New Roman" w:cs="Times New Roman"/>
          <w:bCs/>
          <w:sz w:val="24"/>
          <w:szCs w:val="24"/>
        </w:rPr>
        <w:sectPr w:rsidR="009B3987" w:rsidSect="00141B6D">
          <w:pgSz w:w="16838" w:h="11906" w:orient="landscape"/>
          <w:pgMar w:top="1440" w:right="1440" w:bottom="1440" w:left="1440" w:header="708" w:footer="708" w:gutter="0"/>
          <w:cols w:space="708"/>
          <w:docGrid w:linePitch="360"/>
        </w:sectPr>
      </w:pPr>
    </w:p>
    <w:p w14:paraId="4E6A0F0A" w14:textId="7615D122" w:rsidR="009B3987"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Other areas where England is above the OECD/TALIS average are the stress caused by the administrative burden of the job and keeping up with changing government requirements. Lower-secondary teachers in England were also more likely to report other aspects of their workload causing them stress than their peers in other countries; for instance</w:t>
      </w:r>
      <w:r w:rsidR="00665E16">
        <w:rPr>
          <w:rFonts w:ascii="Times New Roman" w:hAnsi="Times New Roman" w:cs="Times New Roman"/>
          <w:bCs/>
          <w:sz w:val="24"/>
          <w:szCs w:val="24"/>
        </w:rPr>
        <w:t>,</w:t>
      </w:r>
      <w:r>
        <w:rPr>
          <w:rFonts w:ascii="Times New Roman" w:hAnsi="Times New Roman" w:cs="Times New Roman"/>
          <w:bCs/>
          <w:sz w:val="24"/>
          <w:szCs w:val="24"/>
        </w:rPr>
        <w:t xml:space="preserve"> England was 11 percentage points above the OECD average for lower-secondary teachers saying that they suffer stress from the number of lessons they teach, with an </w:t>
      </w:r>
      <w:r w:rsidR="00825EFB">
        <w:rPr>
          <w:rFonts w:ascii="Times New Roman" w:hAnsi="Times New Roman" w:cs="Times New Roman"/>
          <w:bCs/>
          <w:sz w:val="24"/>
          <w:szCs w:val="24"/>
        </w:rPr>
        <w:t>eight</w:t>
      </w:r>
      <w:r w:rsidR="002A312A">
        <w:rPr>
          <w:rFonts w:ascii="Times New Roman" w:hAnsi="Times New Roman" w:cs="Times New Roman"/>
          <w:bCs/>
          <w:sz w:val="24"/>
          <w:szCs w:val="24"/>
        </w:rPr>
        <w:t>-</w:t>
      </w:r>
      <w:r>
        <w:rPr>
          <w:rFonts w:ascii="Times New Roman" w:hAnsi="Times New Roman" w:cs="Times New Roman"/>
          <w:bCs/>
          <w:sz w:val="24"/>
          <w:szCs w:val="24"/>
        </w:rPr>
        <w:t>percentage</w:t>
      </w:r>
      <w:r w:rsidR="002A312A">
        <w:rPr>
          <w:rFonts w:ascii="Times New Roman" w:hAnsi="Times New Roman" w:cs="Times New Roman"/>
          <w:bCs/>
          <w:sz w:val="24"/>
          <w:szCs w:val="24"/>
        </w:rPr>
        <w:t>-</w:t>
      </w:r>
      <w:r>
        <w:rPr>
          <w:rFonts w:ascii="Times New Roman" w:hAnsi="Times New Roman" w:cs="Times New Roman"/>
          <w:bCs/>
          <w:sz w:val="24"/>
          <w:szCs w:val="24"/>
        </w:rPr>
        <w:t xml:space="preserve">point difference for having too much lesson preparation. Stress from having too much lesson preparation was also more likely to be highlighted as a concern by primary teachers in England compared to the average across TALIS participants. </w:t>
      </w:r>
    </w:p>
    <w:p w14:paraId="55CFE400" w14:textId="3E04E9AE" w:rsidR="009B3987" w:rsidRPr="00D43E48"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There were, however, also a handful of areas where the results for England are quite positive, relative to the situation in other countries. As Table 2.5 illustrates, the three key areas where this holds true are (a) addressing parental concerns</w:t>
      </w:r>
      <w:r w:rsidR="00846B3E">
        <w:rPr>
          <w:rFonts w:ascii="Times New Roman" w:hAnsi="Times New Roman" w:cs="Times New Roman"/>
          <w:bCs/>
          <w:sz w:val="24"/>
          <w:szCs w:val="24"/>
        </w:rPr>
        <w:t xml:space="preserve">, </w:t>
      </w:r>
      <w:r>
        <w:rPr>
          <w:rFonts w:ascii="Times New Roman" w:hAnsi="Times New Roman" w:cs="Times New Roman"/>
          <w:bCs/>
          <w:sz w:val="24"/>
          <w:szCs w:val="24"/>
        </w:rPr>
        <w:t>(b) maintaining classroom discipline</w:t>
      </w:r>
      <w:r w:rsidR="00846B3E">
        <w:rPr>
          <w:rFonts w:ascii="Times New Roman" w:hAnsi="Times New Roman" w:cs="Times New Roman"/>
          <w:bCs/>
          <w:sz w:val="24"/>
          <w:szCs w:val="24"/>
        </w:rPr>
        <w:t>,</w:t>
      </w:r>
      <w:r>
        <w:rPr>
          <w:rFonts w:ascii="Times New Roman" w:hAnsi="Times New Roman" w:cs="Times New Roman"/>
          <w:bCs/>
          <w:sz w:val="24"/>
          <w:szCs w:val="24"/>
        </w:rPr>
        <w:t xml:space="preserve"> and (c) modifying lessons for SEN pupils. Focusing upon the lower-secondary results, teachers in England were eight percentage points less likely to say that addressing parental concerns caused them stress than the OECD average (though this is also true for the other four English-speaking countries that participated in TALIS). The equivalent figures for maintaining classroom discipline and modifying lessons for SEN pupils are seven and 13 percentage points respectively. Similar results hold for primary teachers. This hence helps to reiterate the message that these three areas are perhaps of less pressing concern to teachers in England, with other areas (most notably workload and accountability) being much more prominent sources of stress in their jobs. </w:t>
      </w:r>
    </w:p>
    <w:p w14:paraId="236AA706" w14:textId="77777777" w:rsidR="009B3987" w:rsidRPr="00BC78D4" w:rsidRDefault="009B3987" w:rsidP="009B3987">
      <w:pPr>
        <w:spacing w:line="360" w:lineRule="auto"/>
        <w:jc w:val="both"/>
        <w:rPr>
          <w:rFonts w:ascii="Times New Roman" w:hAnsi="Times New Roman" w:cs="Times New Roman"/>
          <w:b/>
          <w:sz w:val="24"/>
          <w:szCs w:val="24"/>
        </w:rPr>
      </w:pPr>
      <w:r w:rsidRPr="00BC78D4">
        <w:rPr>
          <w:rFonts w:ascii="Times New Roman" w:hAnsi="Times New Roman" w:cs="Times New Roman"/>
          <w:b/>
          <w:sz w:val="24"/>
          <w:szCs w:val="24"/>
        </w:rPr>
        <w:t xml:space="preserve">2.6 What do primary and lower-secondary </w:t>
      </w:r>
      <w:proofErr w:type="spellStart"/>
      <w:r w:rsidRPr="00BC78D4">
        <w:rPr>
          <w:rFonts w:ascii="Times New Roman" w:hAnsi="Times New Roman" w:cs="Times New Roman"/>
          <w:b/>
          <w:i/>
          <w:sz w:val="24"/>
          <w:szCs w:val="24"/>
        </w:rPr>
        <w:t>headteachers</w:t>
      </w:r>
      <w:proofErr w:type="spellEnd"/>
      <w:r w:rsidRPr="00BC78D4">
        <w:rPr>
          <w:rFonts w:ascii="Times New Roman" w:hAnsi="Times New Roman" w:cs="Times New Roman"/>
          <w:b/>
          <w:sz w:val="24"/>
          <w:szCs w:val="24"/>
        </w:rPr>
        <w:t xml:space="preserve"> in England perceive to be the main sources of stress in their job?</w:t>
      </w:r>
    </w:p>
    <w:p w14:paraId="4D964E8C" w14:textId="77777777" w:rsidR="009B3987"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To conclude, Table 2.6 and Figure 2.3 provides analogous results for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with England again compared to other English-speaking countries as well as the TALIS (primary) and OECD (lower-secondary) averages. </w:t>
      </w:r>
    </w:p>
    <w:p w14:paraId="1A5021A2" w14:textId="77777777" w:rsidR="009B3987" w:rsidRDefault="009B3987" w:rsidP="009B3987">
      <w:pPr>
        <w:tabs>
          <w:tab w:val="center" w:pos="4513"/>
          <w:tab w:val="left" w:pos="5844"/>
        </w:tabs>
        <w:spacing w:line="360" w:lineRule="auto"/>
        <w:rPr>
          <w:rFonts w:ascii="Times New Roman" w:hAnsi="Times New Roman" w:cs="Times New Roman"/>
          <w:b/>
          <w:sz w:val="24"/>
          <w:szCs w:val="24"/>
        </w:rPr>
      </w:pPr>
      <w:r>
        <w:rPr>
          <w:rFonts w:ascii="Times New Roman" w:hAnsi="Times New Roman" w:cs="Times New Roman"/>
          <w:b/>
          <w:sz w:val="24"/>
          <w:szCs w:val="24"/>
        </w:rPr>
        <w:tab/>
      </w:r>
    </w:p>
    <w:p w14:paraId="0F27165A" w14:textId="77777777" w:rsidR="009B3987" w:rsidRDefault="009B3987" w:rsidP="009B3987">
      <w:pPr>
        <w:tabs>
          <w:tab w:val="center" w:pos="4513"/>
          <w:tab w:val="left" w:pos="5844"/>
        </w:tabs>
        <w:spacing w:line="360" w:lineRule="auto"/>
        <w:rPr>
          <w:rFonts w:ascii="Times New Roman" w:hAnsi="Times New Roman" w:cs="Times New Roman"/>
          <w:b/>
          <w:sz w:val="24"/>
          <w:szCs w:val="24"/>
        </w:rPr>
      </w:pPr>
    </w:p>
    <w:p w14:paraId="69912DA5" w14:textId="77777777" w:rsidR="009B3987" w:rsidRDefault="009B3987" w:rsidP="009B3987">
      <w:pPr>
        <w:tabs>
          <w:tab w:val="center" w:pos="4513"/>
          <w:tab w:val="left" w:pos="5844"/>
        </w:tabs>
        <w:spacing w:line="360" w:lineRule="auto"/>
        <w:rPr>
          <w:rFonts w:ascii="Times New Roman" w:hAnsi="Times New Roman" w:cs="Times New Roman"/>
          <w:b/>
          <w:sz w:val="24"/>
          <w:szCs w:val="24"/>
        </w:rPr>
      </w:pPr>
    </w:p>
    <w:p w14:paraId="01910091" w14:textId="77777777" w:rsidR="009B3987" w:rsidRDefault="009B3987" w:rsidP="009B3987">
      <w:pPr>
        <w:tabs>
          <w:tab w:val="center" w:pos="4513"/>
          <w:tab w:val="left" w:pos="5844"/>
        </w:tabs>
        <w:spacing w:line="360" w:lineRule="auto"/>
        <w:rPr>
          <w:rFonts w:ascii="Times New Roman" w:hAnsi="Times New Roman" w:cs="Times New Roman"/>
          <w:b/>
          <w:sz w:val="24"/>
          <w:szCs w:val="24"/>
        </w:rPr>
        <w:sectPr w:rsidR="009B3987" w:rsidSect="00141B6D">
          <w:pgSz w:w="11906" w:h="16838"/>
          <w:pgMar w:top="1440" w:right="1440" w:bottom="1440" w:left="1440" w:header="708" w:footer="708" w:gutter="0"/>
          <w:cols w:space="708"/>
          <w:docGrid w:linePitch="360"/>
        </w:sectPr>
      </w:pPr>
    </w:p>
    <w:p w14:paraId="32CF6430" w14:textId="5D859A71" w:rsidR="009B3987" w:rsidRDefault="009B3987" w:rsidP="009B3987">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Table 2.6 Key drivers of stress amongst </w:t>
      </w:r>
      <w:proofErr w:type="spellStart"/>
      <w:r w:rsidRPr="005C2E9C">
        <w:rPr>
          <w:rFonts w:ascii="Times New Roman" w:hAnsi="Times New Roman" w:cs="Times New Roman"/>
          <w:b/>
          <w:i/>
          <w:sz w:val="24"/>
          <w:szCs w:val="24"/>
          <w:u w:val="single"/>
        </w:rPr>
        <w:t>head</w:t>
      </w:r>
      <w:r w:rsidRPr="00EA7722">
        <w:rPr>
          <w:rFonts w:ascii="Times New Roman" w:hAnsi="Times New Roman" w:cs="Times New Roman"/>
          <w:b/>
          <w:i/>
          <w:sz w:val="24"/>
          <w:szCs w:val="24"/>
          <w:u w:val="single"/>
        </w:rPr>
        <w:t>teachers</w:t>
      </w:r>
      <w:proofErr w:type="spellEnd"/>
      <w:r>
        <w:rPr>
          <w:rFonts w:ascii="Times New Roman" w:hAnsi="Times New Roman" w:cs="Times New Roman"/>
          <w:b/>
          <w:sz w:val="24"/>
          <w:szCs w:val="24"/>
        </w:rPr>
        <w:t xml:space="preserve"> in England compared to other countries</w:t>
      </w:r>
    </w:p>
    <w:p w14:paraId="5943510A" w14:textId="77777777" w:rsidR="009B3987" w:rsidRPr="00F35CBB" w:rsidRDefault="009B3987" w:rsidP="00697230">
      <w:pPr>
        <w:pStyle w:val="ListParagraph"/>
        <w:numPr>
          <w:ilvl w:val="0"/>
          <w:numId w:val="6"/>
        </w:numPr>
        <w:spacing w:line="259" w:lineRule="auto"/>
        <w:jc w:val="center"/>
        <w:rPr>
          <w:rFonts w:ascii="Times New Roman" w:hAnsi="Times New Roman" w:cs="Times New Roman"/>
          <w:sz w:val="24"/>
          <w:szCs w:val="24"/>
        </w:rPr>
      </w:pPr>
      <w:r w:rsidRPr="00F35CBB">
        <w:rPr>
          <w:rFonts w:ascii="Times New Roman" w:hAnsi="Times New Roman" w:cs="Times New Roman"/>
          <w:sz w:val="24"/>
          <w:szCs w:val="24"/>
        </w:rPr>
        <w:t>Primary</w:t>
      </w:r>
    </w:p>
    <w:tbl>
      <w:tblPr>
        <w:tblW w:w="10489" w:type="dxa"/>
        <w:jc w:val="center"/>
        <w:tblLayout w:type="fixed"/>
        <w:tblLook w:val="04A0" w:firstRow="1" w:lastRow="0" w:firstColumn="1" w:lastColumn="0" w:noHBand="0" w:noVBand="1"/>
      </w:tblPr>
      <w:tblGrid>
        <w:gridCol w:w="6114"/>
        <w:gridCol w:w="1140"/>
        <w:gridCol w:w="1393"/>
        <w:gridCol w:w="1842"/>
      </w:tblGrid>
      <w:tr w:rsidR="009B3987" w:rsidRPr="001F426A" w14:paraId="3FDAA08D" w14:textId="77777777" w:rsidTr="008B4E20">
        <w:trPr>
          <w:trHeight w:val="216"/>
          <w:jc w:val="center"/>
        </w:trPr>
        <w:tc>
          <w:tcPr>
            <w:tcW w:w="6114" w:type="dxa"/>
            <w:tcBorders>
              <w:top w:val="single" w:sz="4" w:space="0" w:color="auto"/>
              <w:left w:val="nil"/>
              <w:bottom w:val="single" w:sz="4" w:space="0" w:color="auto"/>
              <w:right w:val="nil"/>
            </w:tcBorders>
            <w:shd w:val="clear" w:color="000000" w:fill="B4C6E7"/>
            <w:noWrap/>
            <w:vAlign w:val="bottom"/>
            <w:hideMark/>
          </w:tcPr>
          <w:p w14:paraId="0688DC8B"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 </w:t>
            </w:r>
          </w:p>
        </w:tc>
        <w:tc>
          <w:tcPr>
            <w:tcW w:w="1140" w:type="dxa"/>
            <w:tcBorders>
              <w:top w:val="single" w:sz="4" w:space="0" w:color="auto"/>
              <w:left w:val="nil"/>
              <w:bottom w:val="single" w:sz="4" w:space="0" w:color="auto"/>
              <w:right w:val="nil"/>
            </w:tcBorders>
            <w:shd w:val="clear" w:color="000000" w:fill="B4C6E7"/>
            <w:noWrap/>
            <w:vAlign w:val="bottom"/>
            <w:hideMark/>
          </w:tcPr>
          <w:p w14:paraId="4B816B81" w14:textId="77777777" w:rsidR="009B3987" w:rsidRPr="001F426A" w:rsidRDefault="009B3987" w:rsidP="00122877">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England</w:t>
            </w:r>
          </w:p>
        </w:tc>
        <w:tc>
          <w:tcPr>
            <w:tcW w:w="1393" w:type="dxa"/>
            <w:tcBorders>
              <w:top w:val="single" w:sz="4" w:space="0" w:color="auto"/>
              <w:left w:val="nil"/>
              <w:bottom w:val="single" w:sz="4" w:space="0" w:color="auto"/>
              <w:right w:val="nil"/>
            </w:tcBorders>
            <w:shd w:val="clear" w:color="000000" w:fill="B4C6E7"/>
          </w:tcPr>
          <w:p w14:paraId="3F0617BE" w14:textId="6FC2B4A1" w:rsidR="009B3987" w:rsidRPr="001F426A" w:rsidRDefault="009B3987" w:rsidP="00122877">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Australia</w:t>
            </w:r>
          </w:p>
        </w:tc>
        <w:tc>
          <w:tcPr>
            <w:tcW w:w="1842" w:type="dxa"/>
            <w:tcBorders>
              <w:top w:val="single" w:sz="4" w:space="0" w:color="auto"/>
              <w:left w:val="nil"/>
              <w:bottom w:val="single" w:sz="4" w:space="0" w:color="auto"/>
              <w:right w:val="nil"/>
            </w:tcBorders>
            <w:shd w:val="clear" w:color="000000" w:fill="B4C6E7"/>
            <w:vAlign w:val="bottom"/>
            <w:hideMark/>
          </w:tcPr>
          <w:p w14:paraId="67C9B2BB" w14:textId="77777777" w:rsidR="009B3987" w:rsidRPr="001F426A" w:rsidRDefault="009B3987" w:rsidP="00122877">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TALIS average</w:t>
            </w:r>
          </w:p>
        </w:tc>
      </w:tr>
      <w:tr w:rsidR="009B3987" w:rsidRPr="001F426A" w14:paraId="5BDE5CDE" w14:textId="77777777" w:rsidTr="00141B6D">
        <w:trPr>
          <w:trHeight w:val="255"/>
          <w:jc w:val="center"/>
        </w:trPr>
        <w:tc>
          <w:tcPr>
            <w:tcW w:w="6114" w:type="dxa"/>
            <w:tcBorders>
              <w:top w:val="nil"/>
              <w:left w:val="nil"/>
              <w:bottom w:val="nil"/>
              <w:right w:val="nil"/>
            </w:tcBorders>
            <w:shd w:val="clear" w:color="auto" w:fill="auto"/>
            <w:vAlign w:val="bottom"/>
            <w:hideMark/>
          </w:tcPr>
          <w:p w14:paraId="414E1B49"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Being held responsible for students’ achievement</w:t>
            </w:r>
          </w:p>
        </w:tc>
        <w:tc>
          <w:tcPr>
            <w:tcW w:w="1140" w:type="dxa"/>
            <w:tcBorders>
              <w:top w:val="nil"/>
              <w:left w:val="nil"/>
              <w:bottom w:val="nil"/>
              <w:right w:val="nil"/>
            </w:tcBorders>
            <w:shd w:val="clear" w:color="auto" w:fill="auto"/>
            <w:noWrap/>
            <w:vAlign w:val="bottom"/>
            <w:hideMark/>
          </w:tcPr>
          <w:p w14:paraId="6C79A61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66</w:t>
            </w:r>
          </w:p>
        </w:tc>
        <w:tc>
          <w:tcPr>
            <w:tcW w:w="1393" w:type="dxa"/>
            <w:tcBorders>
              <w:top w:val="nil"/>
              <w:left w:val="nil"/>
              <w:bottom w:val="nil"/>
              <w:right w:val="nil"/>
            </w:tcBorders>
          </w:tcPr>
          <w:p w14:paraId="11E5DA1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41</w:t>
            </w:r>
          </w:p>
        </w:tc>
        <w:tc>
          <w:tcPr>
            <w:tcW w:w="1842" w:type="dxa"/>
            <w:tcBorders>
              <w:top w:val="nil"/>
              <w:left w:val="nil"/>
              <w:bottom w:val="nil"/>
              <w:right w:val="nil"/>
            </w:tcBorders>
            <w:shd w:val="clear" w:color="auto" w:fill="auto"/>
            <w:noWrap/>
            <w:vAlign w:val="bottom"/>
            <w:hideMark/>
          </w:tcPr>
          <w:p w14:paraId="39ED338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45</w:t>
            </w:r>
          </w:p>
        </w:tc>
      </w:tr>
      <w:tr w:rsidR="009B3987" w:rsidRPr="001F426A" w14:paraId="629670EA" w14:textId="77777777" w:rsidTr="00141B6D">
        <w:trPr>
          <w:trHeight w:val="286"/>
          <w:jc w:val="center"/>
        </w:trPr>
        <w:tc>
          <w:tcPr>
            <w:tcW w:w="6114" w:type="dxa"/>
            <w:tcBorders>
              <w:top w:val="nil"/>
              <w:left w:val="nil"/>
              <w:bottom w:val="nil"/>
              <w:right w:val="nil"/>
            </w:tcBorders>
            <w:shd w:val="clear" w:color="auto" w:fill="auto"/>
            <w:vAlign w:val="bottom"/>
            <w:hideMark/>
          </w:tcPr>
          <w:p w14:paraId="7C9D8B88"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 xml:space="preserve">Keeping up with changing requirements </w:t>
            </w:r>
          </w:p>
        </w:tc>
        <w:tc>
          <w:tcPr>
            <w:tcW w:w="1140" w:type="dxa"/>
            <w:tcBorders>
              <w:top w:val="nil"/>
              <w:left w:val="nil"/>
              <w:bottom w:val="nil"/>
              <w:right w:val="nil"/>
            </w:tcBorders>
            <w:shd w:val="clear" w:color="auto" w:fill="auto"/>
            <w:noWrap/>
            <w:vAlign w:val="bottom"/>
            <w:hideMark/>
          </w:tcPr>
          <w:p w14:paraId="42FEED4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64</w:t>
            </w:r>
          </w:p>
        </w:tc>
        <w:tc>
          <w:tcPr>
            <w:tcW w:w="1393" w:type="dxa"/>
            <w:tcBorders>
              <w:top w:val="nil"/>
              <w:left w:val="nil"/>
              <w:bottom w:val="nil"/>
              <w:right w:val="nil"/>
            </w:tcBorders>
          </w:tcPr>
          <w:p w14:paraId="48E15C7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59</w:t>
            </w:r>
          </w:p>
        </w:tc>
        <w:tc>
          <w:tcPr>
            <w:tcW w:w="1842" w:type="dxa"/>
            <w:tcBorders>
              <w:top w:val="nil"/>
              <w:left w:val="nil"/>
              <w:bottom w:val="nil"/>
              <w:right w:val="nil"/>
            </w:tcBorders>
            <w:shd w:val="clear" w:color="auto" w:fill="auto"/>
            <w:noWrap/>
            <w:vAlign w:val="bottom"/>
            <w:hideMark/>
          </w:tcPr>
          <w:p w14:paraId="08A5FAE2"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49</w:t>
            </w:r>
          </w:p>
        </w:tc>
      </w:tr>
      <w:tr w:rsidR="009B3987" w:rsidRPr="001F426A" w14:paraId="2D695A5E" w14:textId="77777777" w:rsidTr="00141B6D">
        <w:trPr>
          <w:trHeight w:val="255"/>
          <w:jc w:val="center"/>
        </w:trPr>
        <w:tc>
          <w:tcPr>
            <w:tcW w:w="6114" w:type="dxa"/>
            <w:tcBorders>
              <w:top w:val="nil"/>
              <w:left w:val="nil"/>
              <w:bottom w:val="nil"/>
              <w:right w:val="nil"/>
            </w:tcBorders>
            <w:shd w:val="clear" w:color="auto" w:fill="auto"/>
            <w:vAlign w:val="bottom"/>
            <w:hideMark/>
          </w:tcPr>
          <w:p w14:paraId="40769F6B"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extra duties due to absent school staff</w:t>
            </w:r>
          </w:p>
        </w:tc>
        <w:tc>
          <w:tcPr>
            <w:tcW w:w="1140" w:type="dxa"/>
            <w:tcBorders>
              <w:top w:val="nil"/>
              <w:left w:val="nil"/>
              <w:bottom w:val="nil"/>
              <w:right w:val="nil"/>
            </w:tcBorders>
            <w:shd w:val="clear" w:color="auto" w:fill="auto"/>
            <w:noWrap/>
            <w:vAlign w:val="bottom"/>
            <w:hideMark/>
          </w:tcPr>
          <w:p w14:paraId="21CEA09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38</w:t>
            </w:r>
          </w:p>
        </w:tc>
        <w:tc>
          <w:tcPr>
            <w:tcW w:w="1393" w:type="dxa"/>
            <w:tcBorders>
              <w:top w:val="nil"/>
              <w:left w:val="nil"/>
              <w:bottom w:val="nil"/>
              <w:right w:val="nil"/>
            </w:tcBorders>
          </w:tcPr>
          <w:p w14:paraId="0EF4919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w:t>
            </w:r>
          </w:p>
        </w:tc>
        <w:tc>
          <w:tcPr>
            <w:tcW w:w="1842" w:type="dxa"/>
            <w:tcBorders>
              <w:top w:val="nil"/>
              <w:left w:val="nil"/>
              <w:bottom w:val="nil"/>
              <w:right w:val="nil"/>
            </w:tcBorders>
            <w:shd w:val="clear" w:color="auto" w:fill="auto"/>
            <w:noWrap/>
            <w:vAlign w:val="bottom"/>
            <w:hideMark/>
          </w:tcPr>
          <w:p w14:paraId="5781E63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33</w:t>
            </w:r>
          </w:p>
        </w:tc>
      </w:tr>
      <w:tr w:rsidR="009B3987" w:rsidRPr="001F426A" w14:paraId="3A6B81A2" w14:textId="77777777" w:rsidTr="00141B6D">
        <w:trPr>
          <w:trHeight w:val="255"/>
          <w:jc w:val="center"/>
        </w:trPr>
        <w:tc>
          <w:tcPr>
            <w:tcW w:w="6114" w:type="dxa"/>
            <w:tcBorders>
              <w:top w:val="nil"/>
              <w:left w:val="nil"/>
              <w:bottom w:val="nil"/>
              <w:right w:val="nil"/>
            </w:tcBorders>
            <w:shd w:val="clear" w:color="auto" w:fill="auto"/>
            <w:vAlign w:val="bottom"/>
            <w:hideMark/>
          </w:tcPr>
          <w:p w14:paraId="3DBC9D31"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administrative work to do</w:t>
            </w:r>
          </w:p>
        </w:tc>
        <w:tc>
          <w:tcPr>
            <w:tcW w:w="1140" w:type="dxa"/>
            <w:tcBorders>
              <w:top w:val="nil"/>
              <w:left w:val="nil"/>
              <w:bottom w:val="nil"/>
              <w:right w:val="nil"/>
            </w:tcBorders>
            <w:shd w:val="clear" w:color="auto" w:fill="auto"/>
            <w:noWrap/>
            <w:vAlign w:val="bottom"/>
            <w:hideMark/>
          </w:tcPr>
          <w:p w14:paraId="07E740D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66</w:t>
            </w:r>
          </w:p>
        </w:tc>
        <w:tc>
          <w:tcPr>
            <w:tcW w:w="1393" w:type="dxa"/>
            <w:tcBorders>
              <w:top w:val="nil"/>
              <w:left w:val="nil"/>
              <w:bottom w:val="nil"/>
              <w:right w:val="nil"/>
            </w:tcBorders>
          </w:tcPr>
          <w:p w14:paraId="4DB00C8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77</w:t>
            </w:r>
          </w:p>
        </w:tc>
        <w:tc>
          <w:tcPr>
            <w:tcW w:w="1842" w:type="dxa"/>
            <w:tcBorders>
              <w:top w:val="nil"/>
              <w:left w:val="nil"/>
              <w:bottom w:val="nil"/>
              <w:right w:val="nil"/>
            </w:tcBorders>
            <w:shd w:val="clear" w:color="auto" w:fill="auto"/>
            <w:noWrap/>
            <w:vAlign w:val="bottom"/>
            <w:hideMark/>
          </w:tcPr>
          <w:p w14:paraId="75DD009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65</w:t>
            </w:r>
          </w:p>
        </w:tc>
      </w:tr>
      <w:tr w:rsidR="009B3987" w:rsidRPr="001F426A" w14:paraId="2BB73E07" w14:textId="77777777" w:rsidTr="00141B6D">
        <w:trPr>
          <w:trHeight w:val="199"/>
          <w:jc w:val="center"/>
        </w:trPr>
        <w:tc>
          <w:tcPr>
            <w:tcW w:w="6114" w:type="dxa"/>
            <w:tcBorders>
              <w:top w:val="nil"/>
              <w:left w:val="nil"/>
              <w:bottom w:val="nil"/>
              <w:right w:val="nil"/>
            </w:tcBorders>
            <w:shd w:val="clear" w:color="auto" w:fill="auto"/>
            <w:vAlign w:val="bottom"/>
            <w:hideMark/>
          </w:tcPr>
          <w:p w14:paraId="4958FE4A"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Accommodating students with special educational needs</w:t>
            </w:r>
          </w:p>
        </w:tc>
        <w:tc>
          <w:tcPr>
            <w:tcW w:w="1140" w:type="dxa"/>
            <w:tcBorders>
              <w:top w:val="nil"/>
              <w:left w:val="nil"/>
              <w:bottom w:val="nil"/>
              <w:right w:val="nil"/>
            </w:tcBorders>
            <w:shd w:val="clear" w:color="auto" w:fill="auto"/>
            <w:noWrap/>
            <w:vAlign w:val="bottom"/>
            <w:hideMark/>
          </w:tcPr>
          <w:p w14:paraId="76203FE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34</w:t>
            </w:r>
          </w:p>
        </w:tc>
        <w:tc>
          <w:tcPr>
            <w:tcW w:w="1393" w:type="dxa"/>
            <w:tcBorders>
              <w:top w:val="nil"/>
              <w:left w:val="nil"/>
              <w:bottom w:val="nil"/>
              <w:right w:val="nil"/>
            </w:tcBorders>
          </w:tcPr>
          <w:p w14:paraId="4E41B8F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31</w:t>
            </w:r>
          </w:p>
        </w:tc>
        <w:tc>
          <w:tcPr>
            <w:tcW w:w="1842" w:type="dxa"/>
            <w:tcBorders>
              <w:top w:val="nil"/>
              <w:left w:val="nil"/>
              <w:bottom w:val="nil"/>
              <w:right w:val="nil"/>
            </w:tcBorders>
            <w:shd w:val="clear" w:color="auto" w:fill="auto"/>
            <w:noWrap/>
            <w:vAlign w:val="bottom"/>
            <w:hideMark/>
          </w:tcPr>
          <w:p w14:paraId="4A61F9C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35</w:t>
            </w:r>
          </w:p>
        </w:tc>
      </w:tr>
      <w:tr w:rsidR="009B3987" w:rsidRPr="001F426A" w14:paraId="03817010" w14:textId="77777777" w:rsidTr="00141B6D">
        <w:trPr>
          <w:trHeight w:val="255"/>
          <w:jc w:val="center"/>
        </w:trPr>
        <w:tc>
          <w:tcPr>
            <w:tcW w:w="6114" w:type="dxa"/>
            <w:tcBorders>
              <w:top w:val="nil"/>
              <w:left w:val="nil"/>
              <w:bottom w:val="nil"/>
              <w:right w:val="nil"/>
            </w:tcBorders>
            <w:shd w:val="clear" w:color="auto" w:fill="auto"/>
            <w:vAlign w:val="bottom"/>
            <w:hideMark/>
          </w:tcPr>
          <w:p w14:paraId="2FD34F03"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Addressing parent or guardian concerns</w:t>
            </w:r>
          </w:p>
        </w:tc>
        <w:tc>
          <w:tcPr>
            <w:tcW w:w="1140" w:type="dxa"/>
            <w:tcBorders>
              <w:top w:val="nil"/>
              <w:left w:val="nil"/>
              <w:bottom w:val="nil"/>
              <w:right w:val="nil"/>
            </w:tcBorders>
            <w:shd w:val="clear" w:color="auto" w:fill="auto"/>
            <w:noWrap/>
            <w:vAlign w:val="bottom"/>
            <w:hideMark/>
          </w:tcPr>
          <w:p w14:paraId="588AEFF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45</w:t>
            </w:r>
          </w:p>
        </w:tc>
        <w:tc>
          <w:tcPr>
            <w:tcW w:w="1393" w:type="dxa"/>
            <w:tcBorders>
              <w:top w:val="nil"/>
              <w:left w:val="nil"/>
              <w:bottom w:val="nil"/>
              <w:right w:val="nil"/>
            </w:tcBorders>
          </w:tcPr>
          <w:p w14:paraId="6524DAA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56</w:t>
            </w:r>
          </w:p>
        </w:tc>
        <w:tc>
          <w:tcPr>
            <w:tcW w:w="1842" w:type="dxa"/>
            <w:tcBorders>
              <w:top w:val="nil"/>
              <w:left w:val="nil"/>
              <w:bottom w:val="nil"/>
              <w:right w:val="nil"/>
            </w:tcBorders>
            <w:shd w:val="clear" w:color="auto" w:fill="auto"/>
            <w:noWrap/>
            <w:vAlign w:val="bottom"/>
            <w:hideMark/>
          </w:tcPr>
          <w:p w14:paraId="51E61A0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47</w:t>
            </w:r>
          </w:p>
        </w:tc>
      </w:tr>
      <w:tr w:rsidR="009B3987" w:rsidRPr="001F426A" w14:paraId="6BD9563D" w14:textId="77777777" w:rsidTr="00141B6D">
        <w:trPr>
          <w:trHeight w:val="80"/>
          <w:jc w:val="center"/>
        </w:trPr>
        <w:tc>
          <w:tcPr>
            <w:tcW w:w="6114" w:type="dxa"/>
            <w:tcBorders>
              <w:top w:val="nil"/>
              <w:left w:val="nil"/>
              <w:bottom w:val="nil"/>
              <w:right w:val="nil"/>
            </w:tcBorders>
            <w:shd w:val="clear" w:color="auto" w:fill="auto"/>
            <w:vAlign w:val="bottom"/>
            <w:hideMark/>
          </w:tcPr>
          <w:p w14:paraId="17B4D069"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Maintaining school discipline</w:t>
            </w:r>
          </w:p>
        </w:tc>
        <w:tc>
          <w:tcPr>
            <w:tcW w:w="1140" w:type="dxa"/>
            <w:tcBorders>
              <w:top w:val="nil"/>
              <w:left w:val="nil"/>
              <w:bottom w:val="nil"/>
              <w:right w:val="nil"/>
            </w:tcBorders>
            <w:shd w:val="clear" w:color="auto" w:fill="auto"/>
            <w:noWrap/>
            <w:vAlign w:val="bottom"/>
            <w:hideMark/>
          </w:tcPr>
          <w:p w14:paraId="0EAC014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30</w:t>
            </w:r>
          </w:p>
        </w:tc>
        <w:tc>
          <w:tcPr>
            <w:tcW w:w="1393" w:type="dxa"/>
            <w:tcBorders>
              <w:top w:val="nil"/>
              <w:left w:val="nil"/>
              <w:bottom w:val="nil"/>
              <w:right w:val="nil"/>
            </w:tcBorders>
          </w:tcPr>
          <w:p w14:paraId="77B9859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34</w:t>
            </w:r>
          </w:p>
        </w:tc>
        <w:tc>
          <w:tcPr>
            <w:tcW w:w="1842" w:type="dxa"/>
            <w:tcBorders>
              <w:top w:val="nil"/>
              <w:left w:val="nil"/>
              <w:bottom w:val="nil"/>
              <w:right w:val="nil"/>
            </w:tcBorders>
            <w:shd w:val="clear" w:color="auto" w:fill="auto"/>
            <w:noWrap/>
            <w:vAlign w:val="bottom"/>
            <w:hideMark/>
          </w:tcPr>
          <w:p w14:paraId="2346BD4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34</w:t>
            </w:r>
          </w:p>
        </w:tc>
      </w:tr>
      <w:tr w:rsidR="009B3987" w:rsidRPr="001F426A" w14:paraId="4E26525C" w14:textId="77777777" w:rsidTr="00141B6D">
        <w:trPr>
          <w:trHeight w:val="294"/>
          <w:jc w:val="center"/>
        </w:trPr>
        <w:tc>
          <w:tcPr>
            <w:tcW w:w="6114" w:type="dxa"/>
            <w:tcBorders>
              <w:top w:val="nil"/>
              <w:left w:val="nil"/>
              <w:bottom w:val="nil"/>
              <w:right w:val="nil"/>
            </w:tcBorders>
            <w:shd w:val="clear" w:color="auto" w:fill="auto"/>
            <w:vAlign w:val="bottom"/>
            <w:hideMark/>
          </w:tcPr>
          <w:p w14:paraId="0BCE5A80"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teacher appraisal and feedback work to do</w:t>
            </w:r>
          </w:p>
        </w:tc>
        <w:tc>
          <w:tcPr>
            <w:tcW w:w="1140" w:type="dxa"/>
            <w:tcBorders>
              <w:top w:val="nil"/>
              <w:left w:val="nil"/>
              <w:bottom w:val="nil"/>
              <w:right w:val="nil"/>
            </w:tcBorders>
            <w:shd w:val="clear" w:color="auto" w:fill="auto"/>
            <w:noWrap/>
            <w:vAlign w:val="bottom"/>
            <w:hideMark/>
          </w:tcPr>
          <w:p w14:paraId="0672893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23</w:t>
            </w:r>
          </w:p>
        </w:tc>
        <w:tc>
          <w:tcPr>
            <w:tcW w:w="1393" w:type="dxa"/>
            <w:tcBorders>
              <w:top w:val="nil"/>
              <w:left w:val="nil"/>
              <w:bottom w:val="nil"/>
              <w:right w:val="nil"/>
            </w:tcBorders>
          </w:tcPr>
          <w:p w14:paraId="7305C21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27</w:t>
            </w:r>
          </w:p>
        </w:tc>
        <w:tc>
          <w:tcPr>
            <w:tcW w:w="1842" w:type="dxa"/>
            <w:tcBorders>
              <w:top w:val="nil"/>
              <w:left w:val="nil"/>
              <w:bottom w:val="nil"/>
              <w:right w:val="nil"/>
            </w:tcBorders>
            <w:shd w:val="clear" w:color="auto" w:fill="auto"/>
            <w:noWrap/>
            <w:vAlign w:val="bottom"/>
            <w:hideMark/>
          </w:tcPr>
          <w:p w14:paraId="3EF4BDE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w:t>
            </w:r>
          </w:p>
        </w:tc>
      </w:tr>
      <w:tr w:rsidR="009B3987" w:rsidRPr="001F426A" w14:paraId="7503C4AB" w14:textId="77777777" w:rsidTr="00141B6D">
        <w:trPr>
          <w:trHeight w:val="255"/>
          <w:jc w:val="center"/>
        </w:trPr>
        <w:tc>
          <w:tcPr>
            <w:tcW w:w="6114" w:type="dxa"/>
            <w:tcBorders>
              <w:top w:val="nil"/>
              <w:left w:val="nil"/>
              <w:bottom w:val="single" w:sz="4" w:space="0" w:color="auto"/>
              <w:right w:val="nil"/>
            </w:tcBorders>
            <w:shd w:val="clear" w:color="auto" w:fill="auto"/>
            <w:vAlign w:val="bottom"/>
            <w:hideMark/>
          </w:tcPr>
          <w:p w14:paraId="2F326E89"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Being intimidated or verbally abused by students</w:t>
            </w:r>
          </w:p>
        </w:tc>
        <w:tc>
          <w:tcPr>
            <w:tcW w:w="1140" w:type="dxa"/>
            <w:tcBorders>
              <w:top w:val="nil"/>
              <w:left w:val="nil"/>
              <w:bottom w:val="single" w:sz="4" w:space="0" w:color="auto"/>
              <w:right w:val="nil"/>
            </w:tcBorders>
            <w:shd w:val="clear" w:color="auto" w:fill="auto"/>
            <w:noWrap/>
            <w:vAlign w:val="bottom"/>
            <w:hideMark/>
          </w:tcPr>
          <w:p w14:paraId="3CC752D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w:t>
            </w:r>
          </w:p>
        </w:tc>
        <w:tc>
          <w:tcPr>
            <w:tcW w:w="1393" w:type="dxa"/>
            <w:tcBorders>
              <w:top w:val="nil"/>
              <w:left w:val="nil"/>
              <w:bottom w:val="single" w:sz="4" w:space="0" w:color="auto"/>
              <w:right w:val="nil"/>
            </w:tcBorders>
          </w:tcPr>
          <w:p w14:paraId="45C0D59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w:t>
            </w:r>
          </w:p>
        </w:tc>
        <w:tc>
          <w:tcPr>
            <w:tcW w:w="1842" w:type="dxa"/>
            <w:tcBorders>
              <w:top w:val="nil"/>
              <w:left w:val="nil"/>
              <w:bottom w:val="single" w:sz="4" w:space="0" w:color="auto"/>
              <w:right w:val="nil"/>
            </w:tcBorders>
            <w:shd w:val="clear" w:color="auto" w:fill="auto"/>
            <w:noWrap/>
            <w:vAlign w:val="bottom"/>
            <w:hideMark/>
          </w:tcPr>
          <w:p w14:paraId="11D0095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7</w:t>
            </w:r>
          </w:p>
        </w:tc>
      </w:tr>
    </w:tbl>
    <w:p w14:paraId="2C9CC171" w14:textId="77777777" w:rsidR="009B3987" w:rsidRPr="00B83CA8" w:rsidRDefault="009B3987" w:rsidP="009B3987">
      <w:pPr>
        <w:rPr>
          <w:rFonts w:ascii="Times New Roman" w:hAnsi="Times New Roman" w:cs="Times New Roman"/>
          <w:b/>
          <w:sz w:val="24"/>
          <w:szCs w:val="24"/>
        </w:rPr>
      </w:pPr>
    </w:p>
    <w:p w14:paraId="14B5E67E" w14:textId="77777777" w:rsidR="009B3987" w:rsidRPr="00F35CBB" w:rsidRDefault="009B3987" w:rsidP="00697230">
      <w:pPr>
        <w:pStyle w:val="ListParagraph"/>
        <w:numPr>
          <w:ilvl w:val="0"/>
          <w:numId w:val="6"/>
        </w:numPr>
        <w:spacing w:line="259" w:lineRule="auto"/>
        <w:jc w:val="center"/>
        <w:rPr>
          <w:rFonts w:ascii="Times New Roman" w:hAnsi="Times New Roman" w:cs="Times New Roman"/>
          <w:sz w:val="24"/>
          <w:szCs w:val="24"/>
        </w:rPr>
      </w:pPr>
      <w:r w:rsidRPr="00F35CBB">
        <w:rPr>
          <w:rFonts w:ascii="Times New Roman" w:hAnsi="Times New Roman" w:cs="Times New Roman"/>
          <w:sz w:val="24"/>
          <w:szCs w:val="24"/>
        </w:rPr>
        <w:t>Secondary</w:t>
      </w:r>
    </w:p>
    <w:tbl>
      <w:tblPr>
        <w:tblW w:w="14034" w:type="dxa"/>
        <w:jc w:val="center"/>
        <w:tblLook w:val="04A0" w:firstRow="1" w:lastRow="0" w:firstColumn="1" w:lastColumn="0" w:noHBand="0" w:noVBand="1"/>
      </w:tblPr>
      <w:tblGrid>
        <w:gridCol w:w="6823"/>
        <w:gridCol w:w="1140"/>
        <w:gridCol w:w="1176"/>
        <w:gridCol w:w="1003"/>
        <w:gridCol w:w="1650"/>
        <w:gridCol w:w="697"/>
        <w:gridCol w:w="276"/>
        <w:gridCol w:w="960"/>
        <w:gridCol w:w="309"/>
      </w:tblGrid>
      <w:tr w:rsidR="009B3987" w:rsidRPr="001F426A" w14:paraId="23422BCB" w14:textId="77777777" w:rsidTr="00141B6D">
        <w:trPr>
          <w:trHeight w:val="255"/>
          <w:jc w:val="center"/>
        </w:trPr>
        <w:tc>
          <w:tcPr>
            <w:tcW w:w="6823" w:type="dxa"/>
            <w:tcBorders>
              <w:top w:val="single" w:sz="4" w:space="0" w:color="auto"/>
              <w:left w:val="nil"/>
              <w:bottom w:val="single" w:sz="4" w:space="0" w:color="auto"/>
              <w:right w:val="nil"/>
            </w:tcBorders>
            <w:shd w:val="clear" w:color="000000" w:fill="B4C6E7"/>
            <w:noWrap/>
            <w:vAlign w:val="bottom"/>
            <w:hideMark/>
          </w:tcPr>
          <w:p w14:paraId="21582C78"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 </w:t>
            </w:r>
          </w:p>
        </w:tc>
        <w:tc>
          <w:tcPr>
            <w:tcW w:w="1140" w:type="dxa"/>
            <w:tcBorders>
              <w:top w:val="single" w:sz="4" w:space="0" w:color="auto"/>
              <w:left w:val="nil"/>
              <w:bottom w:val="single" w:sz="4" w:space="0" w:color="auto"/>
              <w:right w:val="nil"/>
            </w:tcBorders>
            <w:shd w:val="clear" w:color="000000" w:fill="B4C6E7"/>
            <w:noWrap/>
            <w:vAlign w:val="bottom"/>
            <w:hideMark/>
          </w:tcPr>
          <w:p w14:paraId="4EAEB004"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England</w:t>
            </w:r>
          </w:p>
        </w:tc>
        <w:tc>
          <w:tcPr>
            <w:tcW w:w="1158" w:type="dxa"/>
            <w:tcBorders>
              <w:top w:val="single" w:sz="4" w:space="0" w:color="auto"/>
              <w:left w:val="nil"/>
              <w:bottom w:val="single" w:sz="4" w:space="0" w:color="auto"/>
              <w:right w:val="nil"/>
            </w:tcBorders>
            <w:shd w:val="clear" w:color="000000" w:fill="B4C6E7"/>
          </w:tcPr>
          <w:p w14:paraId="1EA35AAE"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Australia</w:t>
            </w:r>
          </w:p>
        </w:tc>
        <w:tc>
          <w:tcPr>
            <w:tcW w:w="974" w:type="dxa"/>
            <w:tcBorders>
              <w:top w:val="single" w:sz="4" w:space="0" w:color="auto"/>
              <w:left w:val="nil"/>
              <w:bottom w:val="single" w:sz="4" w:space="0" w:color="auto"/>
              <w:right w:val="nil"/>
            </w:tcBorders>
            <w:shd w:val="clear" w:color="000000" w:fill="B4C6E7"/>
          </w:tcPr>
          <w:p w14:paraId="7BDA74C9"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Alberta</w:t>
            </w:r>
          </w:p>
        </w:tc>
        <w:tc>
          <w:tcPr>
            <w:tcW w:w="1812" w:type="dxa"/>
            <w:tcBorders>
              <w:top w:val="single" w:sz="4" w:space="0" w:color="auto"/>
              <w:left w:val="nil"/>
              <w:bottom w:val="single" w:sz="4" w:space="0" w:color="auto"/>
              <w:right w:val="nil"/>
            </w:tcBorders>
            <w:shd w:val="clear" w:color="000000" w:fill="B4C6E7"/>
          </w:tcPr>
          <w:p w14:paraId="06BF5057"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New Zealand</w:t>
            </w:r>
          </w:p>
        </w:tc>
        <w:tc>
          <w:tcPr>
            <w:tcW w:w="567" w:type="dxa"/>
            <w:tcBorders>
              <w:top w:val="single" w:sz="4" w:space="0" w:color="auto"/>
              <w:left w:val="nil"/>
              <w:bottom w:val="single" w:sz="4" w:space="0" w:color="auto"/>
              <w:right w:val="nil"/>
            </w:tcBorders>
            <w:shd w:val="clear" w:color="000000" w:fill="B4C6E7"/>
          </w:tcPr>
          <w:p w14:paraId="7479BCE5"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USA</w:t>
            </w:r>
          </w:p>
        </w:tc>
        <w:tc>
          <w:tcPr>
            <w:tcW w:w="291" w:type="dxa"/>
            <w:tcBorders>
              <w:top w:val="single" w:sz="4" w:space="0" w:color="auto"/>
              <w:left w:val="nil"/>
              <w:bottom w:val="single" w:sz="4" w:space="0" w:color="auto"/>
              <w:right w:val="nil"/>
            </w:tcBorders>
            <w:shd w:val="clear" w:color="000000" w:fill="B4C6E7"/>
          </w:tcPr>
          <w:p w14:paraId="7D508C3B"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p>
        </w:tc>
        <w:tc>
          <w:tcPr>
            <w:tcW w:w="960" w:type="dxa"/>
            <w:tcBorders>
              <w:top w:val="single" w:sz="4" w:space="0" w:color="auto"/>
              <w:left w:val="nil"/>
              <w:bottom w:val="single" w:sz="4" w:space="0" w:color="auto"/>
              <w:right w:val="nil"/>
            </w:tcBorders>
            <w:shd w:val="clear" w:color="000000" w:fill="B4C6E7"/>
            <w:noWrap/>
            <w:vAlign w:val="bottom"/>
            <w:hideMark/>
          </w:tcPr>
          <w:p w14:paraId="1620BB22"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r w:rsidRPr="001F426A">
              <w:rPr>
                <w:rFonts w:ascii="Times New Roman" w:eastAsia="Times New Roman" w:hAnsi="Times New Roman" w:cs="Times New Roman"/>
                <w:b/>
                <w:bCs/>
                <w:sz w:val="24"/>
                <w:szCs w:val="24"/>
                <w:lang w:eastAsia="en-GB"/>
              </w:rPr>
              <w:t>OECD</w:t>
            </w:r>
          </w:p>
        </w:tc>
        <w:tc>
          <w:tcPr>
            <w:tcW w:w="309" w:type="dxa"/>
            <w:tcBorders>
              <w:top w:val="single" w:sz="4" w:space="0" w:color="auto"/>
              <w:left w:val="nil"/>
              <w:bottom w:val="single" w:sz="4" w:space="0" w:color="auto"/>
              <w:right w:val="nil"/>
            </w:tcBorders>
            <w:shd w:val="clear" w:color="000000" w:fill="B4C6E7"/>
            <w:noWrap/>
            <w:vAlign w:val="bottom"/>
          </w:tcPr>
          <w:p w14:paraId="00B7B909" w14:textId="77777777" w:rsidR="009B3987" w:rsidRPr="001F426A" w:rsidRDefault="009B3987" w:rsidP="00141B6D">
            <w:pPr>
              <w:spacing w:after="0" w:line="240" w:lineRule="auto"/>
              <w:jc w:val="center"/>
              <w:rPr>
                <w:rFonts w:ascii="Times New Roman" w:eastAsia="Times New Roman" w:hAnsi="Times New Roman" w:cs="Times New Roman"/>
                <w:b/>
                <w:bCs/>
                <w:sz w:val="24"/>
                <w:szCs w:val="24"/>
                <w:lang w:eastAsia="en-GB"/>
              </w:rPr>
            </w:pPr>
          </w:p>
        </w:tc>
      </w:tr>
      <w:tr w:rsidR="009B3987" w:rsidRPr="001F426A" w14:paraId="504B3A66" w14:textId="77777777" w:rsidTr="00141B6D">
        <w:trPr>
          <w:trHeight w:val="255"/>
          <w:jc w:val="center"/>
        </w:trPr>
        <w:tc>
          <w:tcPr>
            <w:tcW w:w="6823" w:type="dxa"/>
            <w:tcBorders>
              <w:top w:val="nil"/>
              <w:left w:val="nil"/>
              <w:bottom w:val="nil"/>
              <w:right w:val="nil"/>
            </w:tcBorders>
            <w:shd w:val="clear" w:color="auto" w:fill="auto"/>
            <w:vAlign w:val="bottom"/>
            <w:hideMark/>
          </w:tcPr>
          <w:p w14:paraId="3C96D3F4"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Being held responsible for students’ achievement</w:t>
            </w:r>
          </w:p>
        </w:tc>
        <w:tc>
          <w:tcPr>
            <w:tcW w:w="1140" w:type="dxa"/>
            <w:tcBorders>
              <w:top w:val="nil"/>
              <w:left w:val="nil"/>
              <w:bottom w:val="nil"/>
              <w:right w:val="nil"/>
            </w:tcBorders>
            <w:shd w:val="clear" w:color="auto" w:fill="auto"/>
            <w:noWrap/>
            <w:vAlign w:val="bottom"/>
            <w:hideMark/>
          </w:tcPr>
          <w:p w14:paraId="014E086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65</w:t>
            </w:r>
          </w:p>
        </w:tc>
        <w:tc>
          <w:tcPr>
            <w:tcW w:w="1158" w:type="dxa"/>
            <w:tcBorders>
              <w:top w:val="nil"/>
              <w:left w:val="nil"/>
              <w:bottom w:val="nil"/>
              <w:right w:val="nil"/>
            </w:tcBorders>
          </w:tcPr>
          <w:p w14:paraId="29A42D0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34</w:t>
            </w:r>
          </w:p>
        </w:tc>
        <w:tc>
          <w:tcPr>
            <w:tcW w:w="974" w:type="dxa"/>
            <w:tcBorders>
              <w:top w:val="nil"/>
              <w:left w:val="nil"/>
              <w:bottom w:val="nil"/>
              <w:right w:val="nil"/>
            </w:tcBorders>
          </w:tcPr>
          <w:p w14:paraId="1A6063C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42</w:t>
            </w:r>
          </w:p>
        </w:tc>
        <w:tc>
          <w:tcPr>
            <w:tcW w:w="1812" w:type="dxa"/>
            <w:tcBorders>
              <w:top w:val="nil"/>
              <w:left w:val="nil"/>
              <w:bottom w:val="nil"/>
              <w:right w:val="nil"/>
            </w:tcBorders>
          </w:tcPr>
          <w:p w14:paraId="7EE170E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37</w:t>
            </w:r>
          </w:p>
        </w:tc>
        <w:tc>
          <w:tcPr>
            <w:tcW w:w="567" w:type="dxa"/>
            <w:tcBorders>
              <w:top w:val="nil"/>
              <w:left w:val="nil"/>
              <w:bottom w:val="nil"/>
              <w:right w:val="nil"/>
            </w:tcBorders>
          </w:tcPr>
          <w:p w14:paraId="29B5EDD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35</w:t>
            </w:r>
          </w:p>
        </w:tc>
        <w:tc>
          <w:tcPr>
            <w:tcW w:w="291" w:type="dxa"/>
            <w:tcBorders>
              <w:top w:val="nil"/>
              <w:left w:val="nil"/>
              <w:bottom w:val="nil"/>
              <w:right w:val="nil"/>
            </w:tcBorders>
          </w:tcPr>
          <w:p w14:paraId="4371C96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nil"/>
              <w:right w:val="nil"/>
            </w:tcBorders>
            <w:shd w:val="clear" w:color="auto" w:fill="auto"/>
            <w:noWrap/>
            <w:vAlign w:val="bottom"/>
            <w:hideMark/>
          </w:tcPr>
          <w:p w14:paraId="7F47BFF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46</w:t>
            </w:r>
          </w:p>
        </w:tc>
        <w:tc>
          <w:tcPr>
            <w:tcW w:w="309" w:type="dxa"/>
            <w:tcBorders>
              <w:top w:val="nil"/>
              <w:left w:val="nil"/>
              <w:bottom w:val="nil"/>
              <w:right w:val="nil"/>
            </w:tcBorders>
            <w:shd w:val="clear" w:color="auto" w:fill="auto"/>
            <w:noWrap/>
            <w:vAlign w:val="bottom"/>
          </w:tcPr>
          <w:p w14:paraId="7E9C613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r w:rsidR="009B3987" w:rsidRPr="001F426A" w14:paraId="37F49C44" w14:textId="77777777" w:rsidTr="00141B6D">
        <w:trPr>
          <w:trHeight w:val="280"/>
          <w:jc w:val="center"/>
        </w:trPr>
        <w:tc>
          <w:tcPr>
            <w:tcW w:w="6823" w:type="dxa"/>
            <w:tcBorders>
              <w:top w:val="nil"/>
              <w:left w:val="nil"/>
              <w:bottom w:val="nil"/>
              <w:right w:val="nil"/>
            </w:tcBorders>
            <w:shd w:val="clear" w:color="auto" w:fill="auto"/>
            <w:vAlign w:val="bottom"/>
            <w:hideMark/>
          </w:tcPr>
          <w:p w14:paraId="710C41C7"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Keeping up with changing requirements</w:t>
            </w:r>
          </w:p>
        </w:tc>
        <w:tc>
          <w:tcPr>
            <w:tcW w:w="1140" w:type="dxa"/>
            <w:tcBorders>
              <w:top w:val="nil"/>
              <w:left w:val="nil"/>
              <w:bottom w:val="nil"/>
              <w:right w:val="nil"/>
            </w:tcBorders>
            <w:shd w:val="clear" w:color="auto" w:fill="auto"/>
            <w:noWrap/>
            <w:vAlign w:val="bottom"/>
            <w:hideMark/>
          </w:tcPr>
          <w:p w14:paraId="7E44709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66</w:t>
            </w:r>
          </w:p>
        </w:tc>
        <w:tc>
          <w:tcPr>
            <w:tcW w:w="1158" w:type="dxa"/>
            <w:tcBorders>
              <w:top w:val="nil"/>
              <w:left w:val="nil"/>
              <w:bottom w:val="nil"/>
              <w:right w:val="nil"/>
            </w:tcBorders>
          </w:tcPr>
          <w:p w14:paraId="22A14B0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47</w:t>
            </w:r>
          </w:p>
        </w:tc>
        <w:tc>
          <w:tcPr>
            <w:tcW w:w="974" w:type="dxa"/>
            <w:tcBorders>
              <w:top w:val="nil"/>
              <w:left w:val="nil"/>
              <w:bottom w:val="nil"/>
              <w:right w:val="nil"/>
            </w:tcBorders>
          </w:tcPr>
          <w:p w14:paraId="20C7CEC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32</w:t>
            </w:r>
          </w:p>
        </w:tc>
        <w:tc>
          <w:tcPr>
            <w:tcW w:w="1812" w:type="dxa"/>
            <w:tcBorders>
              <w:top w:val="nil"/>
              <w:left w:val="nil"/>
              <w:bottom w:val="nil"/>
              <w:right w:val="nil"/>
            </w:tcBorders>
          </w:tcPr>
          <w:p w14:paraId="2C5407C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47</w:t>
            </w:r>
          </w:p>
        </w:tc>
        <w:tc>
          <w:tcPr>
            <w:tcW w:w="567" w:type="dxa"/>
            <w:tcBorders>
              <w:top w:val="nil"/>
              <w:left w:val="nil"/>
              <w:bottom w:val="nil"/>
              <w:right w:val="nil"/>
            </w:tcBorders>
          </w:tcPr>
          <w:p w14:paraId="2EBB173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40</w:t>
            </w:r>
          </w:p>
        </w:tc>
        <w:tc>
          <w:tcPr>
            <w:tcW w:w="291" w:type="dxa"/>
            <w:tcBorders>
              <w:top w:val="nil"/>
              <w:left w:val="nil"/>
              <w:bottom w:val="nil"/>
              <w:right w:val="nil"/>
            </w:tcBorders>
          </w:tcPr>
          <w:p w14:paraId="5A765C1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nil"/>
              <w:right w:val="nil"/>
            </w:tcBorders>
            <w:shd w:val="clear" w:color="auto" w:fill="auto"/>
            <w:noWrap/>
            <w:vAlign w:val="bottom"/>
            <w:hideMark/>
          </w:tcPr>
          <w:p w14:paraId="09B8BB2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55</w:t>
            </w:r>
          </w:p>
        </w:tc>
        <w:tc>
          <w:tcPr>
            <w:tcW w:w="309" w:type="dxa"/>
            <w:tcBorders>
              <w:top w:val="nil"/>
              <w:left w:val="nil"/>
              <w:bottom w:val="nil"/>
              <w:right w:val="nil"/>
            </w:tcBorders>
            <w:shd w:val="clear" w:color="auto" w:fill="auto"/>
            <w:noWrap/>
            <w:vAlign w:val="bottom"/>
          </w:tcPr>
          <w:p w14:paraId="0EF068E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r w:rsidR="009B3987" w:rsidRPr="001F426A" w14:paraId="0546F402" w14:textId="77777777" w:rsidTr="00141B6D">
        <w:trPr>
          <w:trHeight w:val="255"/>
          <w:jc w:val="center"/>
        </w:trPr>
        <w:tc>
          <w:tcPr>
            <w:tcW w:w="6823" w:type="dxa"/>
            <w:tcBorders>
              <w:top w:val="nil"/>
              <w:left w:val="nil"/>
              <w:bottom w:val="nil"/>
              <w:right w:val="nil"/>
            </w:tcBorders>
            <w:shd w:val="clear" w:color="auto" w:fill="auto"/>
            <w:vAlign w:val="bottom"/>
            <w:hideMark/>
          </w:tcPr>
          <w:p w14:paraId="3E1BA156"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Addressing parent or guardian concerns</w:t>
            </w:r>
          </w:p>
        </w:tc>
        <w:tc>
          <w:tcPr>
            <w:tcW w:w="1140" w:type="dxa"/>
            <w:tcBorders>
              <w:top w:val="nil"/>
              <w:left w:val="nil"/>
              <w:bottom w:val="nil"/>
              <w:right w:val="nil"/>
            </w:tcBorders>
            <w:shd w:val="clear" w:color="auto" w:fill="auto"/>
            <w:noWrap/>
            <w:vAlign w:val="bottom"/>
            <w:hideMark/>
          </w:tcPr>
          <w:p w14:paraId="450948C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57</w:t>
            </w:r>
          </w:p>
        </w:tc>
        <w:tc>
          <w:tcPr>
            <w:tcW w:w="1158" w:type="dxa"/>
            <w:tcBorders>
              <w:top w:val="nil"/>
              <w:left w:val="nil"/>
              <w:bottom w:val="nil"/>
              <w:right w:val="nil"/>
            </w:tcBorders>
          </w:tcPr>
          <w:p w14:paraId="10396FF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43</w:t>
            </w:r>
          </w:p>
        </w:tc>
        <w:tc>
          <w:tcPr>
            <w:tcW w:w="974" w:type="dxa"/>
            <w:tcBorders>
              <w:top w:val="nil"/>
              <w:left w:val="nil"/>
              <w:bottom w:val="nil"/>
              <w:right w:val="nil"/>
            </w:tcBorders>
          </w:tcPr>
          <w:p w14:paraId="0688BAF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38</w:t>
            </w:r>
          </w:p>
        </w:tc>
        <w:tc>
          <w:tcPr>
            <w:tcW w:w="1812" w:type="dxa"/>
            <w:tcBorders>
              <w:top w:val="nil"/>
              <w:left w:val="nil"/>
              <w:bottom w:val="nil"/>
              <w:right w:val="nil"/>
            </w:tcBorders>
          </w:tcPr>
          <w:p w14:paraId="46782DC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44</w:t>
            </w:r>
          </w:p>
        </w:tc>
        <w:tc>
          <w:tcPr>
            <w:tcW w:w="567" w:type="dxa"/>
            <w:tcBorders>
              <w:top w:val="nil"/>
              <w:left w:val="nil"/>
              <w:bottom w:val="nil"/>
              <w:right w:val="nil"/>
            </w:tcBorders>
          </w:tcPr>
          <w:p w14:paraId="0B80112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35</w:t>
            </w:r>
          </w:p>
        </w:tc>
        <w:tc>
          <w:tcPr>
            <w:tcW w:w="291" w:type="dxa"/>
            <w:tcBorders>
              <w:top w:val="nil"/>
              <w:left w:val="nil"/>
              <w:bottom w:val="nil"/>
              <w:right w:val="nil"/>
            </w:tcBorders>
          </w:tcPr>
          <w:p w14:paraId="4B1F601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nil"/>
              <w:right w:val="nil"/>
            </w:tcBorders>
            <w:shd w:val="clear" w:color="auto" w:fill="auto"/>
            <w:noWrap/>
            <w:vAlign w:val="bottom"/>
            <w:hideMark/>
          </w:tcPr>
          <w:p w14:paraId="0DB6E29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46</w:t>
            </w:r>
          </w:p>
        </w:tc>
        <w:tc>
          <w:tcPr>
            <w:tcW w:w="309" w:type="dxa"/>
            <w:tcBorders>
              <w:top w:val="nil"/>
              <w:left w:val="nil"/>
              <w:bottom w:val="nil"/>
              <w:right w:val="nil"/>
            </w:tcBorders>
            <w:shd w:val="clear" w:color="auto" w:fill="auto"/>
            <w:noWrap/>
            <w:vAlign w:val="bottom"/>
          </w:tcPr>
          <w:p w14:paraId="3C1ED10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r w:rsidR="009B3987" w:rsidRPr="001F426A" w14:paraId="05BB2B01" w14:textId="77777777" w:rsidTr="00141B6D">
        <w:trPr>
          <w:trHeight w:val="255"/>
          <w:jc w:val="center"/>
        </w:trPr>
        <w:tc>
          <w:tcPr>
            <w:tcW w:w="6823" w:type="dxa"/>
            <w:tcBorders>
              <w:top w:val="nil"/>
              <w:left w:val="nil"/>
              <w:bottom w:val="nil"/>
              <w:right w:val="nil"/>
            </w:tcBorders>
            <w:shd w:val="clear" w:color="auto" w:fill="auto"/>
            <w:vAlign w:val="bottom"/>
            <w:hideMark/>
          </w:tcPr>
          <w:p w14:paraId="0E0BB61D"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Maintaining school discipline</w:t>
            </w:r>
          </w:p>
        </w:tc>
        <w:tc>
          <w:tcPr>
            <w:tcW w:w="1140" w:type="dxa"/>
            <w:tcBorders>
              <w:top w:val="nil"/>
              <w:left w:val="nil"/>
              <w:bottom w:val="nil"/>
              <w:right w:val="nil"/>
            </w:tcBorders>
            <w:shd w:val="clear" w:color="auto" w:fill="auto"/>
            <w:noWrap/>
            <w:vAlign w:val="bottom"/>
            <w:hideMark/>
          </w:tcPr>
          <w:p w14:paraId="725631A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40</w:t>
            </w:r>
          </w:p>
        </w:tc>
        <w:tc>
          <w:tcPr>
            <w:tcW w:w="1158" w:type="dxa"/>
            <w:tcBorders>
              <w:top w:val="nil"/>
              <w:left w:val="nil"/>
              <w:bottom w:val="nil"/>
              <w:right w:val="nil"/>
            </w:tcBorders>
          </w:tcPr>
          <w:p w14:paraId="6FBBB991"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37</w:t>
            </w:r>
          </w:p>
        </w:tc>
        <w:tc>
          <w:tcPr>
            <w:tcW w:w="974" w:type="dxa"/>
            <w:tcBorders>
              <w:top w:val="nil"/>
              <w:left w:val="nil"/>
              <w:bottom w:val="nil"/>
              <w:right w:val="nil"/>
            </w:tcBorders>
          </w:tcPr>
          <w:p w14:paraId="0FCAF11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36</w:t>
            </w:r>
          </w:p>
        </w:tc>
        <w:tc>
          <w:tcPr>
            <w:tcW w:w="1812" w:type="dxa"/>
            <w:tcBorders>
              <w:top w:val="nil"/>
              <w:left w:val="nil"/>
              <w:bottom w:val="nil"/>
              <w:right w:val="nil"/>
            </w:tcBorders>
          </w:tcPr>
          <w:p w14:paraId="778F5A6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38</w:t>
            </w:r>
          </w:p>
        </w:tc>
        <w:tc>
          <w:tcPr>
            <w:tcW w:w="567" w:type="dxa"/>
            <w:tcBorders>
              <w:top w:val="nil"/>
              <w:left w:val="nil"/>
              <w:bottom w:val="nil"/>
              <w:right w:val="nil"/>
            </w:tcBorders>
          </w:tcPr>
          <w:p w14:paraId="518C7FA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44</w:t>
            </w:r>
          </w:p>
        </w:tc>
        <w:tc>
          <w:tcPr>
            <w:tcW w:w="291" w:type="dxa"/>
            <w:tcBorders>
              <w:top w:val="nil"/>
              <w:left w:val="nil"/>
              <w:bottom w:val="nil"/>
              <w:right w:val="nil"/>
            </w:tcBorders>
          </w:tcPr>
          <w:p w14:paraId="160A204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nil"/>
              <w:right w:val="nil"/>
            </w:tcBorders>
            <w:shd w:val="clear" w:color="auto" w:fill="auto"/>
            <w:noWrap/>
            <w:vAlign w:val="bottom"/>
            <w:hideMark/>
          </w:tcPr>
          <w:p w14:paraId="1D85323D"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42</w:t>
            </w:r>
          </w:p>
        </w:tc>
        <w:tc>
          <w:tcPr>
            <w:tcW w:w="309" w:type="dxa"/>
            <w:tcBorders>
              <w:top w:val="nil"/>
              <w:left w:val="nil"/>
              <w:bottom w:val="nil"/>
              <w:right w:val="nil"/>
            </w:tcBorders>
            <w:shd w:val="clear" w:color="auto" w:fill="auto"/>
            <w:noWrap/>
            <w:vAlign w:val="bottom"/>
          </w:tcPr>
          <w:p w14:paraId="19E51DF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r w:rsidR="009B3987" w:rsidRPr="001F426A" w14:paraId="3649D463" w14:textId="77777777" w:rsidTr="00141B6D">
        <w:trPr>
          <w:trHeight w:val="255"/>
          <w:jc w:val="center"/>
        </w:trPr>
        <w:tc>
          <w:tcPr>
            <w:tcW w:w="6823" w:type="dxa"/>
            <w:tcBorders>
              <w:top w:val="nil"/>
              <w:left w:val="nil"/>
              <w:bottom w:val="nil"/>
              <w:right w:val="nil"/>
            </w:tcBorders>
            <w:shd w:val="clear" w:color="auto" w:fill="auto"/>
            <w:vAlign w:val="bottom"/>
            <w:hideMark/>
          </w:tcPr>
          <w:p w14:paraId="786D8786"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Being intimidated or verbally abused by students</w:t>
            </w:r>
          </w:p>
        </w:tc>
        <w:tc>
          <w:tcPr>
            <w:tcW w:w="1140" w:type="dxa"/>
            <w:tcBorders>
              <w:top w:val="nil"/>
              <w:left w:val="nil"/>
              <w:bottom w:val="nil"/>
              <w:right w:val="nil"/>
            </w:tcBorders>
            <w:shd w:val="clear" w:color="auto" w:fill="auto"/>
            <w:noWrap/>
            <w:vAlign w:val="bottom"/>
            <w:hideMark/>
          </w:tcPr>
          <w:p w14:paraId="1CF5086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w:t>
            </w:r>
          </w:p>
        </w:tc>
        <w:tc>
          <w:tcPr>
            <w:tcW w:w="1158" w:type="dxa"/>
            <w:tcBorders>
              <w:top w:val="nil"/>
              <w:left w:val="nil"/>
              <w:bottom w:val="nil"/>
              <w:right w:val="nil"/>
            </w:tcBorders>
          </w:tcPr>
          <w:p w14:paraId="7F513B6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w:t>
            </w:r>
          </w:p>
        </w:tc>
        <w:tc>
          <w:tcPr>
            <w:tcW w:w="974" w:type="dxa"/>
            <w:tcBorders>
              <w:top w:val="nil"/>
              <w:left w:val="nil"/>
              <w:bottom w:val="nil"/>
              <w:right w:val="nil"/>
            </w:tcBorders>
          </w:tcPr>
          <w:p w14:paraId="6A60B748"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w:t>
            </w:r>
          </w:p>
        </w:tc>
        <w:tc>
          <w:tcPr>
            <w:tcW w:w="1812" w:type="dxa"/>
            <w:tcBorders>
              <w:top w:val="nil"/>
              <w:left w:val="nil"/>
              <w:bottom w:val="nil"/>
              <w:right w:val="nil"/>
            </w:tcBorders>
          </w:tcPr>
          <w:p w14:paraId="1B642F7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w:t>
            </w:r>
          </w:p>
        </w:tc>
        <w:tc>
          <w:tcPr>
            <w:tcW w:w="567" w:type="dxa"/>
            <w:tcBorders>
              <w:top w:val="nil"/>
              <w:left w:val="nil"/>
              <w:bottom w:val="nil"/>
              <w:right w:val="nil"/>
            </w:tcBorders>
          </w:tcPr>
          <w:p w14:paraId="6D7E51D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w:t>
            </w:r>
          </w:p>
        </w:tc>
        <w:tc>
          <w:tcPr>
            <w:tcW w:w="291" w:type="dxa"/>
            <w:tcBorders>
              <w:top w:val="nil"/>
              <w:left w:val="nil"/>
              <w:bottom w:val="nil"/>
              <w:right w:val="nil"/>
            </w:tcBorders>
          </w:tcPr>
          <w:p w14:paraId="22172609"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nil"/>
              <w:right w:val="nil"/>
            </w:tcBorders>
            <w:shd w:val="clear" w:color="auto" w:fill="auto"/>
            <w:noWrap/>
            <w:vAlign w:val="bottom"/>
            <w:hideMark/>
          </w:tcPr>
          <w:p w14:paraId="6D1AFB43"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w:t>
            </w:r>
          </w:p>
        </w:tc>
        <w:tc>
          <w:tcPr>
            <w:tcW w:w="309" w:type="dxa"/>
            <w:tcBorders>
              <w:top w:val="nil"/>
              <w:left w:val="nil"/>
              <w:bottom w:val="nil"/>
              <w:right w:val="nil"/>
            </w:tcBorders>
            <w:shd w:val="clear" w:color="auto" w:fill="auto"/>
            <w:noWrap/>
            <w:vAlign w:val="bottom"/>
          </w:tcPr>
          <w:p w14:paraId="3F262AE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r w:rsidR="009B3987" w:rsidRPr="001F426A" w14:paraId="2D705ADB" w14:textId="77777777" w:rsidTr="00141B6D">
        <w:trPr>
          <w:trHeight w:val="255"/>
          <w:jc w:val="center"/>
        </w:trPr>
        <w:tc>
          <w:tcPr>
            <w:tcW w:w="6823" w:type="dxa"/>
            <w:tcBorders>
              <w:top w:val="nil"/>
              <w:left w:val="nil"/>
              <w:bottom w:val="nil"/>
              <w:right w:val="nil"/>
            </w:tcBorders>
            <w:shd w:val="clear" w:color="auto" w:fill="auto"/>
            <w:vAlign w:val="bottom"/>
            <w:hideMark/>
          </w:tcPr>
          <w:p w14:paraId="4965B155"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extra duties due to absent school staff</w:t>
            </w:r>
          </w:p>
        </w:tc>
        <w:tc>
          <w:tcPr>
            <w:tcW w:w="1140" w:type="dxa"/>
            <w:tcBorders>
              <w:top w:val="nil"/>
              <w:left w:val="nil"/>
              <w:bottom w:val="nil"/>
              <w:right w:val="nil"/>
            </w:tcBorders>
            <w:shd w:val="clear" w:color="auto" w:fill="auto"/>
            <w:noWrap/>
            <w:vAlign w:val="bottom"/>
            <w:hideMark/>
          </w:tcPr>
          <w:p w14:paraId="5D50DBC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30</w:t>
            </w:r>
          </w:p>
        </w:tc>
        <w:tc>
          <w:tcPr>
            <w:tcW w:w="1158" w:type="dxa"/>
            <w:tcBorders>
              <w:top w:val="nil"/>
              <w:left w:val="nil"/>
              <w:bottom w:val="nil"/>
              <w:right w:val="nil"/>
            </w:tcBorders>
          </w:tcPr>
          <w:p w14:paraId="020C293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18</w:t>
            </w:r>
          </w:p>
        </w:tc>
        <w:tc>
          <w:tcPr>
            <w:tcW w:w="974" w:type="dxa"/>
            <w:tcBorders>
              <w:top w:val="nil"/>
              <w:left w:val="nil"/>
              <w:bottom w:val="nil"/>
              <w:right w:val="nil"/>
            </w:tcBorders>
          </w:tcPr>
          <w:p w14:paraId="279657E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w:t>
            </w:r>
          </w:p>
        </w:tc>
        <w:tc>
          <w:tcPr>
            <w:tcW w:w="1812" w:type="dxa"/>
            <w:tcBorders>
              <w:top w:val="nil"/>
              <w:left w:val="nil"/>
              <w:bottom w:val="nil"/>
              <w:right w:val="nil"/>
            </w:tcBorders>
          </w:tcPr>
          <w:p w14:paraId="4DB838B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19</w:t>
            </w:r>
          </w:p>
        </w:tc>
        <w:tc>
          <w:tcPr>
            <w:tcW w:w="567" w:type="dxa"/>
            <w:tcBorders>
              <w:top w:val="nil"/>
              <w:left w:val="nil"/>
              <w:bottom w:val="nil"/>
              <w:right w:val="nil"/>
            </w:tcBorders>
          </w:tcPr>
          <w:p w14:paraId="2F6429CF"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14</w:t>
            </w:r>
          </w:p>
        </w:tc>
        <w:tc>
          <w:tcPr>
            <w:tcW w:w="291" w:type="dxa"/>
            <w:tcBorders>
              <w:top w:val="nil"/>
              <w:left w:val="nil"/>
              <w:bottom w:val="nil"/>
              <w:right w:val="nil"/>
            </w:tcBorders>
          </w:tcPr>
          <w:p w14:paraId="30A4AA9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nil"/>
              <w:right w:val="nil"/>
            </w:tcBorders>
            <w:shd w:val="clear" w:color="auto" w:fill="auto"/>
            <w:noWrap/>
            <w:vAlign w:val="bottom"/>
            <w:hideMark/>
          </w:tcPr>
          <w:p w14:paraId="3830314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37</w:t>
            </w:r>
          </w:p>
        </w:tc>
        <w:tc>
          <w:tcPr>
            <w:tcW w:w="309" w:type="dxa"/>
            <w:tcBorders>
              <w:top w:val="nil"/>
              <w:left w:val="nil"/>
              <w:bottom w:val="nil"/>
              <w:right w:val="nil"/>
            </w:tcBorders>
            <w:shd w:val="clear" w:color="auto" w:fill="auto"/>
            <w:noWrap/>
            <w:vAlign w:val="bottom"/>
          </w:tcPr>
          <w:p w14:paraId="2BDF37E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r w:rsidR="009B3987" w:rsidRPr="001F426A" w14:paraId="34E49973" w14:textId="77777777" w:rsidTr="00141B6D">
        <w:trPr>
          <w:trHeight w:val="255"/>
          <w:jc w:val="center"/>
        </w:trPr>
        <w:tc>
          <w:tcPr>
            <w:tcW w:w="6823" w:type="dxa"/>
            <w:tcBorders>
              <w:top w:val="nil"/>
              <w:left w:val="nil"/>
              <w:bottom w:val="nil"/>
              <w:right w:val="nil"/>
            </w:tcBorders>
            <w:shd w:val="clear" w:color="auto" w:fill="auto"/>
            <w:vAlign w:val="bottom"/>
            <w:hideMark/>
          </w:tcPr>
          <w:p w14:paraId="4A5A5767"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administrative work to do</w:t>
            </w:r>
          </w:p>
        </w:tc>
        <w:tc>
          <w:tcPr>
            <w:tcW w:w="1140" w:type="dxa"/>
            <w:tcBorders>
              <w:top w:val="nil"/>
              <w:left w:val="nil"/>
              <w:bottom w:val="nil"/>
              <w:right w:val="nil"/>
            </w:tcBorders>
            <w:shd w:val="clear" w:color="auto" w:fill="auto"/>
            <w:noWrap/>
            <w:vAlign w:val="bottom"/>
            <w:hideMark/>
          </w:tcPr>
          <w:p w14:paraId="06D7EE1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59</w:t>
            </w:r>
          </w:p>
        </w:tc>
        <w:tc>
          <w:tcPr>
            <w:tcW w:w="1158" w:type="dxa"/>
            <w:tcBorders>
              <w:top w:val="nil"/>
              <w:left w:val="nil"/>
              <w:bottom w:val="nil"/>
              <w:right w:val="nil"/>
            </w:tcBorders>
          </w:tcPr>
          <w:p w14:paraId="24D518B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74</w:t>
            </w:r>
          </w:p>
        </w:tc>
        <w:tc>
          <w:tcPr>
            <w:tcW w:w="974" w:type="dxa"/>
            <w:tcBorders>
              <w:top w:val="nil"/>
              <w:left w:val="nil"/>
              <w:bottom w:val="nil"/>
              <w:right w:val="nil"/>
            </w:tcBorders>
          </w:tcPr>
          <w:p w14:paraId="1E21AE6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47</w:t>
            </w:r>
          </w:p>
        </w:tc>
        <w:tc>
          <w:tcPr>
            <w:tcW w:w="1812" w:type="dxa"/>
            <w:tcBorders>
              <w:top w:val="nil"/>
              <w:left w:val="nil"/>
              <w:bottom w:val="nil"/>
              <w:right w:val="nil"/>
            </w:tcBorders>
          </w:tcPr>
          <w:p w14:paraId="0D2B4B74"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63</w:t>
            </w:r>
          </w:p>
        </w:tc>
        <w:tc>
          <w:tcPr>
            <w:tcW w:w="567" w:type="dxa"/>
            <w:tcBorders>
              <w:top w:val="nil"/>
              <w:left w:val="nil"/>
              <w:bottom w:val="nil"/>
              <w:right w:val="nil"/>
            </w:tcBorders>
          </w:tcPr>
          <w:p w14:paraId="50FA6BE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54</w:t>
            </w:r>
          </w:p>
        </w:tc>
        <w:tc>
          <w:tcPr>
            <w:tcW w:w="291" w:type="dxa"/>
            <w:tcBorders>
              <w:top w:val="nil"/>
              <w:left w:val="nil"/>
              <w:bottom w:val="nil"/>
              <w:right w:val="nil"/>
            </w:tcBorders>
          </w:tcPr>
          <w:p w14:paraId="320AFAD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nil"/>
              <w:right w:val="nil"/>
            </w:tcBorders>
            <w:shd w:val="clear" w:color="auto" w:fill="auto"/>
            <w:noWrap/>
            <w:vAlign w:val="bottom"/>
            <w:hideMark/>
          </w:tcPr>
          <w:p w14:paraId="6A4646E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69</w:t>
            </w:r>
          </w:p>
        </w:tc>
        <w:tc>
          <w:tcPr>
            <w:tcW w:w="309" w:type="dxa"/>
            <w:tcBorders>
              <w:top w:val="nil"/>
              <w:left w:val="nil"/>
              <w:bottom w:val="nil"/>
              <w:right w:val="nil"/>
            </w:tcBorders>
            <w:shd w:val="clear" w:color="auto" w:fill="auto"/>
            <w:noWrap/>
            <w:vAlign w:val="bottom"/>
          </w:tcPr>
          <w:p w14:paraId="251BC1C0"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r w:rsidR="009B3987" w:rsidRPr="001F426A" w14:paraId="48C5B61A" w14:textId="77777777" w:rsidTr="00141B6D">
        <w:trPr>
          <w:trHeight w:val="335"/>
          <w:jc w:val="center"/>
        </w:trPr>
        <w:tc>
          <w:tcPr>
            <w:tcW w:w="6823" w:type="dxa"/>
            <w:tcBorders>
              <w:top w:val="nil"/>
              <w:left w:val="nil"/>
              <w:bottom w:val="nil"/>
              <w:right w:val="nil"/>
            </w:tcBorders>
            <w:shd w:val="clear" w:color="auto" w:fill="auto"/>
            <w:vAlign w:val="bottom"/>
            <w:hideMark/>
          </w:tcPr>
          <w:p w14:paraId="40DF9B2E"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Having too much teacher appraisal and feedback work to do</w:t>
            </w:r>
          </w:p>
        </w:tc>
        <w:tc>
          <w:tcPr>
            <w:tcW w:w="1140" w:type="dxa"/>
            <w:tcBorders>
              <w:top w:val="nil"/>
              <w:left w:val="nil"/>
              <w:bottom w:val="nil"/>
              <w:right w:val="nil"/>
            </w:tcBorders>
            <w:shd w:val="clear" w:color="auto" w:fill="auto"/>
            <w:noWrap/>
            <w:vAlign w:val="bottom"/>
            <w:hideMark/>
          </w:tcPr>
          <w:p w14:paraId="5D511BB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16</w:t>
            </w:r>
          </w:p>
        </w:tc>
        <w:tc>
          <w:tcPr>
            <w:tcW w:w="1158" w:type="dxa"/>
            <w:tcBorders>
              <w:top w:val="nil"/>
              <w:left w:val="nil"/>
              <w:bottom w:val="nil"/>
              <w:right w:val="nil"/>
            </w:tcBorders>
          </w:tcPr>
          <w:p w14:paraId="0BA0F37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9</w:t>
            </w:r>
          </w:p>
        </w:tc>
        <w:tc>
          <w:tcPr>
            <w:tcW w:w="974" w:type="dxa"/>
            <w:tcBorders>
              <w:top w:val="nil"/>
              <w:left w:val="nil"/>
              <w:bottom w:val="nil"/>
              <w:right w:val="nil"/>
            </w:tcBorders>
          </w:tcPr>
          <w:p w14:paraId="38A876E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20</w:t>
            </w:r>
          </w:p>
        </w:tc>
        <w:tc>
          <w:tcPr>
            <w:tcW w:w="1812" w:type="dxa"/>
            <w:tcBorders>
              <w:top w:val="nil"/>
              <w:left w:val="nil"/>
              <w:bottom w:val="nil"/>
              <w:right w:val="nil"/>
            </w:tcBorders>
          </w:tcPr>
          <w:p w14:paraId="31E6DDA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w:t>
            </w:r>
          </w:p>
        </w:tc>
        <w:tc>
          <w:tcPr>
            <w:tcW w:w="567" w:type="dxa"/>
            <w:tcBorders>
              <w:top w:val="nil"/>
              <w:left w:val="nil"/>
              <w:bottom w:val="nil"/>
              <w:right w:val="nil"/>
            </w:tcBorders>
          </w:tcPr>
          <w:p w14:paraId="00D31A8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37</w:t>
            </w:r>
          </w:p>
        </w:tc>
        <w:tc>
          <w:tcPr>
            <w:tcW w:w="291" w:type="dxa"/>
            <w:tcBorders>
              <w:top w:val="nil"/>
              <w:left w:val="nil"/>
              <w:bottom w:val="nil"/>
              <w:right w:val="nil"/>
            </w:tcBorders>
          </w:tcPr>
          <w:p w14:paraId="3DAE71D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nil"/>
              <w:right w:val="nil"/>
            </w:tcBorders>
            <w:shd w:val="clear" w:color="auto" w:fill="auto"/>
            <w:noWrap/>
            <w:vAlign w:val="bottom"/>
            <w:hideMark/>
          </w:tcPr>
          <w:p w14:paraId="6852C83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28</w:t>
            </w:r>
          </w:p>
        </w:tc>
        <w:tc>
          <w:tcPr>
            <w:tcW w:w="309" w:type="dxa"/>
            <w:tcBorders>
              <w:top w:val="nil"/>
              <w:left w:val="nil"/>
              <w:bottom w:val="nil"/>
              <w:right w:val="nil"/>
            </w:tcBorders>
            <w:shd w:val="clear" w:color="auto" w:fill="auto"/>
            <w:noWrap/>
            <w:vAlign w:val="bottom"/>
          </w:tcPr>
          <w:p w14:paraId="4AD782E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r w:rsidR="009B3987" w:rsidRPr="001F426A" w14:paraId="784683C3" w14:textId="77777777" w:rsidTr="00141B6D">
        <w:trPr>
          <w:trHeight w:val="268"/>
          <w:jc w:val="center"/>
        </w:trPr>
        <w:tc>
          <w:tcPr>
            <w:tcW w:w="6823" w:type="dxa"/>
            <w:tcBorders>
              <w:top w:val="nil"/>
              <w:left w:val="nil"/>
              <w:bottom w:val="single" w:sz="4" w:space="0" w:color="auto"/>
              <w:right w:val="nil"/>
            </w:tcBorders>
            <w:shd w:val="clear" w:color="auto" w:fill="auto"/>
            <w:vAlign w:val="bottom"/>
            <w:hideMark/>
          </w:tcPr>
          <w:p w14:paraId="63E7E9A5" w14:textId="77777777" w:rsidR="009B3987" w:rsidRPr="001F426A" w:rsidRDefault="009B3987" w:rsidP="00141B6D">
            <w:pPr>
              <w:spacing w:after="0" w:line="240" w:lineRule="auto"/>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Accommodating students with special educational needs</w:t>
            </w:r>
          </w:p>
        </w:tc>
        <w:tc>
          <w:tcPr>
            <w:tcW w:w="1140" w:type="dxa"/>
            <w:tcBorders>
              <w:top w:val="nil"/>
              <w:left w:val="nil"/>
              <w:bottom w:val="single" w:sz="4" w:space="0" w:color="auto"/>
              <w:right w:val="nil"/>
            </w:tcBorders>
            <w:shd w:val="clear" w:color="auto" w:fill="auto"/>
            <w:noWrap/>
            <w:vAlign w:val="bottom"/>
            <w:hideMark/>
          </w:tcPr>
          <w:p w14:paraId="52FB55D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15</w:t>
            </w:r>
          </w:p>
        </w:tc>
        <w:tc>
          <w:tcPr>
            <w:tcW w:w="1158" w:type="dxa"/>
            <w:tcBorders>
              <w:top w:val="nil"/>
              <w:left w:val="nil"/>
              <w:bottom w:val="single" w:sz="4" w:space="0" w:color="auto"/>
              <w:right w:val="nil"/>
            </w:tcBorders>
          </w:tcPr>
          <w:p w14:paraId="0F197027"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18</w:t>
            </w:r>
          </w:p>
        </w:tc>
        <w:tc>
          <w:tcPr>
            <w:tcW w:w="974" w:type="dxa"/>
            <w:tcBorders>
              <w:top w:val="nil"/>
              <w:left w:val="nil"/>
              <w:bottom w:val="single" w:sz="4" w:space="0" w:color="auto"/>
              <w:right w:val="nil"/>
            </w:tcBorders>
          </w:tcPr>
          <w:p w14:paraId="5DF0477B"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26</w:t>
            </w:r>
          </w:p>
        </w:tc>
        <w:tc>
          <w:tcPr>
            <w:tcW w:w="1812" w:type="dxa"/>
            <w:tcBorders>
              <w:top w:val="nil"/>
              <w:left w:val="nil"/>
              <w:bottom w:val="single" w:sz="4" w:space="0" w:color="auto"/>
              <w:right w:val="nil"/>
            </w:tcBorders>
          </w:tcPr>
          <w:p w14:paraId="65F3262E"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w:t>
            </w:r>
          </w:p>
        </w:tc>
        <w:tc>
          <w:tcPr>
            <w:tcW w:w="567" w:type="dxa"/>
            <w:tcBorders>
              <w:top w:val="nil"/>
              <w:left w:val="nil"/>
              <w:bottom w:val="single" w:sz="4" w:space="0" w:color="auto"/>
              <w:right w:val="nil"/>
            </w:tcBorders>
          </w:tcPr>
          <w:p w14:paraId="3C0C8D26"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24</w:t>
            </w:r>
          </w:p>
        </w:tc>
        <w:tc>
          <w:tcPr>
            <w:tcW w:w="291" w:type="dxa"/>
            <w:tcBorders>
              <w:top w:val="nil"/>
              <w:left w:val="nil"/>
              <w:bottom w:val="single" w:sz="4" w:space="0" w:color="auto"/>
              <w:right w:val="nil"/>
            </w:tcBorders>
          </w:tcPr>
          <w:p w14:paraId="488FCDDC"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c>
          <w:tcPr>
            <w:tcW w:w="960" w:type="dxa"/>
            <w:tcBorders>
              <w:top w:val="nil"/>
              <w:left w:val="nil"/>
              <w:bottom w:val="single" w:sz="4" w:space="0" w:color="auto"/>
              <w:right w:val="nil"/>
            </w:tcBorders>
            <w:shd w:val="clear" w:color="auto" w:fill="auto"/>
            <w:noWrap/>
            <w:vAlign w:val="bottom"/>
            <w:hideMark/>
          </w:tcPr>
          <w:p w14:paraId="4FD94FB5"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r w:rsidRPr="001F426A">
              <w:rPr>
                <w:rFonts w:ascii="Times New Roman" w:eastAsia="Times New Roman" w:hAnsi="Times New Roman" w:cs="Times New Roman"/>
                <w:sz w:val="24"/>
                <w:szCs w:val="24"/>
                <w:lang w:eastAsia="en-GB"/>
              </w:rPr>
              <w:t>30</w:t>
            </w:r>
          </w:p>
        </w:tc>
        <w:tc>
          <w:tcPr>
            <w:tcW w:w="309" w:type="dxa"/>
            <w:tcBorders>
              <w:top w:val="nil"/>
              <w:left w:val="nil"/>
              <w:bottom w:val="single" w:sz="4" w:space="0" w:color="auto"/>
              <w:right w:val="nil"/>
            </w:tcBorders>
            <w:shd w:val="clear" w:color="auto" w:fill="auto"/>
            <w:noWrap/>
            <w:vAlign w:val="bottom"/>
          </w:tcPr>
          <w:p w14:paraId="5ED3A3FA" w14:textId="77777777" w:rsidR="009B3987" w:rsidRPr="001F426A" w:rsidRDefault="009B3987" w:rsidP="00141B6D">
            <w:pPr>
              <w:spacing w:after="0" w:line="240" w:lineRule="auto"/>
              <w:jc w:val="center"/>
              <w:rPr>
                <w:rFonts w:ascii="Times New Roman" w:eastAsia="Times New Roman" w:hAnsi="Times New Roman" w:cs="Times New Roman"/>
                <w:sz w:val="24"/>
                <w:szCs w:val="24"/>
                <w:lang w:eastAsia="en-GB"/>
              </w:rPr>
            </w:pPr>
          </w:p>
        </w:tc>
      </w:tr>
    </w:tbl>
    <w:p w14:paraId="4439B6CB" w14:textId="77777777" w:rsidR="009B3987" w:rsidRPr="001F426A" w:rsidRDefault="009B3987" w:rsidP="009B3987">
      <w:pPr>
        <w:rPr>
          <w:rFonts w:ascii="Times New Roman" w:hAnsi="Times New Roman" w:cs="Times New Roman"/>
          <w:b/>
          <w:sz w:val="21"/>
          <w:szCs w:val="21"/>
        </w:rPr>
      </w:pPr>
      <w:r w:rsidRPr="008B4E20">
        <w:rPr>
          <w:rFonts w:ascii="Times New Roman" w:hAnsi="Times New Roman" w:cs="Times New Roman"/>
          <w:bCs/>
          <w:sz w:val="21"/>
          <w:szCs w:val="21"/>
        </w:rPr>
        <w:t>Notes:</w:t>
      </w:r>
      <w:r w:rsidRPr="001F426A">
        <w:rPr>
          <w:rFonts w:ascii="Times New Roman" w:hAnsi="Times New Roman" w:cs="Times New Roman"/>
          <w:b/>
          <w:sz w:val="21"/>
          <w:szCs w:val="21"/>
        </w:rPr>
        <w:t xml:space="preserve"> </w:t>
      </w:r>
      <w:r w:rsidRPr="001F426A">
        <w:rPr>
          <w:rFonts w:ascii="Times New Roman" w:hAnsi="Times New Roman" w:cs="Times New Roman"/>
          <w:bCs/>
          <w:sz w:val="21"/>
          <w:szCs w:val="21"/>
        </w:rPr>
        <w:t xml:space="preserve">Figures refer to the percentage of </w:t>
      </w:r>
      <w:proofErr w:type="spellStart"/>
      <w:r w:rsidRPr="001F426A">
        <w:rPr>
          <w:rFonts w:ascii="Times New Roman" w:hAnsi="Times New Roman" w:cs="Times New Roman"/>
          <w:bCs/>
          <w:sz w:val="21"/>
          <w:szCs w:val="21"/>
        </w:rPr>
        <w:t>headteachers</w:t>
      </w:r>
      <w:proofErr w:type="spellEnd"/>
      <w:r w:rsidRPr="001F426A">
        <w:rPr>
          <w:rFonts w:ascii="Times New Roman" w:hAnsi="Times New Roman" w:cs="Times New Roman"/>
          <w:bCs/>
          <w:sz w:val="21"/>
          <w:szCs w:val="21"/>
        </w:rPr>
        <w:t xml:space="preserve"> in each country who indicated each task caused them either ‘quite a bit’ or ‘a lot’ of stress. </w:t>
      </w:r>
      <w:r w:rsidRPr="001F426A">
        <w:rPr>
          <w:rFonts w:ascii="Times New Roman" w:hAnsi="Times New Roman" w:cs="Times New Roman"/>
          <w:sz w:val="21"/>
          <w:szCs w:val="21"/>
        </w:rPr>
        <w:t>TALIS average for primary is the average across the 15 countries with data available. OECD average for lower-secondary is the average across the OECD countries that participated in TALIS 2018. Source = authors’ analysis of TALIS 2018 data.</w:t>
      </w:r>
    </w:p>
    <w:p w14:paraId="75265366" w14:textId="77777777" w:rsidR="009B3987" w:rsidRDefault="009B3987" w:rsidP="009B3987">
      <w:pPr>
        <w:jc w:val="center"/>
        <w:rPr>
          <w:rFonts w:ascii="Times New Roman" w:hAnsi="Times New Roman" w:cs="Times New Roman"/>
          <w:b/>
          <w:sz w:val="24"/>
          <w:szCs w:val="24"/>
        </w:rPr>
      </w:pPr>
    </w:p>
    <w:p w14:paraId="5A5A5F19" w14:textId="6982BFE8" w:rsidR="009B3987" w:rsidRDefault="009B3987" w:rsidP="009B3987">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Figure 2.6 Cross-national comparison of accountability and administration of sources of stress amongst </w:t>
      </w:r>
      <w:proofErr w:type="spellStart"/>
      <w:r>
        <w:rPr>
          <w:rFonts w:ascii="Times New Roman" w:hAnsi="Times New Roman" w:cs="Times New Roman"/>
          <w:b/>
          <w:i/>
          <w:sz w:val="24"/>
          <w:szCs w:val="24"/>
          <w:u w:val="single"/>
        </w:rPr>
        <w:t>headt</w:t>
      </w:r>
      <w:r w:rsidRPr="0022518D">
        <w:rPr>
          <w:rFonts w:ascii="Times New Roman" w:hAnsi="Times New Roman" w:cs="Times New Roman"/>
          <w:b/>
          <w:i/>
          <w:sz w:val="24"/>
          <w:szCs w:val="24"/>
          <w:u w:val="single"/>
        </w:rPr>
        <w:t>eachers</w:t>
      </w:r>
      <w:proofErr w:type="spellEnd"/>
      <w:r>
        <w:rPr>
          <w:rFonts w:ascii="Times New Roman" w:hAnsi="Times New Roman" w:cs="Times New Roman"/>
          <w:b/>
          <w:sz w:val="24"/>
          <w:szCs w:val="24"/>
        </w:rPr>
        <w:t xml:space="preserve"> in England</w:t>
      </w:r>
    </w:p>
    <w:p w14:paraId="57FF236A" w14:textId="77777777" w:rsidR="009B3987" w:rsidRPr="00BB41E0" w:rsidRDefault="009B3987" w:rsidP="00697230">
      <w:pPr>
        <w:pStyle w:val="ListParagraph"/>
        <w:numPr>
          <w:ilvl w:val="0"/>
          <w:numId w:val="5"/>
        </w:numPr>
        <w:spacing w:line="259" w:lineRule="auto"/>
        <w:rPr>
          <w:rFonts w:ascii="Times New Roman" w:hAnsi="Times New Roman" w:cs="Times New Roman"/>
          <w:b/>
          <w:sz w:val="24"/>
          <w:szCs w:val="24"/>
        </w:rPr>
      </w:pPr>
      <w:r>
        <w:rPr>
          <w:rFonts w:ascii="Times New Roman" w:hAnsi="Times New Roman" w:cs="Times New Roman"/>
          <w:b/>
          <w:sz w:val="24"/>
          <w:szCs w:val="24"/>
        </w:rPr>
        <w:t>Primary</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(b) Secondary</w:t>
      </w:r>
    </w:p>
    <w:p w14:paraId="71FE7179" w14:textId="77777777" w:rsidR="009B3987" w:rsidRDefault="009B3987" w:rsidP="009B3987">
      <w:pPr>
        <w:ind w:firstLine="720"/>
        <w:rPr>
          <w:rFonts w:ascii="Times New Roman" w:hAnsi="Times New Roman" w:cs="Times New Roman"/>
          <w:b/>
          <w:sz w:val="24"/>
          <w:szCs w:val="24"/>
        </w:rPr>
      </w:pPr>
      <w:r w:rsidRPr="00966108">
        <w:rPr>
          <w:rFonts w:ascii="Times New Roman" w:hAnsi="Times New Roman" w:cs="Times New Roman"/>
          <w:b/>
          <w:noProof/>
          <w:sz w:val="24"/>
          <w:szCs w:val="24"/>
          <w:lang w:eastAsia="en-GB"/>
        </w:rPr>
        <w:drawing>
          <wp:inline distT="0" distB="0" distL="0" distR="0" wp14:anchorId="23A2E9A6" wp14:editId="3BEA4418">
            <wp:extent cx="4143375" cy="41433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43375" cy="4143375"/>
                    </a:xfrm>
                    <a:prstGeom prst="rect">
                      <a:avLst/>
                    </a:prstGeom>
                    <a:noFill/>
                    <a:ln>
                      <a:noFill/>
                    </a:ln>
                  </pic:spPr>
                </pic:pic>
              </a:graphicData>
            </a:graphic>
          </wp:inline>
        </w:drawing>
      </w:r>
      <w:r w:rsidRPr="0037182F">
        <w:rPr>
          <w:rFonts w:ascii="Times New Roman" w:hAnsi="Times New Roman" w:cs="Times New Roman"/>
          <w:b/>
          <w:sz w:val="24"/>
          <w:szCs w:val="24"/>
        </w:rPr>
        <w:t xml:space="preserve"> </w:t>
      </w:r>
      <w:r w:rsidRPr="00F51F5D">
        <w:rPr>
          <w:rFonts w:ascii="Times New Roman" w:hAnsi="Times New Roman" w:cs="Times New Roman"/>
          <w:b/>
          <w:noProof/>
          <w:sz w:val="24"/>
          <w:szCs w:val="24"/>
          <w:lang w:eastAsia="en-GB"/>
        </w:rPr>
        <w:drawing>
          <wp:inline distT="0" distB="0" distL="0" distR="0" wp14:anchorId="25432ECD" wp14:editId="1D673F66">
            <wp:extent cx="4133850" cy="41338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133850" cy="4133850"/>
                    </a:xfrm>
                    <a:prstGeom prst="rect">
                      <a:avLst/>
                    </a:prstGeom>
                    <a:noFill/>
                    <a:ln>
                      <a:noFill/>
                    </a:ln>
                  </pic:spPr>
                </pic:pic>
              </a:graphicData>
            </a:graphic>
          </wp:inline>
        </w:drawing>
      </w:r>
    </w:p>
    <w:p w14:paraId="4954123D" w14:textId="6479B84C" w:rsidR="009B3987" w:rsidRPr="001D4B73" w:rsidRDefault="009B3987" w:rsidP="009B3987">
      <w:pPr>
        <w:rPr>
          <w:rFonts w:ascii="Times New Roman" w:hAnsi="Times New Roman" w:cs="Times New Roman"/>
          <w:b/>
          <w:sz w:val="21"/>
          <w:szCs w:val="21"/>
        </w:rPr>
      </w:pPr>
      <w:r w:rsidRPr="001D4B73">
        <w:rPr>
          <w:rFonts w:ascii="Times New Roman" w:hAnsi="Times New Roman" w:cs="Times New Roman"/>
          <w:sz w:val="21"/>
          <w:szCs w:val="21"/>
        </w:rPr>
        <w:t>Notes: Figures refer to the percentage of teachers who responded either ‘quite a bit’ or ‘a lot’. Dashed line illustrates the line of equality (where the value along the horizontal and vertical axis is equal). Red diamonds = high-performing countries, green triangles = low-performing countries, blue circles = countries with similar performance to England, black squares = English-speaking countries</w:t>
      </w:r>
      <w:r>
        <w:rPr>
          <w:rFonts w:ascii="Times New Roman" w:hAnsi="Times New Roman" w:cs="Times New Roman"/>
          <w:sz w:val="21"/>
          <w:szCs w:val="21"/>
        </w:rPr>
        <w:t xml:space="preserve"> (see Jerrim and Sims</w:t>
      </w:r>
      <w:r w:rsidR="00DD0FF9">
        <w:rPr>
          <w:rFonts w:ascii="Times New Roman" w:hAnsi="Times New Roman" w:cs="Times New Roman"/>
          <w:sz w:val="21"/>
          <w:szCs w:val="21"/>
        </w:rPr>
        <w:t>,</w:t>
      </w:r>
      <w:r>
        <w:rPr>
          <w:rFonts w:ascii="Times New Roman" w:hAnsi="Times New Roman" w:cs="Times New Roman"/>
          <w:sz w:val="21"/>
          <w:szCs w:val="21"/>
        </w:rPr>
        <w:t xml:space="preserve"> 2020a for further details)</w:t>
      </w:r>
      <w:r w:rsidRPr="001D4B73">
        <w:rPr>
          <w:rFonts w:ascii="Times New Roman" w:hAnsi="Times New Roman" w:cs="Times New Roman"/>
          <w:sz w:val="21"/>
          <w:szCs w:val="21"/>
        </w:rPr>
        <w:t>. Source = authors’ analysis of TALIS 2018 data.</w:t>
      </w:r>
    </w:p>
    <w:p w14:paraId="394C7B90" w14:textId="77777777" w:rsidR="009B3987" w:rsidRDefault="009B3987" w:rsidP="009B3987">
      <w:pPr>
        <w:spacing w:line="360" w:lineRule="auto"/>
        <w:jc w:val="both"/>
        <w:rPr>
          <w:rFonts w:ascii="Times New Roman" w:hAnsi="Times New Roman" w:cs="Times New Roman"/>
          <w:bCs/>
          <w:sz w:val="24"/>
          <w:szCs w:val="24"/>
        </w:rPr>
        <w:sectPr w:rsidR="009B3987" w:rsidSect="00141B6D">
          <w:pgSz w:w="16838" w:h="11906" w:orient="landscape"/>
          <w:pgMar w:top="1440" w:right="1440" w:bottom="1440" w:left="1440" w:header="708" w:footer="708" w:gutter="0"/>
          <w:cols w:space="708"/>
          <w:docGrid w:linePitch="360"/>
        </w:sectPr>
      </w:pPr>
    </w:p>
    <w:p w14:paraId="462D0F24" w14:textId="77BC7028" w:rsidR="009B3987"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Consistent with the responses of teachers, being held responsible for pupil achievement and keeping up with changing government requirements are two of the major sources of stress for primary and lower-secondary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in England. Around two</w:t>
      </w:r>
      <w:r w:rsidR="00825EFB">
        <w:rPr>
          <w:rFonts w:ascii="Times New Roman" w:hAnsi="Times New Roman" w:cs="Times New Roman"/>
          <w:bCs/>
          <w:sz w:val="24"/>
          <w:szCs w:val="24"/>
        </w:rPr>
        <w:t xml:space="preserve"> </w:t>
      </w:r>
      <w:r>
        <w:rPr>
          <w:rFonts w:ascii="Times New Roman" w:hAnsi="Times New Roman" w:cs="Times New Roman"/>
          <w:bCs/>
          <w:sz w:val="24"/>
          <w:szCs w:val="24"/>
        </w:rPr>
        <w:t xml:space="preserve">thirds reported that these two factors caused them </w:t>
      </w:r>
      <w:r w:rsidR="00DB204F">
        <w:rPr>
          <w:rFonts w:ascii="Times New Roman" w:hAnsi="Times New Roman" w:cs="Times New Roman"/>
          <w:bCs/>
          <w:sz w:val="24"/>
          <w:szCs w:val="24"/>
        </w:rPr>
        <w:t>‘</w:t>
      </w:r>
      <w:r>
        <w:rPr>
          <w:rFonts w:ascii="Times New Roman" w:hAnsi="Times New Roman" w:cs="Times New Roman"/>
          <w:bCs/>
          <w:sz w:val="24"/>
          <w:szCs w:val="24"/>
        </w:rPr>
        <w:t>quite a bit</w:t>
      </w:r>
      <w:r w:rsidR="00DB204F">
        <w:rPr>
          <w:rFonts w:ascii="Times New Roman" w:hAnsi="Times New Roman" w:cs="Times New Roman"/>
          <w:bCs/>
          <w:sz w:val="24"/>
          <w:szCs w:val="24"/>
        </w:rPr>
        <w:t>’</w:t>
      </w:r>
      <w:r>
        <w:rPr>
          <w:rFonts w:ascii="Times New Roman" w:hAnsi="Times New Roman" w:cs="Times New Roman"/>
          <w:bCs/>
          <w:sz w:val="24"/>
          <w:szCs w:val="24"/>
        </w:rPr>
        <w:t xml:space="preserve"> or </w:t>
      </w:r>
      <w:r w:rsidR="00DB204F">
        <w:rPr>
          <w:rFonts w:ascii="Times New Roman" w:hAnsi="Times New Roman" w:cs="Times New Roman"/>
          <w:bCs/>
          <w:sz w:val="24"/>
          <w:szCs w:val="24"/>
        </w:rPr>
        <w:t>‘</w:t>
      </w:r>
      <w:r>
        <w:rPr>
          <w:rFonts w:ascii="Times New Roman" w:hAnsi="Times New Roman" w:cs="Times New Roman"/>
          <w:bCs/>
          <w:sz w:val="24"/>
          <w:szCs w:val="24"/>
        </w:rPr>
        <w:t>a lot</w:t>
      </w:r>
      <w:r w:rsidR="00DB204F">
        <w:rPr>
          <w:rFonts w:ascii="Times New Roman" w:hAnsi="Times New Roman" w:cs="Times New Roman"/>
          <w:bCs/>
          <w:sz w:val="24"/>
          <w:szCs w:val="24"/>
        </w:rPr>
        <w:t>’</w:t>
      </w:r>
      <w:r>
        <w:rPr>
          <w:rFonts w:ascii="Times New Roman" w:hAnsi="Times New Roman" w:cs="Times New Roman"/>
          <w:bCs/>
          <w:sz w:val="24"/>
          <w:szCs w:val="24"/>
        </w:rPr>
        <w:t xml:space="preserve"> of stress, which is above the OECD/TALIS average. Indeed, with respect to accountability for lower-secondary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the difference between England and the OECD average is 19 percentage points. The proportion of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who suffer stress due to accountability and changing requirements is also notably higher in England than in the other English-speaking countries included in Table 2.6. On the other hand, although most primary (66%) and lower-secondary (59%)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in England report that the administrative burden of the job causes them stress, Table 2.6 and Figure 2.3 illustrate that similar views are held amongst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from across the world (including several of the English-speaking countries). </w:t>
      </w:r>
    </w:p>
    <w:p w14:paraId="49AAAB06" w14:textId="77777777" w:rsidR="009B3987" w:rsidRPr="004710E7"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For most other areas, England is around the average across participating countries. This includes for the stress caused by staff absenteeism, maintaining school discipline and intimidation or abuse from pupils. Moreover, there are several aspects of the job that appear to cause less stress to lower-secondary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in England than their counterparts in other countries. This includes the amount of teacher appraisal and feedback they undertake (16% of lower-secondary heads in England reported that this caused them quite a bit or a lot of stress compared to an OECD average of 28%) and accommodating SEN pupils (15% in England compared to 30% of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across the OECD). </w:t>
      </w:r>
    </w:p>
    <w:p w14:paraId="336FE1F1" w14:textId="77777777" w:rsidR="009B3987" w:rsidRPr="00BC78D4" w:rsidRDefault="009B3987" w:rsidP="00697230">
      <w:pPr>
        <w:pStyle w:val="ListParagraph"/>
        <w:numPr>
          <w:ilvl w:val="1"/>
          <w:numId w:val="10"/>
        </w:numPr>
        <w:spacing w:line="259" w:lineRule="auto"/>
        <w:rPr>
          <w:rFonts w:ascii="Times New Roman" w:hAnsi="Times New Roman" w:cs="Times New Roman"/>
          <w:b/>
          <w:sz w:val="24"/>
          <w:szCs w:val="24"/>
        </w:rPr>
      </w:pPr>
      <w:r>
        <w:rPr>
          <w:rFonts w:ascii="Times New Roman" w:hAnsi="Times New Roman" w:cs="Times New Roman"/>
          <w:b/>
          <w:sz w:val="24"/>
          <w:szCs w:val="24"/>
        </w:rPr>
        <w:t>Summary</w:t>
      </w:r>
    </w:p>
    <w:p w14:paraId="663BAF71" w14:textId="73A3BCD6" w:rsidR="009B3987" w:rsidRDefault="009B3987" w:rsidP="009B3987">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This chapter has provided new evidence on how the wellbeing and mental health of teachers in England compares to other countries </w:t>
      </w:r>
      <w:proofErr w:type="gramStart"/>
      <w:r>
        <w:rPr>
          <w:rFonts w:ascii="Times New Roman" w:hAnsi="Times New Roman" w:cs="Times New Roman"/>
          <w:bCs/>
          <w:sz w:val="24"/>
          <w:szCs w:val="24"/>
        </w:rPr>
        <w:t>Several</w:t>
      </w:r>
      <w:proofErr w:type="gramEnd"/>
      <w:r>
        <w:rPr>
          <w:rFonts w:ascii="Times New Roman" w:hAnsi="Times New Roman" w:cs="Times New Roman"/>
          <w:bCs/>
          <w:sz w:val="24"/>
          <w:szCs w:val="24"/>
        </w:rPr>
        <w:t xml:space="preserve"> key findings emerge. First, there is little evidence that the personal wellbeing of teachers varies across the UK; levels of life satisfaction, anxiety happiness and feelings that life is worthwhile are broadly similar amongst teachers in England, Northern Ireland, Scotland and Wales. Second, teachers in England are more likely to say that they experience stress at work, and that their job has a negative impact upon their mental health, than teachers in most other (non-UK) countries. Third, teachers in England highlight four factors as key drivers of the stress caused by their work: (a) the accountability system</w:t>
      </w:r>
      <w:r w:rsidR="008640E0">
        <w:rPr>
          <w:rFonts w:ascii="Times New Roman" w:hAnsi="Times New Roman" w:cs="Times New Roman"/>
          <w:bCs/>
          <w:sz w:val="24"/>
          <w:szCs w:val="24"/>
        </w:rPr>
        <w:t>,</w:t>
      </w:r>
      <w:r>
        <w:rPr>
          <w:rFonts w:ascii="Times New Roman" w:hAnsi="Times New Roman" w:cs="Times New Roman"/>
          <w:bCs/>
          <w:sz w:val="24"/>
          <w:szCs w:val="24"/>
        </w:rPr>
        <w:t xml:space="preserve"> (b) marking</w:t>
      </w:r>
      <w:r w:rsidR="008640E0">
        <w:rPr>
          <w:rFonts w:ascii="Times New Roman" w:hAnsi="Times New Roman" w:cs="Times New Roman"/>
          <w:bCs/>
          <w:sz w:val="24"/>
          <w:szCs w:val="24"/>
        </w:rPr>
        <w:t>,</w:t>
      </w:r>
      <w:r>
        <w:rPr>
          <w:rFonts w:ascii="Times New Roman" w:hAnsi="Times New Roman" w:cs="Times New Roman"/>
          <w:bCs/>
          <w:sz w:val="24"/>
          <w:szCs w:val="24"/>
        </w:rPr>
        <w:t xml:space="preserve"> (c) keeping up with changing government requirements</w:t>
      </w:r>
      <w:r w:rsidR="008640E0">
        <w:rPr>
          <w:rFonts w:ascii="Times New Roman" w:hAnsi="Times New Roman" w:cs="Times New Roman"/>
          <w:bCs/>
          <w:sz w:val="24"/>
          <w:szCs w:val="24"/>
        </w:rPr>
        <w:t>,</w:t>
      </w:r>
      <w:r>
        <w:rPr>
          <w:rFonts w:ascii="Times New Roman" w:hAnsi="Times New Roman" w:cs="Times New Roman"/>
          <w:bCs/>
          <w:sz w:val="24"/>
          <w:szCs w:val="24"/>
        </w:rPr>
        <w:t xml:space="preserve"> and (d) the administrative load. Fourth, critically, primary and lower-secondary teachers are much more likely to say that these aspects of their workload cause them stress than teachers in many other countries across the world. There hence may be something unique about the education system in England that </w:t>
      </w:r>
      <w:r>
        <w:rPr>
          <w:rFonts w:ascii="Times New Roman" w:hAnsi="Times New Roman" w:cs="Times New Roman"/>
          <w:bCs/>
          <w:sz w:val="24"/>
          <w:szCs w:val="24"/>
        </w:rPr>
        <w:lastRenderedPageBreak/>
        <w:t xml:space="preserve">puts a particularly heavy burden upon the teaching profession. Finally, while accountability and changing government requirements cause more stress to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in England than other countries, there are a number of areas where the opposite holds true (particularly for those who lead secondary schools). This includes teacher feedback/appraisal and accommodating SEN pupils, with fewer lower-secondary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in England saying this causes them stress than lower-secondary </w:t>
      </w:r>
      <w:proofErr w:type="spellStart"/>
      <w:r>
        <w:rPr>
          <w:rFonts w:ascii="Times New Roman" w:hAnsi="Times New Roman" w:cs="Times New Roman"/>
          <w:bCs/>
          <w:sz w:val="24"/>
          <w:szCs w:val="24"/>
        </w:rPr>
        <w:t>headteachers</w:t>
      </w:r>
      <w:proofErr w:type="spellEnd"/>
      <w:r>
        <w:rPr>
          <w:rFonts w:ascii="Times New Roman" w:hAnsi="Times New Roman" w:cs="Times New Roman"/>
          <w:bCs/>
          <w:sz w:val="24"/>
          <w:szCs w:val="24"/>
        </w:rPr>
        <w:t xml:space="preserve"> in other countries. </w:t>
      </w:r>
    </w:p>
    <w:p w14:paraId="504F076B" w14:textId="47666CF1" w:rsidR="006524ED" w:rsidRDefault="006524ED">
      <w:pPr>
        <w:spacing w:line="259" w:lineRule="auto"/>
        <w:rPr>
          <w:rFonts w:ascii="Times New Roman" w:hAnsi="Times New Roman" w:cs="Times New Roman"/>
          <w:b/>
          <w:sz w:val="40"/>
          <w:szCs w:val="40"/>
        </w:rPr>
      </w:pPr>
      <w:r>
        <w:rPr>
          <w:rFonts w:ascii="Times New Roman" w:hAnsi="Times New Roman" w:cs="Times New Roman"/>
          <w:b/>
          <w:sz w:val="40"/>
          <w:szCs w:val="40"/>
        </w:rPr>
        <w:br w:type="page"/>
      </w:r>
    </w:p>
    <w:p w14:paraId="248EE3BA" w14:textId="196BA187" w:rsidR="009B3987" w:rsidRDefault="009B3987" w:rsidP="00D03C37">
      <w:pPr>
        <w:pStyle w:val="Heading1UCL"/>
        <w:rPr>
          <w:rFonts w:cs="Times New Roman"/>
          <w:szCs w:val="40"/>
        </w:rPr>
      </w:pPr>
      <w:bookmarkStart w:id="4" w:name="_Toc67406002"/>
      <w:r>
        <w:rPr>
          <w:rFonts w:cs="Times New Roman"/>
          <w:szCs w:val="40"/>
        </w:rPr>
        <w:lastRenderedPageBreak/>
        <w:t xml:space="preserve">Chapter 3 </w:t>
      </w:r>
      <w:proofErr w:type="gramStart"/>
      <w:r>
        <w:rPr>
          <w:rFonts w:cs="Times New Roman"/>
          <w:szCs w:val="40"/>
        </w:rPr>
        <w:t>How</w:t>
      </w:r>
      <w:proofErr w:type="gramEnd"/>
      <w:r>
        <w:rPr>
          <w:rFonts w:cs="Times New Roman"/>
          <w:szCs w:val="40"/>
        </w:rPr>
        <w:t xml:space="preserve"> does the mental health and wellbeing</w:t>
      </w:r>
      <w:r w:rsidR="00D03C37">
        <w:rPr>
          <w:rFonts w:cs="Times New Roman"/>
          <w:szCs w:val="40"/>
        </w:rPr>
        <w:t xml:space="preserve"> </w:t>
      </w:r>
      <w:r>
        <w:rPr>
          <w:rFonts w:cs="Times New Roman"/>
          <w:szCs w:val="40"/>
        </w:rPr>
        <w:t>of teachers compare to workers in other</w:t>
      </w:r>
      <w:r w:rsidR="00D03C37">
        <w:rPr>
          <w:rFonts w:cs="Times New Roman"/>
          <w:szCs w:val="40"/>
        </w:rPr>
        <w:t xml:space="preserve"> </w:t>
      </w:r>
      <w:r>
        <w:rPr>
          <w:rFonts w:cs="Times New Roman"/>
          <w:szCs w:val="40"/>
        </w:rPr>
        <w:t>professions?</w:t>
      </w:r>
      <w:bookmarkEnd w:id="4"/>
    </w:p>
    <w:p w14:paraId="2A4D7B3A" w14:textId="77777777" w:rsidR="00D03C37" w:rsidRDefault="00D03C37" w:rsidP="008B4E20">
      <w:pPr>
        <w:pStyle w:val="Heading1UCL"/>
        <w:rPr>
          <w:rFonts w:cs="Times New Roman"/>
          <w:szCs w:val="40"/>
        </w:rPr>
      </w:pPr>
    </w:p>
    <w:p w14:paraId="18C314FD" w14:textId="77777777" w:rsidR="009B3987" w:rsidRPr="009B3987" w:rsidRDefault="009B3987" w:rsidP="009B3987">
      <w:pPr>
        <w:spacing w:line="360" w:lineRule="auto"/>
        <w:jc w:val="both"/>
        <w:rPr>
          <w:rFonts w:ascii="Times New Roman" w:hAnsi="Times New Roman" w:cs="Times New Roman"/>
          <w:b/>
          <w:sz w:val="24"/>
          <w:szCs w:val="24"/>
        </w:rPr>
      </w:pPr>
      <w:r w:rsidRPr="009B3987">
        <w:rPr>
          <w:rFonts w:ascii="Times New Roman" w:hAnsi="Times New Roman" w:cs="Times New Roman"/>
          <w:b/>
          <w:sz w:val="24"/>
          <w:szCs w:val="24"/>
        </w:rPr>
        <w:t>3.1 Introduction</w:t>
      </w:r>
    </w:p>
    <w:p w14:paraId="0F08ED27" w14:textId="7B9DF3D0"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The previous chapter illustrated how teachers in England were more likely to report that their job negatively impacts upon their mental health than teachers in other countries.  But is the problem of low wellbeing and mental ill</w:t>
      </w:r>
      <w:r w:rsidR="002C1828">
        <w:rPr>
          <w:rFonts w:ascii="Times New Roman" w:hAnsi="Times New Roman" w:cs="Times New Roman"/>
          <w:sz w:val="24"/>
          <w:szCs w:val="24"/>
        </w:rPr>
        <w:t xml:space="preserve"> </w:t>
      </w:r>
      <w:r w:rsidRPr="009B3987">
        <w:rPr>
          <w:rFonts w:ascii="Times New Roman" w:hAnsi="Times New Roman" w:cs="Times New Roman"/>
          <w:sz w:val="24"/>
          <w:szCs w:val="24"/>
        </w:rPr>
        <w:t xml:space="preserve">health really that much worse for teachers in England than for other professional groups? The literature overviewed in chapter 1 suggested that the existing evidence base on this matter was somewhat inconclusive. While most existing work provides strong support for this notion (e.g. </w:t>
      </w:r>
      <w:r w:rsidRPr="009B3987">
        <w:rPr>
          <w:rStyle w:val="authors"/>
          <w:rFonts w:ascii="Times New Roman" w:hAnsi="Times New Roman" w:cs="Times New Roman"/>
          <w:color w:val="000000" w:themeColor="text1"/>
          <w:sz w:val="24"/>
          <w:szCs w:val="24"/>
        </w:rPr>
        <w:t xml:space="preserve">Travers &amp; Cooper, 1993; </w:t>
      </w:r>
      <w:r w:rsidRPr="009B3987">
        <w:rPr>
          <w:rFonts w:ascii="Times New Roman" w:hAnsi="Times New Roman" w:cs="Times New Roman"/>
          <w:sz w:val="24"/>
          <w:szCs w:val="24"/>
        </w:rPr>
        <w:t xml:space="preserve">Johnson et al., 2005), some studies within this literature do not (e.g. </w:t>
      </w:r>
      <w:r w:rsidRPr="009B3987">
        <w:rPr>
          <w:rFonts w:ascii="Times New Roman" w:hAnsi="Times New Roman" w:cs="Times New Roman"/>
          <w:color w:val="000000" w:themeColor="text1"/>
          <w:sz w:val="24"/>
          <w:szCs w:val="24"/>
        </w:rPr>
        <w:t>Bryson, Stokes &amp; Wilkinson, 2019</w:t>
      </w:r>
      <w:r w:rsidRPr="009B3987">
        <w:rPr>
          <w:rFonts w:ascii="Times New Roman" w:hAnsi="Times New Roman" w:cs="Times New Roman"/>
          <w:sz w:val="24"/>
          <w:szCs w:val="24"/>
        </w:rPr>
        <w:t xml:space="preserve">). </w:t>
      </w:r>
    </w:p>
    <w:p w14:paraId="647EB055" w14:textId="1C8BD888"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 xml:space="preserve">Consequently, the aim of this chapter is to provide the largest and most comprehensive investigation of how the prevalence of mental health problems and low levels of wellbeing compares across occupations to date. A unique feature is that it brings together evidence from multiple large datasets, encompassing a range of different measures, using a consistent methodology for each. In doing so, this chapter triangulates evidence across multiple sources, providing a holistic picture of how the wellbeing and mental health of teachers compares to other occupational groups. </w:t>
      </w:r>
    </w:p>
    <w:p w14:paraId="6B3F8B70" w14:textId="77777777" w:rsidR="009B3987" w:rsidRPr="009B3987" w:rsidRDefault="009B3987" w:rsidP="00697230">
      <w:pPr>
        <w:pStyle w:val="ListParagraph"/>
        <w:numPr>
          <w:ilvl w:val="1"/>
          <w:numId w:val="15"/>
        </w:numPr>
        <w:spacing w:after="200" w:line="360" w:lineRule="auto"/>
        <w:rPr>
          <w:rFonts w:ascii="Times New Roman" w:hAnsi="Times New Roman" w:cs="Times New Roman"/>
          <w:b/>
          <w:sz w:val="24"/>
          <w:szCs w:val="24"/>
        </w:rPr>
      </w:pPr>
      <w:r w:rsidRPr="009B3987">
        <w:rPr>
          <w:rFonts w:ascii="Times New Roman" w:hAnsi="Times New Roman" w:cs="Times New Roman"/>
          <w:b/>
          <w:sz w:val="24"/>
          <w:szCs w:val="24"/>
        </w:rPr>
        <w:t>Data and methodology</w:t>
      </w:r>
    </w:p>
    <w:p w14:paraId="2FC73A88" w14:textId="759F7802" w:rsidR="009B3987" w:rsidRPr="009B3987" w:rsidRDefault="009B3987" w:rsidP="008B4E20">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 xml:space="preserve">Within this chapter we draw upon data from across 11 datasets in total, though the analysis focuses upon three of these in particular. The first is the Labour Force Survey, with data pooled together </w:t>
      </w:r>
      <w:r w:rsidRPr="009B3987">
        <w:rPr>
          <w:rFonts w:ascii="Times New Roman" w:hAnsi="Times New Roman"/>
          <w:color w:val="000000"/>
          <w:sz w:val="24"/>
          <w:szCs w:val="24"/>
        </w:rPr>
        <w:t xml:space="preserve">from 2011 to 2018. The total teacher sample size is 16,815 primary, 16,243 secondary, 3,288 SEN teachers and 2,509 </w:t>
      </w:r>
      <w:proofErr w:type="spellStart"/>
      <w:r w:rsidRPr="009B3987">
        <w:rPr>
          <w:rFonts w:ascii="Times New Roman" w:hAnsi="Times New Roman"/>
          <w:color w:val="000000"/>
          <w:sz w:val="24"/>
          <w:szCs w:val="24"/>
        </w:rPr>
        <w:t>headteachers</w:t>
      </w:r>
      <w:proofErr w:type="spellEnd"/>
      <w:r w:rsidRPr="009B3987">
        <w:rPr>
          <w:rFonts w:ascii="Times New Roman" w:hAnsi="Times New Roman"/>
          <w:color w:val="000000"/>
          <w:sz w:val="24"/>
          <w:szCs w:val="24"/>
        </w:rPr>
        <w:t xml:space="preserve">, though for certain questions the number of observations is smaller. Using these data, we are particularly interested in </w:t>
      </w:r>
      <w:r w:rsidRPr="009B3987">
        <w:rPr>
          <w:rFonts w:ascii="Times New Roman" w:hAnsi="Times New Roman" w:cs="Times New Roman"/>
          <w:sz w:val="24"/>
          <w:szCs w:val="24"/>
        </w:rPr>
        <w:t xml:space="preserve">the percentage of teachers with (a) a long-lasting problem of either depression, bad nerves, anxiety, mental illness, nervous disorders and (b) the percentage of teachers who said that they had suffered from stress, depression or anxiety that was caused or made worse by their job.  </w:t>
      </w:r>
    </w:p>
    <w:p w14:paraId="091D39EB" w14:textId="3BD594B2"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 xml:space="preserve">The second dataset used is the Annual Population </w:t>
      </w:r>
      <w:r w:rsidR="005910E5">
        <w:rPr>
          <w:rFonts w:ascii="Times New Roman" w:hAnsi="Times New Roman" w:cs="Times New Roman"/>
          <w:sz w:val="24"/>
          <w:szCs w:val="24"/>
        </w:rPr>
        <w:t>S</w:t>
      </w:r>
      <w:r w:rsidRPr="009B3987">
        <w:rPr>
          <w:rFonts w:ascii="Times New Roman" w:hAnsi="Times New Roman" w:cs="Times New Roman"/>
          <w:sz w:val="24"/>
          <w:szCs w:val="24"/>
        </w:rPr>
        <w:t xml:space="preserve">urvey, drawing upon data from between March 2011 and December 2018, with a total sample size </w:t>
      </w:r>
      <w:r w:rsidR="003A75CA">
        <w:rPr>
          <w:rFonts w:ascii="Times New Roman" w:hAnsi="Times New Roman" w:cs="Times New Roman"/>
          <w:sz w:val="24"/>
          <w:szCs w:val="24"/>
        </w:rPr>
        <w:t>of</w:t>
      </w:r>
      <w:r w:rsidR="003A75CA" w:rsidRPr="009B3987">
        <w:rPr>
          <w:rFonts w:ascii="Times New Roman" w:hAnsi="Times New Roman" w:cs="Times New Roman"/>
          <w:sz w:val="24"/>
          <w:szCs w:val="24"/>
        </w:rPr>
        <w:t xml:space="preserve"> </w:t>
      </w:r>
      <w:r w:rsidRPr="009B3987">
        <w:rPr>
          <w:rFonts w:ascii="Times New Roman" w:hAnsi="Times New Roman" w:cs="Times New Roman"/>
          <w:sz w:val="24"/>
          <w:szCs w:val="24"/>
        </w:rPr>
        <w:t xml:space="preserve">5,841 primary teachers, 5,825 secondary teachers, 1,231 SEN teachers and 868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In this survey, respondents were asked about four measures of personal wellbeing (anxiety, life</w:t>
      </w:r>
      <w:r w:rsidR="001A5EBF">
        <w:rPr>
          <w:rFonts w:ascii="Times New Roman" w:hAnsi="Times New Roman" w:cs="Times New Roman"/>
          <w:sz w:val="24"/>
          <w:szCs w:val="24"/>
        </w:rPr>
        <w:t xml:space="preserve"> </w:t>
      </w:r>
      <w:r w:rsidRPr="009B3987">
        <w:rPr>
          <w:rFonts w:ascii="Times New Roman" w:hAnsi="Times New Roman" w:cs="Times New Roman"/>
          <w:sz w:val="24"/>
          <w:szCs w:val="24"/>
        </w:rPr>
        <w:t xml:space="preserve">satisfaction, happiness and </w:t>
      </w:r>
      <w:r w:rsidRPr="009B3987">
        <w:rPr>
          <w:rFonts w:ascii="Times New Roman" w:hAnsi="Times New Roman" w:cs="Times New Roman"/>
          <w:sz w:val="24"/>
          <w:szCs w:val="24"/>
        </w:rPr>
        <w:lastRenderedPageBreak/>
        <w:t xml:space="preserve">whether life is worthwhile) using a </w:t>
      </w:r>
      <w:r w:rsidR="0013595B" w:rsidRPr="009B3987">
        <w:rPr>
          <w:rFonts w:ascii="Times New Roman" w:hAnsi="Times New Roman" w:cs="Times New Roman"/>
          <w:sz w:val="24"/>
          <w:szCs w:val="24"/>
        </w:rPr>
        <w:t>0–10-point</w:t>
      </w:r>
      <w:r w:rsidRPr="009B3987">
        <w:rPr>
          <w:rFonts w:ascii="Times New Roman" w:hAnsi="Times New Roman" w:cs="Times New Roman"/>
          <w:sz w:val="24"/>
          <w:szCs w:val="24"/>
        </w:rPr>
        <w:t xml:space="preserve"> scale. Our focus is upon the percentage of teachers reporting high levels of anxiety, low levels of life</w:t>
      </w:r>
      <w:r w:rsidR="001A5EBF">
        <w:rPr>
          <w:rFonts w:ascii="Times New Roman" w:hAnsi="Times New Roman" w:cs="Times New Roman"/>
          <w:sz w:val="24"/>
          <w:szCs w:val="24"/>
        </w:rPr>
        <w:t xml:space="preserve"> </w:t>
      </w:r>
      <w:r w:rsidRPr="009B3987">
        <w:rPr>
          <w:rFonts w:ascii="Times New Roman" w:hAnsi="Times New Roman" w:cs="Times New Roman"/>
          <w:sz w:val="24"/>
          <w:szCs w:val="24"/>
        </w:rPr>
        <w:t>satisfaction, low levels of happiness and feelings that their life is not worthwhile (see Jerrim et al</w:t>
      </w:r>
      <w:r w:rsidR="007D3FAF">
        <w:rPr>
          <w:rFonts w:ascii="Times New Roman" w:hAnsi="Times New Roman" w:cs="Times New Roman"/>
          <w:sz w:val="24"/>
          <w:szCs w:val="24"/>
        </w:rPr>
        <w:t>.</w:t>
      </w:r>
      <w:r w:rsidR="00CB2429">
        <w:rPr>
          <w:rFonts w:ascii="Times New Roman" w:hAnsi="Times New Roman" w:cs="Times New Roman"/>
          <w:sz w:val="24"/>
          <w:szCs w:val="24"/>
        </w:rPr>
        <w:t>,</w:t>
      </w:r>
      <w:r w:rsidRPr="009B3987">
        <w:rPr>
          <w:rFonts w:ascii="Times New Roman" w:hAnsi="Times New Roman" w:cs="Times New Roman"/>
          <w:sz w:val="24"/>
          <w:szCs w:val="24"/>
        </w:rPr>
        <w:t xml:space="preserve"> 2020a for how these are defined).</w:t>
      </w:r>
    </w:p>
    <w:p w14:paraId="41439CED" w14:textId="77777777" w:rsidR="009B3987" w:rsidRPr="009B3987" w:rsidRDefault="009B3987" w:rsidP="009B3987">
      <w:pPr>
        <w:spacing w:line="360" w:lineRule="auto"/>
        <w:jc w:val="both"/>
        <w:rPr>
          <w:rFonts w:ascii="Times New Roman" w:hAnsi="Times New Roman" w:cs="Times New Roman"/>
          <w:color w:val="000000" w:themeColor="text1"/>
          <w:sz w:val="24"/>
          <w:szCs w:val="24"/>
        </w:rPr>
      </w:pPr>
      <w:r w:rsidRPr="009B3987">
        <w:rPr>
          <w:rFonts w:ascii="Times New Roman" w:hAnsi="Times New Roman" w:cs="Times New Roman"/>
          <w:sz w:val="24"/>
          <w:szCs w:val="24"/>
        </w:rPr>
        <w:t xml:space="preserve">The third dataset of focus is the UK Biobank. This collected data from around half a million volunteers between the ages of 40 and 69 between 2006 and 2010. </w:t>
      </w:r>
      <w:r w:rsidRPr="009B3987">
        <w:rPr>
          <w:rFonts w:ascii="Times New Roman" w:hAnsi="Times New Roman" w:cs="Times New Roman"/>
          <w:color w:val="000000" w:themeColor="text1"/>
          <w:sz w:val="24"/>
          <w:szCs w:val="24"/>
        </w:rPr>
        <w:t xml:space="preserve">In total, the main UK Biobank data collection includes 4,602 primary, 5,943 secondary, 994 SEN and 1,102 </w:t>
      </w:r>
      <w:proofErr w:type="spellStart"/>
      <w:r w:rsidRPr="009B3987">
        <w:rPr>
          <w:rFonts w:ascii="Times New Roman" w:hAnsi="Times New Roman" w:cs="Times New Roman"/>
          <w:color w:val="000000" w:themeColor="text1"/>
          <w:sz w:val="24"/>
          <w:szCs w:val="24"/>
        </w:rPr>
        <w:t>headteachers</w:t>
      </w:r>
      <w:proofErr w:type="spellEnd"/>
      <w:r w:rsidRPr="009B3987">
        <w:rPr>
          <w:rFonts w:ascii="Times New Roman" w:hAnsi="Times New Roman" w:cs="Times New Roman"/>
          <w:color w:val="000000" w:themeColor="text1"/>
          <w:sz w:val="24"/>
          <w:szCs w:val="24"/>
        </w:rPr>
        <w:t xml:space="preserve">. As part of the data collection, respondents completed a questionnaire. This included questions measuring their happiness with different aspects of their life (e.g. work, family, finances, friends, health, in general) and about how they had felt over the past two weeks (designed to capture symptoms of depression). They were also asked about medications that they are currently prescribed and any medical conditions that they have. We use this information in this chapter to investigate whether teachers are more likely to be taking antidepressants than comparable individuals working in other professional occupations and whether they are more likely to have a medically diagnosed mental health condition. </w:t>
      </w:r>
    </w:p>
    <w:p w14:paraId="59E7FE8C" w14:textId="0BB63E25"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In addition to these three datasets, our analysis also in</w:t>
      </w:r>
      <w:r w:rsidR="00820D1A">
        <w:rPr>
          <w:rFonts w:ascii="Times New Roman" w:hAnsi="Times New Roman" w:cs="Times New Roman"/>
          <w:sz w:val="24"/>
          <w:szCs w:val="24"/>
        </w:rPr>
        <w:t>te</w:t>
      </w:r>
      <w:r w:rsidRPr="009B3987">
        <w:rPr>
          <w:rFonts w:ascii="Times New Roman" w:hAnsi="Times New Roman" w:cs="Times New Roman"/>
          <w:sz w:val="24"/>
          <w:szCs w:val="24"/>
        </w:rPr>
        <w:t xml:space="preserve">grates information from eight other large survey datasets: Health Survey for England (HSE), Work Employment Relations Study (WERS), Understanding Society (USOC), Adult Psychiatric Morbidity Survey (APMS), Next Steps (NS), British Cohort Study (BCS70), </w:t>
      </w:r>
      <w:proofErr w:type="gramStart"/>
      <w:r w:rsidRPr="009B3987">
        <w:rPr>
          <w:rFonts w:ascii="Times New Roman" w:hAnsi="Times New Roman" w:cs="Times New Roman"/>
          <w:sz w:val="24"/>
          <w:szCs w:val="24"/>
        </w:rPr>
        <w:t>National</w:t>
      </w:r>
      <w:proofErr w:type="gramEnd"/>
      <w:r w:rsidRPr="009B3987">
        <w:rPr>
          <w:rFonts w:ascii="Times New Roman" w:hAnsi="Times New Roman" w:cs="Times New Roman"/>
          <w:sz w:val="24"/>
          <w:szCs w:val="24"/>
        </w:rPr>
        <w:t xml:space="preserve"> Child Development Study 1958 (NCDS58) and Parents of the Millennium Cohort Study (MCS2000). </w:t>
      </w:r>
      <w:r w:rsidR="0044198D">
        <w:rPr>
          <w:rFonts w:ascii="Times New Roman" w:hAnsi="Times New Roman" w:cs="Times New Roman"/>
          <w:sz w:val="24"/>
          <w:szCs w:val="24"/>
        </w:rPr>
        <w:t>F</w:t>
      </w:r>
      <w:r w:rsidRPr="009B3987">
        <w:rPr>
          <w:rFonts w:ascii="Times New Roman" w:hAnsi="Times New Roman" w:cs="Times New Roman"/>
          <w:sz w:val="24"/>
          <w:szCs w:val="24"/>
        </w:rPr>
        <w:t>urther details about each of these data sources, including discussion of sample sizes and measures available, are available in Jerrim et al</w:t>
      </w:r>
      <w:r w:rsidR="00EA7B11">
        <w:rPr>
          <w:rFonts w:ascii="Times New Roman" w:hAnsi="Times New Roman" w:cs="Times New Roman"/>
          <w:sz w:val="24"/>
          <w:szCs w:val="24"/>
        </w:rPr>
        <w:t>.</w:t>
      </w:r>
      <w:r w:rsidRPr="009B3987">
        <w:rPr>
          <w:rFonts w:ascii="Times New Roman" w:hAnsi="Times New Roman" w:cs="Times New Roman"/>
          <w:sz w:val="24"/>
          <w:szCs w:val="24"/>
        </w:rPr>
        <w:t xml:space="preserve"> (2020a). </w:t>
      </w:r>
    </w:p>
    <w:p w14:paraId="5C9BAAEE" w14:textId="74C05C37"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To begin, an (unconditional) occupational ‘ranking’ of wellbeing and mental health of staff</w:t>
      </w:r>
      <w:r w:rsidR="00C63413">
        <w:rPr>
          <w:rFonts w:ascii="Times New Roman" w:hAnsi="Times New Roman" w:cs="Times New Roman"/>
          <w:sz w:val="24"/>
          <w:szCs w:val="24"/>
        </w:rPr>
        <w:t xml:space="preserve"> has been constructed using the two largest datasets (the LFS and APS)</w:t>
      </w:r>
      <w:r w:rsidRPr="009B3987">
        <w:rPr>
          <w:rFonts w:ascii="Times New Roman" w:hAnsi="Times New Roman" w:cs="Times New Roman"/>
          <w:sz w:val="24"/>
          <w:szCs w:val="24"/>
        </w:rPr>
        <w:t>. The percentage with a poor outcome (e.g. percentage with a mental health problem; percentage with a ‘high’ anxiety score) will be presented for each occupation. Teachers will be compared to each of the other occupations in</w:t>
      </w:r>
      <w:r w:rsidR="00C63413">
        <w:rPr>
          <w:rFonts w:ascii="Times New Roman" w:hAnsi="Times New Roman" w:cs="Times New Roman"/>
          <w:sz w:val="24"/>
          <w:szCs w:val="24"/>
        </w:rPr>
        <w:t xml:space="preserve"> these unconditional estimates.</w:t>
      </w:r>
    </w:p>
    <w:p w14:paraId="5AF94E77" w14:textId="4F14C6AA"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Propensity score matching is then applied to these data. This will essentially pair each teacher in the dataset to a ‘comparable’ individual working in another profession, in terms of their age, gender, education, whether working full</w:t>
      </w:r>
      <w:r w:rsidR="00CA2721">
        <w:rPr>
          <w:rFonts w:ascii="Times New Roman" w:hAnsi="Times New Roman" w:cs="Times New Roman"/>
          <w:sz w:val="24"/>
          <w:szCs w:val="24"/>
        </w:rPr>
        <w:t>-</w:t>
      </w:r>
      <w:r w:rsidRPr="009B3987">
        <w:rPr>
          <w:rFonts w:ascii="Times New Roman" w:hAnsi="Times New Roman" w:cs="Times New Roman"/>
          <w:sz w:val="24"/>
          <w:szCs w:val="24"/>
        </w:rPr>
        <w:t xml:space="preserve"> or part</w:t>
      </w:r>
      <w:r w:rsidR="00CA2721">
        <w:rPr>
          <w:rFonts w:ascii="Times New Roman" w:hAnsi="Times New Roman" w:cs="Times New Roman"/>
          <w:sz w:val="24"/>
          <w:szCs w:val="24"/>
        </w:rPr>
        <w:t>-</w:t>
      </w:r>
      <w:r w:rsidRPr="009B3987">
        <w:rPr>
          <w:rFonts w:ascii="Times New Roman" w:hAnsi="Times New Roman" w:cs="Times New Roman"/>
          <w:sz w:val="24"/>
          <w:szCs w:val="24"/>
        </w:rPr>
        <w:t>time, ethnicity and marital status</w:t>
      </w:r>
      <w:r w:rsidRPr="009B3987">
        <w:rPr>
          <w:rStyle w:val="FootnoteReference"/>
          <w:rFonts w:ascii="Times New Roman" w:hAnsi="Times New Roman" w:cs="Times New Roman"/>
          <w:sz w:val="24"/>
          <w:szCs w:val="24"/>
        </w:rPr>
        <w:footnoteReference w:id="2"/>
      </w:r>
      <w:r w:rsidRPr="009B3987">
        <w:rPr>
          <w:rFonts w:ascii="Times New Roman" w:hAnsi="Times New Roman" w:cs="Times New Roman"/>
          <w:sz w:val="24"/>
          <w:szCs w:val="24"/>
        </w:rPr>
        <w:t xml:space="preserve">. The mental health outcomes of teachers are then compared to their matched comparators. Within this </w:t>
      </w:r>
      <w:r w:rsidRPr="009B3987">
        <w:rPr>
          <w:rFonts w:ascii="Times New Roman" w:hAnsi="Times New Roman" w:cs="Times New Roman"/>
          <w:sz w:val="24"/>
          <w:szCs w:val="24"/>
        </w:rPr>
        <w:lastRenderedPageBreak/>
        <w:t>chapter, we will focus upon differences between teachers and some other specific occupations. This encompasses a wide range of jobs, including finance and investment analysts, authors and writers, graphic designers, civil servants, social workers, journalists, HR officers, IT professionals, academics, marketing professionals, management consultants, solicitors, accountants and nurses. These occupations, like teachers, are all classed as professional or associate professional jobs and hence represent reasonable alternative career choices that a wide array of teachers might have made. Yet they are also diverse in terms of some being office jobs (e.g. accountants, HR workers, civil servants), others being potentially stressful</w:t>
      </w:r>
      <w:r w:rsidR="0055096E">
        <w:rPr>
          <w:rFonts w:ascii="Times New Roman" w:hAnsi="Times New Roman" w:cs="Times New Roman"/>
          <w:sz w:val="24"/>
          <w:szCs w:val="24"/>
        </w:rPr>
        <w:t xml:space="preserve"> </w:t>
      </w:r>
      <w:r w:rsidRPr="009B3987">
        <w:rPr>
          <w:rFonts w:ascii="Times New Roman" w:hAnsi="Times New Roman" w:cs="Times New Roman"/>
          <w:sz w:val="24"/>
          <w:szCs w:val="24"/>
        </w:rPr>
        <w:t>yet</w:t>
      </w:r>
      <w:r w:rsidR="0055096E">
        <w:rPr>
          <w:rFonts w:ascii="Times New Roman" w:hAnsi="Times New Roman" w:cs="Times New Roman"/>
          <w:sz w:val="24"/>
          <w:szCs w:val="24"/>
        </w:rPr>
        <w:t xml:space="preserve"> </w:t>
      </w:r>
      <w:r w:rsidRPr="009B3987">
        <w:rPr>
          <w:rFonts w:ascii="Times New Roman" w:hAnsi="Times New Roman" w:cs="Times New Roman"/>
          <w:sz w:val="24"/>
          <w:szCs w:val="24"/>
        </w:rPr>
        <w:t>rewarding public sector jobs like teaching (e.g. nurses, social workers), some regularly have tight deadlines and time pressures (e.g. journalists)</w:t>
      </w:r>
      <w:r w:rsidR="00DE269B">
        <w:rPr>
          <w:rFonts w:ascii="Times New Roman" w:hAnsi="Times New Roman" w:cs="Times New Roman"/>
          <w:sz w:val="24"/>
          <w:szCs w:val="24"/>
        </w:rPr>
        <w:t>,</w:t>
      </w:r>
      <w:r w:rsidRPr="009B3987">
        <w:rPr>
          <w:rFonts w:ascii="Times New Roman" w:hAnsi="Times New Roman" w:cs="Times New Roman"/>
          <w:sz w:val="24"/>
          <w:szCs w:val="24"/>
        </w:rPr>
        <w:t xml:space="preserve"> while others are still within the education sector (e.g. academics). We will also draw comparisons between teachers and other professional/associate professional workers as a whole. </w:t>
      </w:r>
    </w:p>
    <w:p w14:paraId="29441B8D" w14:textId="77777777" w:rsidR="009B3987" w:rsidRPr="009B3987" w:rsidRDefault="009B3987" w:rsidP="00697230">
      <w:pPr>
        <w:pStyle w:val="ListParagraph"/>
        <w:numPr>
          <w:ilvl w:val="1"/>
          <w:numId w:val="15"/>
        </w:numPr>
        <w:spacing w:after="200" w:line="360" w:lineRule="auto"/>
        <w:jc w:val="both"/>
        <w:rPr>
          <w:rFonts w:ascii="Times New Roman" w:hAnsi="Times New Roman" w:cs="Times New Roman"/>
          <w:b/>
          <w:sz w:val="24"/>
          <w:szCs w:val="24"/>
        </w:rPr>
      </w:pPr>
      <w:r w:rsidRPr="009B3987">
        <w:rPr>
          <w:rFonts w:ascii="Times New Roman" w:hAnsi="Times New Roman" w:cs="Times New Roman"/>
          <w:b/>
          <w:sz w:val="24"/>
          <w:szCs w:val="24"/>
        </w:rPr>
        <w:t xml:space="preserve">APS Results. Comparisons of personal wellbeing across occupations </w:t>
      </w:r>
    </w:p>
    <w:p w14:paraId="34E1AE6A" w14:textId="446BA6AF"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Figure 3.1 begins by presenting results for the percent</w:t>
      </w:r>
      <w:r w:rsidR="00A8581C">
        <w:rPr>
          <w:rFonts w:ascii="Times New Roman" w:hAnsi="Times New Roman" w:cs="Times New Roman"/>
          <w:sz w:val="24"/>
          <w:szCs w:val="24"/>
        </w:rPr>
        <w:t>age</w:t>
      </w:r>
      <w:r w:rsidRPr="009B3987">
        <w:rPr>
          <w:rFonts w:ascii="Times New Roman" w:hAnsi="Times New Roman" w:cs="Times New Roman"/>
          <w:sz w:val="24"/>
          <w:szCs w:val="24"/>
        </w:rPr>
        <w:t xml:space="preserve"> of ‘anxious’ and ‘unhappy’ teachers using the APS. Each circle in these graphs represent</w:t>
      </w:r>
      <w:r w:rsidR="008E7C9D">
        <w:rPr>
          <w:rFonts w:ascii="Times New Roman" w:hAnsi="Times New Roman" w:cs="Times New Roman"/>
          <w:sz w:val="24"/>
          <w:szCs w:val="24"/>
        </w:rPr>
        <w:t>s</w:t>
      </w:r>
      <w:r w:rsidRPr="009B3987">
        <w:rPr>
          <w:rFonts w:ascii="Times New Roman" w:hAnsi="Times New Roman" w:cs="Times New Roman"/>
          <w:sz w:val="24"/>
          <w:szCs w:val="24"/>
        </w:rPr>
        <w:t xml:space="preserve"> one of the four-digit SOC occupations, with the dashed lines illustrating the average across all occupational groups. Unconditional comparisons to all other occupations can be found in panel </w:t>
      </w:r>
      <w:r w:rsidR="002C1B31">
        <w:rPr>
          <w:rFonts w:ascii="Times New Roman" w:hAnsi="Times New Roman" w:cs="Times New Roman"/>
          <w:sz w:val="24"/>
          <w:szCs w:val="24"/>
        </w:rPr>
        <w:t>(</w:t>
      </w:r>
      <w:r w:rsidRPr="009B3987">
        <w:rPr>
          <w:rFonts w:ascii="Times New Roman" w:hAnsi="Times New Roman" w:cs="Times New Roman"/>
          <w:sz w:val="24"/>
          <w:szCs w:val="24"/>
        </w:rPr>
        <w:t>a</w:t>
      </w:r>
      <w:r w:rsidR="002C1B31">
        <w:rPr>
          <w:rFonts w:ascii="Times New Roman" w:hAnsi="Times New Roman" w:cs="Times New Roman"/>
          <w:sz w:val="24"/>
          <w:szCs w:val="24"/>
        </w:rPr>
        <w:t>)</w:t>
      </w:r>
      <w:r w:rsidRPr="009B3987">
        <w:rPr>
          <w:rFonts w:ascii="Times New Roman" w:hAnsi="Times New Roman" w:cs="Times New Roman"/>
          <w:sz w:val="24"/>
          <w:szCs w:val="24"/>
        </w:rPr>
        <w:t xml:space="preserve"> on the left-hand side of Figure 3.1, while the matching results (where secondary teachers have been matched to observationally comparable individuals working in other professional jobs) are provided in panel (b) on the right.</w:t>
      </w:r>
    </w:p>
    <w:p w14:paraId="50ECE934" w14:textId="77777777" w:rsidR="009B3987" w:rsidRDefault="009B3987" w:rsidP="009B3987">
      <w:pPr>
        <w:rPr>
          <w:rFonts w:ascii="Times New Roman" w:hAnsi="Times New Roman" w:cs="Times New Roman"/>
          <w:b/>
        </w:rPr>
      </w:pPr>
    </w:p>
    <w:p w14:paraId="2BBB61C8" w14:textId="77777777" w:rsidR="009B3987" w:rsidRDefault="009B3987" w:rsidP="009B3987">
      <w:pPr>
        <w:jc w:val="center"/>
        <w:rPr>
          <w:rFonts w:ascii="Times New Roman" w:hAnsi="Times New Roman" w:cs="Times New Roman"/>
          <w:b/>
        </w:rPr>
      </w:pPr>
    </w:p>
    <w:p w14:paraId="4EA31317" w14:textId="77777777" w:rsidR="009B3987" w:rsidRDefault="009B3987" w:rsidP="009B3987">
      <w:pPr>
        <w:jc w:val="center"/>
        <w:rPr>
          <w:rFonts w:ascii="Times New Roman" w:hAnsi="Times New Roman" w:cs="Times New Roman"/>
          <w:b/>
        </w:rPr>
      </w:pPr>
    </w:p>
    <w:p w14:paraId="61204699" w14:textId="77777777" w:rsidR="009B3987" w:rsidRDefault="009B3987" w:rsidP="009B3987">
      <w:pPr>
        <w:rPr>
          <w:rFonts w:ascii="Times New Roman" w:hAnsi="Times New Roman" w:cs="Times New Roman"/>
          <w:b/>
        </w:rPr>
        <w:sectPr w:rsidR="009B3987">
          <w:footerReference w:type="default" r:id="rId23"/>
          <w:pgSz w:w="11906" w:h="16838"/>
          <w:pgMar w:top="1440" w:right="1440" w:bottom="1440" w:left="1440" w:header="708" w:footer="708" w:gutter="0"/>
          <w:cols w:space="708"/>
          <w:docGrid w:linePitch="360"/>
        </w:sectPr>
      </w:pPr>
    </w:p>
    <w:p w14:paraId="2E415558" w14:textId="6B163921" w:rsidR="009B3987" w:rsidRDefault="009B3987" w:rsidP="009B3987">
      <w:pPr>
        <w:spacing w:after="0"/>
        <w:jc w:val="center"/>
        <w:rPr>
          <w:rFonts w:ascii="Times New Roman" w:hAnsi="Times New Roman" w:cs="Times New Roman"/>
          <w:b/>
          <w:sz w:val="24"/>
          <w:szCs w:val="24"/>
        </w:rPr>
      </w:pPr>
      <w:r w:rsidRPr="009B3987">
        <w:rPr>
          <w:rFonts w:ascii="Times New Roman" w:hAnsi="Times New Roman" w:cs="Times New Roman"/>
          <w:b/>
          <w:sz w:val="24"/>
          <w:szCs w:val="24"/>
        </w:rPr>
        <w:lastRenderedPageBreak/>
        <w:t xml:space="preserve">Figure 3.1 </w:t>
      </w:r>
      <w:proofErr w:type="gramStart"/>
      <w:r w:rsidRPr="009B3987">
        <w:rPr>
          <w:rFonts w:ascii="Times New Roman" w:hAnsi="Times New Roman" w:cs="Times New Roman"/>
          <w:b/>
          <w:sz w:val="24"/>
          <w:szCs w:val="24"/>
        </w:rPr>
        <w:t>The</w:t>
      </w:r>
      <w:proofErr w:type="gramEnd"/>
      <w:r w:rsidRPr="009B3987">
        <w:rPr>
          <w:rFonts w:ascii="Times New Roman" w:hAnsi="Times New Roman" w:cs="Times New Roman"/>
          <w:b/>
          <w:sz w:val="24"/>
          <w:szCs w:val="24"/>
        </w:rPr>
        <w:t xml:space="preserve"> percentage of teachers who are anxious and unhappy compared to other occupations. Analysis of the APS.</w:t>
      </w:r>
    </w:p>
    <w:p w14:paraId="76C6B9F8" w14:textId="77777777" w:rsidR="00D21A18" w:rsidRPr="009B3987" w:rsidRDefault="00D21A18" w:rsidP="009B3987">
      <w:pPr>
        <w:spacing w:after="0"/>
        <w:jc w:val="center"/>
        <w:rPr>
          <w:rFonts w:ascii="Times New Roman" w:hAnsi="Times New Roman" w:cs="Times New Roman"/>
          <w:b/>
          <w:sz w:val="24"/>
          <w:szCs w:val="24"/>
        </w:rPr>
      </w:pPr>
    </w:p>
    <w:p w14:paraId="1B73CAD1" w14:textId="77777777" w:rsidR="009B3987" w:rsidRDefault="009B3987" w:rsidP="00697230">
      <w:pPr>
        <w:pStyle w:val="ListParagraph"/>
        <w:numPr>
          <w:ilvl w:val="0"/>
          <w:numId w:val="16"/>
        </w:numPr>
        <w:spacing w:after="0"/>
        <w:rPr>
          <w:rFonts w:ascii="Times New Roman" w:hAnsi="Times New Roman" w:cs="Times New Roman"/>
          <w:b/>
          <w:szCs w:val="24"/>
        </w:rPr>
      </w:pPr>
      <w:r>
        <w:rPr>
          <w:rFonts w:ascii="Times New Roman" w:hAnsi="Times New Roman" w:cs="Times New Roman"/>
          <w:szCs w:val="24"/>
        </w:rPr>
        <w:t>Unconditional (all occupations)</w:t>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t>(b) Matched to other professions</w:t>
      </w:r>
    </w:p>
    <w:p w14:paraId="44387018" w14:textId="77777777" w:rsidR="009B3987" w:rsidRDefault="009B3987" w:rsidP="009B3987">
      <w:r>
        <w:rPr>
          <w:noProof/>
          <w:lang w:eastAsia="en-GB"/>
        </w:rPr>
        <w:drawing>
          <wp:inline distT="0" distB="0" distL="0" distR="0" wp14:anchorId="2B9AD7E8" wp14:editId="6E59A689">
            <wp:extent cx="4724400" cy="4724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24400" cy="4724400"/>
                    </a:xfrm>
                    <a:prstGeom prst="rect">
                      <a:avLst/>
                    </a:prstGeom>
                    <a:noFill/>
                    <a:ln>
                      <a:noFill/>
                    </a:ln>
                  </pic:spPr>
                </pic:pic>
              </a:graphicData>
            </a:graphic>
          </wp:inline>
        </w:drawing>
      </w:r>
      <w:r>
        <w:rPr>
          <w:noProof/>
          <w:lang w:eastAsia="en-GB"/>
        </w:rPr>
        <w:drawing>
          <wp:inline distT="0" distB="0" distL="0" distR="0" wp14:anchorId="0056CC03" wp14:editId="1CDD347B">
            <wp:extent cx="4800600" cy="4800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800600" cy="4800600"/>
                    </a:xfrm>
                    <a:prstGeom prst="rect">
                      <a:avLst/>
                    </a:prstGeom>
                    <a:noFill/>
                    <a:ln>
                      <a:noFill/>
                    </a:ln>
                  </pic:spPr>
                </pic:pic>
              </a:graphicData>
            </a:graphic>
          </wp:inline>
        </w:drawing>
      </w:r>
    </w:p>
    <w:p w14:paraId="3ECD932D" w14:textId="6FB371BB" w:rsidR="00C15BFD" w:rsidRPr="00C15BFD" w:rsidRDefault="009B3987" w:rsidP="00C15BFD">
      <w:pPr>
        <w:rPr>
          <w:rFonts w:ascii="Times New Roman" w:hAnsi="Times New Roman" w:cs="Times New Roman"/>
          <w:b/>
          <w:sz w:val="20"/>
          <w:szCs w:val="20"/>
        </w:rPr>
      </w:pPr>
      <w:r>
        <w:rPr>
          <w:rFonts w:ascii="Times New Roman" w:hAnsi="Times New Roman" w:cs="Times New Roman"/>
          <w:sz w:val="20"/>
          <w:szCs w:val="20"/>
        </w:rPr>
        <w:t>Notes: Each data</w:t>
      </w:r>
      <w:r w:rsidR="003A40D8">
        <w:rPr>
          <w:rFonts w:ascii="Times New Roman" w:hAnsi="Times New Roman" w:cs="Times New Roman"/>
          <w:sz w:val="20"/>
          <w:szCs w:val="20"/>
        </w:rPr>
        <w:t xml:space="preserve"> </w:t>
      </w:r>
      <w:r>
        <w:rPr>
          <w:rFonts w:ascii="Times New Roman" w:hAnsi="Times New Roman" w:cs="Times New Roman"/>
          <w:sz w:val="20"/>
          <w:szCs w:val="20"/>
        </w:rPr>
        <w:t>point represents one occupation. Figures refer to the percent</w:t>
      </w:r>
      <w:r w:rsidR="003F6964">
        <w:rPr>
          <w:rFonts w:ascii="Times New Roman" w:hAnsi="Times New Roman" w:cs="Times New Roman"/>
          <w:sz w:val="20"/>
          <w:szCs w:val="20"/>
        </w:rPr>
        <w:t>age</w:t>
      </w:r>
      <w:r>
        <w:rPr>
          <w:rFonts w:ascii="Times New Roman" w:hAnsi="Times New Roman" w:cs="Times New Roman"/>
          <w:sz w:val="20"/>
          <w:szCs w:val="20"/>
        </w:rPr>
        <w:t xml:space="preserve"> of workers who are unhappy (horizontal axis) and anxious (vertical axis). Dashed lines illustrate the unweighted occupational average. The graph on the left presents the unconditional estimates for all occupations. The graph on the right presents the matching results, where comparators have been restricted to those working in professional jobs. Results restricted to occupations where the sample size is above 250. </w:t>
      </w:r>
      <w:r w:rsidR="00C15BFD">
        <w:rPr>
          <w:rFonts w:ascii="Times New Roman" w:hAnsi="Times New Roman" w:cs="Times New Roman"/>
          <w:sz w:val="20"/>
          <w:szCs w:val="20"/>
        </w:rPr>
        <w:t xml:space="preserve">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Annual Population Survey</w:t>
      </w:r>
      <w:r w:rsidR="00C15BFD" w:rsidRPr="00C15BFD">
        <w:rPr>
          <w:rFonts w:ascii="Times New Roman" w:hAnsi="Times New Roman" w:cs="Times New Roman"/>
          <w:sz w:val="20"/>
          <w:szCs w:val="20"/>
        </w:rPr>
        <w:t>.</w:t>
      </w:r>
    </w:p>
    <w:p w14:paraId="44311D17" w14:textId="559C9E1E" w:rsidR="009B3987" w:rsidRPr="0027059B" w:rsidRDefault="009B3987" w:rsidP="009B3987">
      <w:pPr>
        <w:spacing w:line="240" w:lineRule="auto"/>
        <w:jc w:val="both"/>
        <w:rPr>
          <w:rFonts w:ascii="Times New Roman" w:hAnsi="Times New Roman" w:cs="Times New Roman"/>
          <w:sz w:val="20"/>
          <w:szCs w:val="20"/>
        </w:rPr>
        <w:sectPr w:rsidR="009B3987" w:rsidRPr="0027059B" w:rsidSect="00141B6D">
          <w:pgSz w:w="16838" w:h="11906" w:orient="landscape"/>
          <w:pgMar w:top="720" w:right="720" w:bottom="720" w:left="720" w:header="708" w:footer="708" w:gutter="0"/>
          <w:cols w:space="708"/>
          <w:docGrid w:linePitch="360"/>
        </w:sectPr>
      </w:pPr>
    </w:p>
    <w:p w14:paraId="2B35C310" w14:textId="521F0A85"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lastRenderedPageBreak/>
        <w:t xml:space="preserve">The results for the APS anxiety (vertical axis) and happiness (horizontal axis) questions can be found in Figure 3.1. Starting with the former, the unconditional results presented in panel (a) suggest that teachers tend to be quite an anxious occupational group. All four of the teacher groups (primary, secondary, SEN and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xml:space="preserve">) sit above the dashed horizontal line (the average across all occupations), suggesting that teachers typically feel more anxious than workers in most other jobs. This is particularly the case for SEN teachers, and for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who have some of the highest levels of anxiety out of any occupational group. Yet it seems that this result is largely due to occupational selection; once teachers are matched to other workers based upon demographic background characteristics, anxiety levels are around the occupational average. This is illustrated by the fact that, in panel (b) on the right-hand side of Figure 3.1, the data</w:t>
      </w:r>
      <w:r w:rsidR="003A40D8">
        <w:rPr>
          <w:rFonts w:ascii="Times New Roman" w:hAnsi="Times New Roman" w:cs="Times New Roman"/>
          <w:sz w:val="24"/>
          <w:szCs w:val="24"/>
        </w:rPr>
        <w:t xml:space="preserve"> </w:t>
      </w:r>
      <w:r w:rsidRPr="009B3987">
        <w:rPr>
          <w:rFonts w:ascii="Times New Roman" w:hAnsi="Times New Roman" w:cs="Times New Roman"/>
          <w:sz w:val="24"/>
          <w:szCs w:val="24"/>
        </w:rPr>
        <w:t>points for the four teaching groups now all sit around the dashed horizontal line. Overall, although teachers tend to have above-average levels of anxiety, this seems to be driven more by who selects into the occupation, rather than it likely being caused by their occupation per se.</w:t>
      </w:r>
    </w:p>
    <w:p w14:paraId="48891022" w14:textId="4E9A8ADE"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Turning to the results for unhappiness, the unconditional results in panel (a) suggest that teachers are less likely to be unhappy than most other occupational groups; the four data</w:t>
      </w:r>
      <w:r w:rsidR="003A40D8">
        <w:rPr>
          <w:rFonts w:ascii="Times New Roman" w:hAnsi="Times New Roman" w:cs="Times New Roman"/>
          <w:sz w:val="24"/>
          <w:szCs w:val="24"/>
        </w:rPr>
        <w:t xml:space="preserve"> </w:t>
      </w:r>
      <w:r w:rsidRPr="009B3987">
        <w:rPr>
          <w:rFonts w:ascii="Times New Roman" w:hAnsi="Times New Roman" w:cs="Times New Roman"/>
          <w:sz w:val="24"/>
          <w:szCs w:val="24"/>
        </w:rPr>
        <w:t xml:space="preserve">points for teachers fall to the left of the dashed vertical line. This finding is particularly stark for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xml:space="preserve"> who have one of the lowest levels of unhappiness out of any of the occupations considered (16</w:t>
      </w:r>
      <w:r w:rsidR="002F4196">
        <w:rPr>
          <w:rFonts w:ascii="Times New Roman" w:hAnsi="Times New Roman" w:cs="Times New Roman"/>
          <w:sz w:val="24"/>
          <w:szCs w:val="24"/>
        </w:rPr>
        <w:t>%</w:t>
      </w:r>
      <w:r w:rsidRPr="009B3987">
        <w:rPr>
          <w:rFonts w:ascii="Times New Roman" w:hAnsi="Times New Roman" w:cs="Times New Roman"/>
          <w:sz w:val="24"/>
          <w:szCs w:val="24"/>
        </w:rPr>
        <w:t xml:space="preserve"> of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xml:space="preserve"> are not happy compared to an occupational average of 23 percent). However, the matching estimates presented in panel (b) again draw the results for teachers somewhat closer to the dashed vertical line. Consequently, once demographic background characteristics have been controlled, the proportion of unhappy teachers is similar to the percentage of unhappy employees in other professional jobs. The one potential exception remains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where there continues to be lower levels of unhappiness than amongst demographically comparable individuals working in other occupations.</w:t>
      </w:r>
    </w:p>
    <w:p w14:paraId="4D3CC197" w14:textId="6940C61A"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Figure 3.2 provides analogous results for the APS life</w:t>
      </w:r>
      <w:r w:rsidR="00DA24E3">
        <w:rPr>
          <w:rFonts w:ascii="Times New Roman" w:hAnsi="Times New Roman" w:cs="Times New Roman"/>
          <w:sz w:val="24"/>
          <w:szCs w:val="24"/>
        </w:rPr>
        <w:t xml:space="preserve"> </w:t>
      </w:r>
      <w:r w:rsidRPr="009B3987">
        <w:rPr>
          <w:rFonts w:ascii="Times New Roman" w:hAnsi="Times New Roman" w:cs="Times New Roman"/>
          <w:sz w:val="24"/>
          <w:szCs w:val="24"/>
        </w:rPr>
        <w:t>satisfaction (vertical axis) and self-worth (horizontal axis) questions.  In the unconditional estimates</w:t>
      </w:r>
      <w:r w:rsidR="00333F84">
        <w:rPr>
          <w:rFonts w:ascii="Times New Roman" w:hAnsi="Times New Roman" w:cs="Times New Roman"/>
          <w:sz w:val="24"/>
          <w:szCs w:val="24"/>
        </w:rPr>
        <w:t>,</w:t>
      </w:r>
      <w:r w:rsidRPr="009B3987">
        <w:rPr>
          <w:rFonts w:ascii="Times New Roman" w:hAnsi="Times New Roman" w:cs="Times New Roman"/>
          <w:sz w:val="24"/>
          <w:szCs w:val="24"/>
        </w:rPr>
        <w:t xml:space="preserve"> panel </w:t>
      </w:r>
      <w:r w:rsidR="00333F84">
        <w:rPr>
          <w:rFonts w:ascii="Times New Roman" w:hAnsi="Times New Roman" w:cs="Times New Roman"/>
          <w:sz w:val="24"/>
          <w:szCs w:val="24"/>
        </w:rPr>
        <w:t>(</w:t>
      </w:r>
      <w:r w:rsidRPr="009B3987">
        <w:rPr>
          <w:rFonts w:ascii="Times New Roman" w:hAnsi="Times New Roman" w:cs="Times New Roman"/>
          <w:sz w:val="24"/>
          <w:szCs w:val="24"/>
        </w:rPr>
        <w:t>a), the results for teachers compare quite favourably to those who work in other occupations. The data</w:t>
      </w:r>
      <w:r w:rsidR="003A40D8">
        <w:rPr>
          <w:rFonts w:ascii="Times New Roman" w:hAnsi="Times New Roman" w:cs="Times New Roman"/>
          <w:sz w:val="24"/>
          <w:szCs w:val="24"/>
        </w:rPr>
        <w:t xml:space="preserve"> </w:t>
      </w:r>
      <w:r w:rsidRPr="009B3987">
        <w:rPr>
          <w:rFonts w:ascii="Times New Roman" w:hAnsi="Times New Roman" w:cs="Times New Roman"/>
          <w:sz w:val="24"/>
          <w:szCs w:val="24"/>
        </w:rPr>
        <w:t xml:space="preserve">points for primary, secondary, SEN and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xml:space="preserve"> all sit in the bottom</w:t>
      </w:r>
      <w:r w:rsidR="00BD29EA">
        <w:rPr>
          <w:rFonts w:ascii="Times New Roman" w:hAnsi="Times New Roman" w:cs="Times New Roman"/>
          <w:sz w:val="24"/>
          <w:szCs w:val="24"/>
        </w:rPr>
        <w:t xml:space="preserve"> </w:t>
      </w:r>
      <w:r w:rsidRPr="009B3987">
        <w:rPr>
          <w:rFonts w:ascii="Times New Roman" w:hAnsi="Times New Roman" w:cs="Times New Roman"/>
          <w:sz w:val="24"/>
          <w:szCs w:val="24"/>
        </w:rPr>
        <w:t>left</w:t>
      </w:r>
      <w:r w:rsidR="00BD29EA">
        <w:rPr>
          <w:rFonts w:ascii="Times New Roman" w:hAnsi="Times New Roman" w:cs="Times New Roman"/>
          <w:sz w:val="24"/>
          <w:szCs w:val="24"/>
        </w:rPr>
        <w:t>-</w:t>
      </w:r>
      <w:r w:rsidRPr="009B3987">
        <w:rPr>
          <w:rFonts w:ascii="Times New Roman" w:hAnsi="Times New Roman" w:cs="Times New Roman"/>
          <w:sz w:val="24"/>
          <w:szCs w:val="24"/>
        </w:rPr>
        <w:t>hand quadrant, indicating that teachers are less likely to suffer from problems with low life</w:t>
      </w:r>
      <w:r w:rsidR="00BD29EA">
        <w:rPr>
          <w:rFonts w:ascii="Times New Roman" w:hAnsi="Times New Roman" w:cs="Times New Roman"/>
          <w:sz w:val="24"/>
          <w:szCs w:val="24"/>
        </w:rPr>
        <w:t xml:space="preserve"> </w:t>
      </w:r>
      <w:r w:rsidRPr="009B3987">
        <w:rPr>
          <w:rFonts w:ascii="Times New Roman" w:hAnsi="Times New Roman" w:cs="Times New Roman"/>
          <w:sz w:val="24"/>
          <w:szCs w:val="24"/>
        </w:rPr>
        <w:t xml:space="preserve">satisfaction and low self-worth than workers in most other jobs. The results for self-worth are particularly striking, with this aspect of personal wellbeing being much less likely to affect teachers than most other occupational groups. </w:t>
      </w:r>
    </w:p>
    <w:p w14:paraId="2EDBA482" w14:textId="77777777" w:rsidR="009B3987" w:rsidRDefault="009B3987" w:rsidP="009B3987">
      <w:pPr>
        <w:jc w:val="both"/>
        <w:rPr>
          <w:rFonts w:ascii="Times New Roman" w:hAnsi="Times New Roman" w:cs="Times New Roman"/>
        </w:rPr>
        <w:sectPr w:rsidR="009B3987">
          <w:pgSz w:w="11906" w:h="16838"/>
          <w:pgMar w:top="1440" w:right="1440" w:bottom="1440" w:left="1440" w:header="708" w:footer="708" w:gutter="0"/>
          <w:cols w:space="708"/>
          <w:docGrid w:linePitch="360"/>
        </w:sectPr>
      </w:pPr>
    </w:p>
    <w:p w14:paraId="3B42E339" w14:textId="1DA76EA6" w:rsidR="009B3987" w:rsidRDefault="009B3987" w:rsidP="009B3987">
      <w:pPr>
        <w:spacing w:after="0"/>
        <w:jc w:val="center"/>
        <w:rPr>
          <w:rFonts w:ascii="Times New Roman" w:hAnsi="Times New Roman" w:cs="Times New Roman"/>
          <w:b/>
          <w:sz w:val="24"/>
          <w:szCs w:val="24"/>
        </w:rPr>
      </w:pPr>
      <w:r w:rsidRPr="009B3987">
        <w:rPr>
          <w:rFonts w:ascii="Times New Roman" w:hAnsi="Times New Roman" w:cs="Times New Roman"/>
          <w:b/>
          <w:sz w:val="24"/>
          <w:szCs w:val="24"/>
        </w:rPr>
        <w:lastRenderedPageBreak/>
        <w:t xml:space="preserve">Figure 3.2 </w:t>
      </w:r>
      <w:proofErr w:type="gramStart"/>
      <w:r w:rsidRPr="009B3987">
        <w:rPr>
          <w:rFonts w:ascii="Times New Roman" w:hAnsi="Times New Roman" w:cs="Times New Roman"/>
          <w:b/>
          <w:sz w:val="24"/>
          <w:szCs w:val="24"/>
        </w:rPr>
        <w:t>The</w:t>
      </w:r>
      <w:proofErr w:type="gramEnd"/>
      <w:r w:rsidRPr="009B3987">
        <w:rPr>
          <w:rFonts w:ascii="Times New Roman" w:hAnsi="Times New Roman" w:cs="Times New Roman"/>
          <w:b/>
          <w:sz w:val="24"/>
          <w:szCs w:val="24"/>
        </w:rPr>
        <w:t xml:space="preserve"> percentage of teachers who have low life</w:t>
      </w:r>
      <w:r w:rsidR="00DA24E3">
        <w:rPr>
          <w:rFonts w:ascii="Times New Roman" w:hAnsi="Times New Roman" w:cs="Times New Roman"/>
          <w:b/>
          <w:sz w:val="24"/>
          <w:szCs w:val="24"/>
        </w:rPr>
        <w:t xml:space="preserve"> </w:t>
      </w:r>
      <w:r w:rsidRPr="009B3987">
        <w:rPr>
          <w:rFonts w:ascii="Times New Roman" w:hAnsi="Times New Roman" w:cs="Times New Roman"/>
          <w:b/>
          <w:sz w:val="24"/>
          <w:szCs w:val="24"/>
        </w:rPr>
        <w:t>satisfaction and low self-worth compared to other occupations. Analysis of the APS.</w:t>
      </w:r>
    </w:p>
    <w:p w14:paraId="6A3EE2FC" w14:textId="77777777" w:rsidR="00D21A18" w:rsidRPr="009B3987" w:rsidRDefault="00D21A18" w:rsidP="009B3987">
      <w:pPr>
        <w:spacing w:after="0"/>
        <w:jc w:val="center"/>
        <w:rPr>
          <w:rFonts w:ascii="Times New Roman" w:hAnsi="Times New Roman" w:cs="Times New Roman"/>
          <w:b/>
          <w:sz w:val="24"/>
          <w:szCs w:val="24"/>
        </w:rPr>
      </w:pPr>
    </w:p>
    <w:p w14:paraId="1013CCF0" w14:textId="77777777" w:rsidR="009B3987" w:rsidRPr="0084072D" w:rsidRDefault="009B3987" w:rsidP="00697230">
      <w:pPr>
        <w:pStyle w:val="ListParagraph"/>
        <w:numPr>
          <w:ilvl w:val="0"/>
          <w:numId w:val="14"/>
        </w:numPr>
        <w:spacing w:after="0" w:line="259" w:lineRule="auto"/>
        <w:rPr>
          <w:rFonts w:ascii="Times New Roman" w:hAnsi="Times New Roman" w:cs="Times New Roman"/>
          <w:szCs w:val="24"/>
        </w:rPr>
      </w:pPr>
      <w:r w:rsidRPr="0084072D">
        <w:rPr>
          <w:rFonts w:ascii="Times New Roman" w:hAnsi="Times New Roman" w:cs="Times New Roman"/>
          <w:szCs w:val="24"/>
        </w:rPr>
        <w:t>Unconditional (all occupations)</w:t>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Pr>
          <w:rFonts w:ascii="Times New Roman" w:hAnsi="Times New Roman" w:cs="Times New Roman"/>
          <w:szCs w:val="24"/>
        </w:rPr>
        <w:t xml:space="preserve">(b) </w:t>
      </w:r>
      <w:r w:rsidRPr="0084072D">
        <w:rPr>
          <w:rFonts w:ascii="Times New Roman" w:hAnsi="Times New Roman" w:cs="Times New Roman"/>
          <w:szCs w:val="24"/>
        </w:rPr>
        <w:t>Matched to other professions</w:t>
      </w:r>
    </w:p>
    <w:p w14:paraId="62A9D4BF" w14:textId="77777777" w:rsidR="009B3987" w:rsidRDefault="009B3987" w:rsidP="009B3987">
      <w:r w:rsidRPr="00BB1F18">
        <w:rPr>
          <w:noProof/>
          <w:lang w:eastAsia="en-GB"/>
        </w:rPr>
        <w:drawing>
          <wp:inline distT="0" distB="0" distL="0" distR="0" wp14:anchorId="6D331EA9" wp14:editId="5D2C28A9">
            <wp:extent cx="4752975" cy="47529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752975" cy="4752975"/>
                    </a:xfrm>
                    <a:prstGeom prst="rect">
                      <a:avLst/>
                    </a:prstGeom>
                    <a:noFill/>
                    <a:ln>
                      <a:noFill/>
                    </a:ln>
                  </pic:spPr>
                </pic:pic>
              </a:graphicData>
            </a:graphic>
          </wp:inline>
        </w:drawing>
      </w:r>
      <w:r w:rsidRPr="004C7B74">
        <w:t xml:space="preserve"> </w:t>
      </w:r>
      <w:r w:rsidRPr="004C7B74">
        <w:rPr>
          <w:noProof/>
          <w:lang w:eastAsia="en-GB"/>
        </w:rPr>
        <w:drawing>
          <wp:inline distT="0" distB="0" distL="0" distR="0" wp14:anchorId="0220D18F" wp14:editId="40141F95">
            <wp:extent cx="4724400" cy="4724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24400" cy="4724400"/>
                    </a:xfrm>
                    <a:prstGeom prst="rect">
                      <a:avLst/>
                    </a:prstGeom>
                    <a:noFill/>
                    <a:ln>
                      <a:noFill/>
                    </a:ln>
                  </pic:spPr>
                </pic:pic>
              </a:graphicData>
            </a:graphic>
          </wp:inline>
        </w:drawing>
      </w:r>
    </w:p>
    <w:p w14:paraId="0D854F7A" w14:textId="3B4C9FA9" w:rsidR="00C15BFD" w:rsidRPr="00C15BFD" w:rsidRDefault="009B3987" w:rsidP="00C15BFD">
      <w:pPr>
        <w:spacing w:line="240" w:lineRule="auto"/>
        <w:jc w:val="both"/>
        <w:rPr>
          <w:rFonts w:ascii="Times New Roman" w:hAnsi="Times New Roman" w:cs="Times New Roman"/>
          <w:sz w:val="20"/>
          <w:szCs w:val="20"/>
        </w:rPr>
      </w:pPr>
      <w:r>
        <w:rPr>
          <w:rFonts w:ascii="Times New Roman" w:hAnsi="Times New Roman" w:cs="Times New Roman"/>
          <w:sz w:val="20"/>
          <w:szCs w:val="20"/>
        </w:rPr>
        <w:t>Notes: Each data</w:t>
      </w:r>
      <w:r w:rsidR="003A40D8">
        <w:rPr>
          <w:rFonts w:ascii="Times New Roman" w:hAnsi="Times New Roman" w:cs="Times New Roman"/>
          <w:sz w:val="20"/>
          <w:szCs w:val="20"/>
        </w:rPr>
        <w:t xml:space="preserve"> </w:t>
      </w:r>
      <w:r>
        <w:rPr>
          <w:rFonts w:ascii="Times New Roman" w:hAnsi="Times New Roman" w:cs="Times New Roman"/>
          <w:sz w:val="20"/>
          <w:szCs w:val="20"/>
        </w:rPr>
        <w:t>point represents one occupation. Figures refer to the percent</w:t>
      </w:r>
      <w:r w:rsidR="00731BFC">
        <w:rPr>
          <w:rFonts w:ascii="Times New Roman" w:hAnsi="Times New Roman" w:cs="Times New Roman"/>
          <w:sz w:val="20"/>
          <w:szCs w:val="20"/>
        </w:rPr>
        <w:t>age</w:t>
      </w:r>
      <w:r>
        <w:rPr>
          <w:rFonts w:ascii="Times New Roman" w:hAnsi="Times New Roman" w:cs="Times New Roman"/>
          <w:sz w:val="20"/>
          <w:szCs w:val="20"/>
        </w:rPr>
        <w:t xml:space="preserve"> of workers who have low self-worth (horizontal axis) and low life</w:t>
      </w:r>
      <w:r w:rsidR="00731BFC">
        <w:rPr>
          <w:rFonts w:ascii="Times New Roman" w:hAnsi="Times New Roman" w:cs="Times New Roman"/>
          <w:sz w:val="20"/>
          <w:szCs w:val="20"/>
        </w:rPr>
        <w:t xml:space="preserve"> </w:t>
      </w:r>
      <w:r>
        <w:rPr>
          <w:rFonts w:ascii="Times New Roman" w:hAnsi="Times New Roman" w:cs="Times New Roman"/>
          <w:sz w:val="20"/>
          <w:szCs w:val="20"/>
        </w:rPr>
        <w:t>satisfaction (vertical axis). Dashed lines illustrate the unweighted occupational average. The graph on the left presents the unconditional estimates for all occupations. The graph on the right presents the matching results, where comparators have been restricted to those working in professional jobs. Results restricted to occupations where the sample size is above 250.</w:t>
      </w:r>
      <w:r w:rsidR="00C15BFD">
        <w:rPr>
          <w:rFonts w:ascii="Times New Roman" w:hAnsi="Times New Roman" w:cs="Times New Roman"/>
          <w:sz w:val="20"/>
          <w:szCs w:val="20"/>
        </w:rPr>
        <w:t xml:space="preserve">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Annual Population Survey</w:t>
      </w:r>
      <w:r w:rsidR="00C15BFD" w:rsidRPr="00C15BFD">
        <w:rPr>
          <w:rFonts w:ascii="Times New Roman" w:hAnsi="Times New Roman" w:cs="Times New Roman"/>
          <w:sz w:val="20"/>
          <w:szCs w:val="20"/>
        </w:rPr>
        <w:t>.</w:t>
      </w:r>
    </w:p>
    <w:p w14:paraId="2B58CDCC" w14:textId="77777777" w:rsidR="009B3987" w:rsidRDefault="009B3987" w:rsidP="009B3987">
      <w:pPr>
        <w:jc w:val="both"/>
        <w:rPr>
          <w:rFonts w:ascii="Times New Roman" w:hAnsi="Times New Roman" w:cs="Times New Roman"/>
        </w:rPr>
        <w:sectPr w:rsidR="009B3987" w:rsidSect="00141B6D">
          <w:pgSz w:w="16838" w:h="11906" w:orient="landscape"/>
          <w:pgMar w:top="720" w:right="720" w:bottom="720" w:left="720" w:header="708" w:footer="708" w:gutter="0"/>
          <w:cols w:space="708"/>
          <w:docGrid w:linePitch="360"/>
        </w:sectPr>
      </w:pPr>
    </w:p>
    <w:p w14:paraId="08DBD30B" w14:textId="7D33A7B6"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lastRenderedPageBreak/>
        <w:t>The conditional results in panel (b) suggest that, once the demographic background of respondents has been controlled, life</w:t>
      </w:r>
      <w:r w:rsidR="009E08DA">
        <w:rPr>
          <w:rFonts w:ascii="Times New Roman" w:hAnsi="Times New Roman" w:cs="Times New Roman"/>
          <w:sz w:val="24"/>
          <w:szCs w:val="24"/>
        </w:rPr>
        <w:t xml:space="preserve"> </w:t>
      </w:r>
      <w:r w:rsidRPr="009B3987">
        <w:rPr>
          <w:rFonts w:ascii="Times New Roman" w:hAnsi="Times New Roman" w:cs="Times New Roman"/>
          <w:sz w:val="24"/>
          <w:szCs w:val="24"/>
        </w:rPr>
        <w:t xml:space="preserve">satisfaction amongst primary, secondary and SEN teachers is actually around the average for workers in professional jobs; the data points for these groups sit close to the dashed </w:t>
      </w:r>
      <w:proofErr w:type="spellStart"/>
      <w:r w:rsidRPr="009B3987">
        <w:rPr>
          <w:rFonts w:ascii="Times New Roman" w:hAnsi="Times New Roman" w:cs="Times New Roman"/>
          <w:sz w:val="24"/>
          <w:szCs w:val="24"/>
        </w:rPr>
        <w:t>horizonal</w:t>
      </w:r>
      <w:proofErr w:type="spellEnd"/>
      <w:r w:rsidRPr="009B3987">
        <w:rPr>
          <w:rFonts w:ascii="Times New Roman" w:hAnsi="Times New Roman" w:cs="Times New Roman"/>
          <w:sz w:val="24"/>
          <w:szCs w:val="24"/>
        </w:rPr>
        <w:t xml:space="preserve"> line. Yet teachers still appear to be better</w:t>
      </w:r>
      <w:r w:rsidR="005D5FA3">
        <w:rPr>
          <w:rFonts w:ascii="Times New Roman" w:hAnsi="Times New Roman" w:cs="Times New Roman"/>
          <w:sz w:val="24"/>
          <w:szCs w:val="24"/>
        </w:rPr>
        <w:t xml:space="preserve"> </w:t>
      </w:r>
      <w:r w:rsidRPr="009B3987">
        <w:rPr>
          <w:rFonts w:ascii="Times New Roman" w:hAnsi="Times New Roman" w:cs="Times New Roman"/>
          <w:sz w:val="24"/>
          <w:szCs w:val="24"/>
        </w:rPr>
        <w:t>off than other professionals in terms of self-worth; the data</w:t>
      </w:r>
      <w:r w:rsidR="003A40D8">
        <w:rPr>
          <w:rFonts w:ascii="Times New Roman" w:hAnsi="Times New Roman" w:cs="Times New Roman"/>
          <w:sz w:val="24"/>
          <w:szCs w:val="24"/>
        </w:rPr>
        <w:t xml:space="preserve"> </w:t>
      </w:r>
      <w:r w:rsidRPr="009B3987">
        <w:rPr>
          <w:rFonts w:ascii="Times New Roman" w:hAnsi="Times New Roman" w:cs="Times New Roman"/>
          <w:sz w:val="24"/>
          <w:szCs w:val="24"/>
        </w:rPr>
        <w:t xml:space="preserve">points for teachers sit to the left of the dashed vertical line, indicating that they are less likely to suffer with this aspect of their wellbeing than their peers in other professions. Again, the results for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xml:space="preserve"> are amongst the most promising out of any professional occupational group, with comparatively few reporting low life</w:t>
      </w:r>
      <w:r w:rsidR="00A15FAE">
        <w:rPr>
          <w:rFonts w:ascii="Times New Roman" w:hAnsi="Times New Roman" w:cs="Times New Roman"/>
          <w:sz w:val="24"/>
          <w:szCs w:val="24"/>
        </w:rPr>
        <w:t xml:space="preserve"> </w:t>
      </w:r>
      <w:r w:rsidRPr="009B3987">
        <w:rPr>
          <w:rFonts w:ascii="Times New Roman" w:hAnsi="Times New Roman" w:cs="Times New Roman"/>
          <w:sz w:val="24"/>
          <w:szCs w:val="24"/>
        </w:rPr>
        <w:t xml:space="preserve">satisfaction and low self-worth as a problem. Together, on these two aspects of personal wellbeing, the results for teachers are actually quite favourable. </w:t>
      </w:r>
    </w:p>
    <w:p w14:paraId="743C0EDB" w14:textId="41B5EABA" w:rsidR="009B3987" w:rsidRPr="009B3987" w:rsidRDefault="009B3987" w:rsidP="009B3987">
      <w:pPr>
        <w:spacing w:line="240" w:lineRule="auto"/>
        <w:jc w:val="center"/>
        <w:rPr>
          <w:rFonts w:ascii="Times New Roman" w:hAnsi="Times New Roman" w:cs="Times New Roman"/>
          <w:b/>
          <w:sz w:val="24"/>
          <w:szCs w:val="24"/>
        </w:rPr>
      </w:pPr>
      <w:r w:rsidRPr="009B3987">
        <w:rPr>
          <w:rFonts w:ascii="Times New Roman" w:hAnsi="Times New Roman" w:cs="Times New Roman"/>
          <w:b/>
          <w:sz w:val="24"/>
          <w:szCs w:val="24"/>
        </w:rPr>
        <w:t xml:space="preserve">Table 3.1 </w:t>
      </w:r>
      <w:proofErr w:type="gramStart"/>
      <w:r w:rsidRPr="009B3987">
        <w:rPr>
          <w:rFonts w:ascii="Times New Roman" w:hAnsi="Times New Roman" w:cs="Times New Roman"/>
          <w:b/>
          <w:sz w:val="24"/>
          <w:szCs w:val="24"/>
        </w:rPr>
        <w:t>The</w:t>
      </w:r>
      <w:proofErr w:type="gramEnd"/>
      <w:r w:rsidRPr="009B3987">
        <w:rPr>
          <w:rFonts w:ascii="Times New Roman" w:hAnsi="Times New Roman" w:cs="Times New Roman"/>
          <w:b/>
          <w:sz w:val="24"/>
          <w:szCs w:val="24"/>
        </w:rPr>
        <w:t xml:space="preserve"> personal wellbeing of teachers compared to selected comparator professions. Matching results from the APS. </w:t>
      </w:r>
    </w:p>
    <w:tbl>
      <w:tblPr>
        <w:tblW w:w="8505" w:type="dxa"/>
        <w:jc w:val="center"/>
        <w:tblLook w:val="04A0" w:firstRow="1" w:lastRow="0" w:firstColumn="1" w:lastColumn="0" w:noHBand="0" w:noVBand="1"/>
      </w:tblPr>
      <w:tblGrid>
        <w:gridCol w:w="3125"/>
        <w:gridCol w:w="1255"/>
        <w:gridCol w:w="1085"/>
        <w:gridCol w:w="1280"/>
        <w:gridCol w:w="1760"/>
      </w:tblGrid>
      <w:tr w:rsidR="005E2A38" w:rsidRPr="005E2A38" w14:paraId="6D892C79" w14:textId="77777777" w:rsidTr="005E2A38">
        <w:trPr>
          <w:trHeight w:val="505"/>
          <w:jc w:val="center"/>
        </w:trPr>
        <w:tc>
          <w:tcPr>
            <w:tcW w:w="3125" w:type="dxa"/>
            <w:tcBorders>
              <w:top w:val="single" w:sz="8" w:space="0" w:color="auto"/>
              <w:left w:val="nil"/>
              <w:bottom w:val="single" w:sz="8" w:space="0" w:color="auto"/>
              <w:right w:val="nil"/>
            </w:tcBorders>
            <w:shd w:val="clear" w:color="000000" w:fill="BDD7EE"/>
            <w:vAlign w:val="center"/>
            <w:hideMark/>
          </w:tcPr>
          <w:p w14:paraId="69C49C5D" w14:textId="77777777" w:rsidR="005E2A38" w:rsidRPr="005E2A38" w:rsidRDefault="005E2A38" w:rsidP="005E2A38">
            <w:pPr>
              <w:spacing w:after="0" w:line="240" w:lineRule="auto"/>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Occupation</w:t>
            </w:r>
          </w:p>
        </w:tc>
        <w:tc>
          <w:tcPr>
            <w:tcW w:w="1255" w:type="dxa"/>
            <w:tcBorders>
              <w:top w:val="single" w:sz="8" w:space="0" w:color="auto"/>
              <w:left w:val="nil"/>
              <w:bottom w:val="single" w:sz="8" w:space="0" w:color="auto"/>
              <w:right w:val="nil"/>
            </w:tcBorders>
            <w:shd w:val="clear" w:color="000000" w:fill="BDD7EE"/>
            <w:vAlign w:val="center"/>
            <w:hideMark/>
          </w:tcPr>
          <w:p w14:paraId="36AF7B8B" w14:textId="77777777"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Anxious</w:t>
            </w:r>
          </w:p>
        </w:tc>
        <w:tc>
          <w:tcPr>
            <w:tcW w:w="1085" w:type="dxa"/>
            <w:tcBorders>
              <w:top w:val="single" w:sz="8" w:space="0" w:color="auto"/>
              <w:left w:val="nil"/>
              <w:bottom w:val="single" w:sz="8" w:space="0" w:color="auto"/>
              <w:right w:val="nil"/>
            </w:tcBorders>
            <w:shd w:val="clear" w:color="000000" w:fill="BDD7EE"/>
            <w:vAlign w:val="center"/>
            <w:hideMark/>
          </w:tcPr>
          <w:p w14:paraId="05236296" w14:textId="77777777"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Unhappy</w:t>
            </w:r>
          </w:p>
        </w:tc>
        <w:tc>
          <w:tcPr>
            <w:tcW w:w="1280" w:type="dxa"/>
            <w:tcBorders>
              <w:top w:val="single" w:sz="8" w:space="0" w:color="auto"/>
              <w:left w:val="nil"/>
              <w:bottom w:val="single" w:sz="8" w:space="0" w:color="auto"/>
              <w:right w:val="nil"/>
            </w:tcBorders>
            <w:shd w:val="clear" w:color="000000" w:fill="BDD7EE"/>
            <w:vAlign w:val="center"/>
            <w:hideMark/>
          </w:tcPr>
          <w:p w14:paraId="3989B4DD" w14:textId="7AFAB3EA"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Low life</w:t>
            </w:r>
            <w:r w:rsidR="00A15FAE">
              <w:rPr>
                <w:rFonts w:ascii="Times New Roman" w:eastAsia="Times New Roman" w:hAnsi="Times New Roman" w:cs="Times New Roman"/>
                <w:b/>
                <w:bCs/>
                <w:color w:val="000000"/>
                <w:lang w:eastAsia="en-GB"/>
              </w:rPr>
              <w:t xml:space="preserve"> </w:t>
            </w:r>
            <w:r w:rsidRPr="005E2A38">
              <w:rPr>
                <w:rFonts w:ascii="Times New Roman" w:eastAsia="Times New Roman" w:hAnsi="Times New Roman" w:cs="Times New Roman"/>
                <w:b/>
                <w:bCs/>
                <w:color w:val="000000"/>
                <w:lang w:eastAsia="en-GB"/>
              </w:rPr>
              <w:t>satisfaction</w:t>
            </w:r>
          </w:p>
        </w:tc>
        <w:tc>
          <w:tcPr>
            <w:tcW w:w="1760" w:type="dxa"/>
            <w:tcBorders>
              <w:top w:val="single" w:sz="8" w:space="0" w:color="auto"/>
              <w:left w:val="nil"/>
              <w:bottom w:val="single" w:sz="8" w:space="0" w:color="auto"/>
              <w:right w:val="nil"/>
            </w:tcBorders>
            <w:shd w:val="clear" w:color="000000" w:fill="BDD7EE"/>
            <w:vAlign w:val="center"/>
            <w:hideMark/>
          </w:tcPr>
          <w:p w14:paraId="72EC47BE" w14:textId="4DE3DA66"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Low</w:t>
            </w:r>
            <w:r w:rsidR="00A15FAE">
              <w:rPr>
                <w:rFonts w:ascii="Times New Roman" w:eastAsia="Times New Roman" w:hAnsi="Times New Roman" w:cs="Times New Roman"/>
                <w:b/>
                <w:bCs/>
                <w:color w:val="000000"/>
                <w:lang w:eastAsia="en-GB"/>
              </w:rPr>
              <w:t xml:space="preserve"> </w:t>
            </w:r>
            <w:r w:rsidRPr="005E2A38">
              <w:rPr>
                <w:rFonts w:ascii="Times New Roman" w:eastAsia="Times New Roman" w:hAnsi="Times New Roman" w:cs="Times New Roman"/>
                <w:b/>
                <w:bCs/>
                <w:color w:val="000000"/>
                <w:lang w:eastAsia="en-GB"/>
              </w:rPr>
              <w:t>self</w:t>
            </w:r>
            <w:r w:rsidR="00A15FAE">
              <w:rPr>
                <w:rFonts w:ascii="Times New Roman" w:eastAsia="Times New Roman" w:hAnsi="Times New Roman" w:cs="Times New Roman"/>
                <w:b/>
                <w:bCs/>
                <w:color w:val="000000"/>
                <w:lang w:eastAsia="en-GB"/>
              </w:rPr>
              <w:t>-</w:t>
            </w:r>
            <w:r w:rsidRPr="005E2A38">
              <w:rPr>
                <w:rFonts w:ascii="Times New Roman" w:eastAsia="Times New Roman" w:hAnsi="Times New Roman" w:cs="Times New Roman"/>
                <w:b/>
                <w:bCs/>
                <w:color w:val="000000"/>
                <w:lang w:eastAsia="en-GB"/>
              </w:rPr>
              <w:t>worth</w:t>
            </w:r>
          </w:p>
        </w:tc>
      </w:tr>
      <w:tr w:rsidR="005E2A38" w:rsidRPr="005E2A38" w14:paraId="3E8A1E00"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427BFFE3"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Authors, writers and translators</w:t>
            </w:r>
          </w:p>
        </w:tc>
        <w:tc>
          <w:tcPr>
            <w:tcW w:w="1255" w:type="dxa"/>
            <w:tcBorders>
              <w:top w:val="nil"/>
              <w:left w:val="nil"/>
              <w:bottom w:val="nil"/>
              <w:right w:val="nil"/>
            </w:tcBorders>
            <w:shd w:val="clear" w:color="000000" w:fill="FF0000"/>
            <w:noWrap/>
            <w:vAlign w:val="center"/>
            <w:hideMark/>
          </w:tcPr>
          <w:p w14:paraId="2A1490E4"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24.9</w:t>
            </w:r>
            <w:r w:rsidRPr="005E2A38">
              <w:rPr>
                <w:rFonts w:ascii="Calibri" w:eastAsia="Times New Roman" w:hAnsi="Calibri" w:cs="Calibri"/>
                <w:color w:val="000000"/>
                <w:sz w:val="16"/>
                <w:szCs w:val="16"/>
                <w:lang w:eastAsia="en-GB"/>
              </w:rPr>
              <w:t> </w:t>
            </w:r>
          </w:p>
        </w:tc>
        <w:tc>
          <w:tcPr>
            <w:tcW w:w="1085" w:type="dxa"/>
            <w:tcBorders>
              <w:top w:val="nil"/>
              <w:left w:val="nil"/>
              <w:bottom w:val="nil"/>
              <w:right w:val="nil"/>
            </w:tcBorders>
            <w:shd w:val="clear" w:color="000000" w:fill="F98D8F"/>
            <w:noWrap/>
            <w:vAlign w:val="center"/>
            <w:hideMark/>
          </w:tcPr>
          <w:p w14:paraId="7207441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24.1</w:t>
            </w:r>
          </w:p>
        </w:tc>
        <w:tc>
          <w:tcPr>
            <w:tcW w:w="1280" w:type="dxa"/>
            <w:tcBorders>
              <w:top w:val="nil"/>
              <w:left w:val="nil"/>
              <w:bottom w:val="nil"/>
              <w:right w:val="nil"/>
            </w:tcBorders>
            <w:shd w:val="clear" w:color="000000" w:fill="FA989B"/>
            <w:noWrap/>
            <w:vAlign w:val="center"/>
            <w:hideMark/>
          </w:tcPr>
          <w:p w14:paraId="1BCCB26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15.5</w:t>
            </w:r>
          </w:p>
        </w:tc>
        <w:tc>
          <w:tcPr>
            <w:tcW w:w="1760" w:type="dxa"/>
            <w:tcBorders>
              <w:top w:val="nil"/>
              <w:left w:val="nil"/>
              <w:bottom w:val="nil"/>
              <w:right w:val="nil"/>
            </w:tcBorders>
            <w:shd w:val="clear" w:color="000000" w:fill="F97779"/>
            <w:noWrap/>
            <w:vAlign w:val="center"/>
            <w:hideMark/>
          </w:tcPr>
          <w:p w14:paraId="16E3DC6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14.6</w:t>
            </w:r>
          </w:p>
        </w:tc>
      </w:tr>
      <w:tr w:rsidR="005E2A38" w:rsidRPr="005E2A38" w14:paraId="42E15C08"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53ADB8A5"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Academics in higher education</w:t>
            </w:r>
          </w:p>
        </w:tc>
        <w:tc>
          <w:tcPr>
            <w:tcW w:w="1255" w:type="dxa"/>
            <w:tcBorders>
              <w:top w:val="nil"/>
              <w:left w:val="nil"/>
              <w:bottom w:val="nil"/>
              <w:right w:val="nil"/>
            </w:tcBorders>
            <w:shd w:val="clear" w:color="000000" w:fill="F8696B"/>
            <w:noWrap/>
            <w:vAlign w:val="center"/>
            <w:hideMark/>
          </w:tcPr>
          <w:p w14:paraId="4A91793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24.7</w:t>
            </w:r>
          </w:p>
        </w:tc>
        <w:tc>
          <w:tcPr>
            <w:tcW w:w="1085" w:type="dxa"/>
            <w:tcBorders>
              <w:top w:val="nil"/>
              <w:left w:val="nil"/>
              <w:bottom w:val="nil"/>
              <w:right w:val="nil"/>
            </w:tcBorders>
            <w:shd w:val="clear" w:color="000000" w:fill="FA9598"/>
            <w:noWrap/>
            <w:vAlign w:val="center"/>
            <w:hideMark/>
          </w:tcPr>
          <w:p w14:paraId="49E3322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23.5</w:t>
            </w:r>
          </w:p>
        </w:tc>
        <w:tc>
          <w:tcPr>
            <w:tcW w:w="1280" w:type="dxa"/>
            <w:tcBorders>
              <w:top w:val="nil"/>
              <w:left w:val="nil"/>
              <w:bottom w:val="nil"/>
              <w:right w:val="nil"/>
            </w:tcBorders>
            <w:shd w:val="clear" w:color="000000" w:fill="FCD8DB"/>
            <w:noWrap/>
            <w:vAlign w:val="center"/>
            <w:hideMark/>
          </w:tcPr>
          <w:p w14:paraId="2C08DF56"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11.8</w:t>
            </w:r>
          </w:p>
        </w:tc>
        <w:tc>
          <w:tcPr>
            <w:tcW w:w="1760" w:type="dxa"/>
            <w:tcBorders>
              <w:top w:val="nil"/>
              <w:left w:val="nil"/>
              <w:bottom w:val="nil"/>
              <w:right w:val="nil"/>
            </w:tcBorders>
            <w:shd w:val="clear" w:color="000000" w:fill="FBD2D5"/>
            <w:noWrap/>
            <w:vAlign w:val="center"/>
            <w:hideMark/>
          </w:tcPr>
          <w:p w14:paraId="6B6CAACD"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8.3</w:t>
            </w:r>
          </w:p>
        </w:tc>
      </w:tr>
      <w:tr w:rsidR="005E2A38" w:rsidRPr="005E2A38" w14:paraId="6C0B19C7"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5A946590"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Graphic designers</w:t>
            </w:r>
          </w:p>
        </w:tc>
        <w:tc>
          <w:tcPr>
            <w:tcW w:w="1255" w:type="dxa"/>
            <w:tcBorders>
              <w:top w:val="nil"/>
              <w:left w:val="nil"/>
              <w:bottom w:val="nil"/>
              <w:right w:val="nil"/>
            </w:tcBorders>
            <w:shd w:val="clear" w:color="000000" w:fill="F97275"/>
            <w:noWrap/>
            <w:vAlign w:val="center"/>
            <w:hideMark/>
          </w:tcPr>
          <w:p w14:paraId="0A092A2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24.2</w:t>
            </w:r>
          </w:p>
        </w:tc>
        <w:tc>
          <w:tcPr>
            <w:tcW w:w="1085" w:type="dxa"/>
            <w:tcBorders>
              <w:top w:val="nil"/>
              <w:left w:val="nil"/>
              <w:bottom w:val="nil"/>
              <w:right w:val="nil"/>
            </w:tcBorders>
            <w:shd w:val="clear" w:color="000000" w:fill="FAACAE"/>
            <w:noWrap/>
            <w:vAlign w:val="center"/>
            <w:hideMark/>
          </w:tcPr>
          <w:p w14:paraId="1CA379D5"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21.8</w:t>
            </w:r>
          </w:p>
        </w:tc>
        <w:tc>
          <w:tcPr>
            <w:tcW w:w="1280" w:type="dxa"/>
            <w:tcBorders>
              <w:top w:val="nil"/>
              <w:left w:val="nil"/>
              <w:bottom w:val="nil"/>
              <w:right w:val="nil"/>
            </w:tcBorders>
            <w:shd w:val="clear" w:color="000000" w:fill="F8696B"/>
            <w:noWrap/>
            <w:vAlign w:val="center"/>
            <w:hideMark/>
          </w:tcPr>
          <w:p w14:paraId="46859B6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18.2</w:t>
            </w:r>
          </w:p>
        </w:tc>
        <w:tc>
          <w:tcPr>
            <w:tcW w:w="1760" w:type="dxa"/>
            <w:tcBorders>
              <w:top w:val="nil"/>
              <w:left w:val="nil"/>
              <w:bottom w:val="nil"/>
              <w:right w:val="nil"/>
            </w:tcBorders>
            <w:shd w:val="clear" w:color="000000" w:fill="F98486"/>
            <w:noWrap/>
            <w:vAlign w:val="center"/>
            <w:hideMark/>
          </w:tcPr>
          <w:p w14:paraId="0EA85D2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13.7</w:t>
            </w:r>
          </w:p>
        </w:tc>
      </w:tr>
      <w:tr w:rsidR="005E2A38" w:rsidRPr="005E2A38" w14:paraId="286CBB0C"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00E8DB5C" w14:textId="393E5831" w:rsidR="005E2A38" w:rsidRPr="005E2A38" w:rsidRDefault="00E72EF1" w:rsidP="005E2A38">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w:t>
            </w:r>
            <w:r w:rsidRPr="005E2A38">
              <w:rPr>
                <w:rFonts w:ascii="Times New Roman" w:eastAsia="Times New Roman" w:hAnsi="Times New Roman" w:cs="Times New Roman"/>
                <w:color w:val="000000"/>
                <w:lang w:eastAsia="en-GB"/>
              </w:rPr>
              <w:t>olicitors</w:t>
            </w:r>
          </w:p>
        </w:tc>
        <w:tc>
          <w:tcPr>
            <w:tcW w:w="1255" w:type="dxa"/>
            <w:tcBorders>
              <w:top w:val="nil"/>
              <w:left w:val="nil"/>
              <w:bottom w:val="nil"/>
              <w:right w:val="nil"/>
            </w:tcBorders>
            <w:shd w:val="clear" w:color="000000" w:fill="F97678"/>
            <w:noWrap/>
            <w:vAlign w:val="center"/>
            <w:hideMark/>
          </w:tcPr>
          <w:p w14:paraId="003419D7"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w:t>
            </w:r>
          </w:p>
        </w:tc>
        <w:tc>
          <w:tcPr>
            <w:tcW w:w="1085" w:type="dxa"/>
            <w:tcBorders>
              <w:top w:val="nil"/>
              <w:left w:val="nil"/>
              <w:bottom w:val="nil"/>
              <w:right w:val="nil"/>
            </w:tcBorders>
            <w:shd w:val="clear" w:color="000000" w:fill="F9898C"/>
            <w:noWrap/>
            <w:vAlign w:val="center"/>
            <w:hideMark/>
          </w:tcPr>
          <w:p w14:paraId="69CFF02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24.4</w:t>
            </w:r>
          </w:p>
        </w:tc>
        <w:tc>
          <w:tcPr>
            <w:tcW w:w="1280" w:type="dxa"/>
            <w:tcBorders>
              <w:top w:val="nil"/>
              <w:left w:val="nil"/>
              <w:bottom w:val="nil"/>
              <w:right w:val="nil"/>
            </w:tcBorders>
            <w:shd w:val="clear" w:color="000000" w:fill="FBBDBF"/>
            <w:noWrap/>
            <w:vAlign w:val="center"/>
            <w:hideMark/>
          </w:tcPr>
          <w:p w14:paraId="693DAD9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13.4</w:t>
            </w:r>
          </w:p>
        </w:tc>
        <w:tc>
          <w:tcPr>
            <w:tcW w:w="1760" w:type="dxa"/>
            <w:tcBorders>
              <w:top w:val="nil"/>
              <w:left w:val="nil"/>
              <w:bottom w:val="nil"/>
              <w:right w:val="nil"/>
            </w:tcBorders>
            <w:shd w:val="clear" w:color="000000" w:fill="F98B8D"/>
            <w:noWrap/>
            <w:vAlign w:val="center"/>
            <w:hideMark/>
          </w:tcPr>
          <w:p w14:paraId="7E3A94D5"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13.2</w:t>
            </w:r>
          </w:p>
        </w:tc>
      </w:tr>
      <w:tr w:rsidR="005E2A38" w:rsidRPr="005E2A38" w14:paraId="7781B5D5"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6E508503"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Journalists</w:t>
            </w:r>
          </w:p>
        </w:tc>
        <w:tc>
          <w:tcPr>
            <w:tcW w:w="1255" w:type="dxa"/>
            <w:tcBorders>
              <w:top w:val="nil"/>
              <w:left w:val="nil"/>
              <w:bottom w:val="nil"/>
              <w:right w:val="nil"/>
            </w:tcBorders>
            <w:shd w:val="clear" w:color="000000" w:fill="F98183"/>
            <w:noWrap/>
            <w:vAlign w:val="center"/>
            <w:hideMark/>
          </w:tcPr>
          <w:p w14:paraId="220BB32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23.4</w:t>
            </w:r>
          </w:p>
        </w:tc>
        <w:tc>
          <w:tcPr>
            <w:tcW w:w="1085" w:type="dxa"/>
            <w:tcBorders>
              <w:top w:val="nil"/>
              <w:left w:val="nil"/>
              <w:bottom w:val="nil"/>
              <w:right w:val="nil"/>
            </w:tcBorders>
            <w:shd w:val="clear" w:color="000000" w:fill="FAAAAD"/>
            <w:noWrap/>
            <w:vAlign w:val="center"/>
            <w:hideMark/>
          </w:tcPr>
          <w:p w14:paraId="35E400A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21.9</w:t>
            </w:r>
          </w:p>
        </w:tc>
        <w:tc>
          <w:tcPr>
            <w:tcW w:w="1280" w:type="dxa"/>
            <w:tcBorders>
              <w:top w:val="nil"/>
              <w:left w:val="nil"/>
              <w:bottom w:val="nil"/>
              <w:right w:val="nil"/>
            </w:tcBorders>
            <w:shd w:val="clear" w:color="000000" w:fill="FAB0B3"/>
            <w:noWrap/>
            <w:vAlign w:val="center"/>
            <w:hideMark/>
          </w:tcPr>
          <w:p w14:paraId="06FB118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14.1</w:t>
            </w:r>
          </w:p>
        </w:tc>
        <w:tc>
          <w:tcPr>
            <w:tcW w:w="1760" w:type="dxa"/>
            <w:tcBorders>
              <w:top w:val="nil"/>
              <w:left w:val="nil"/>
              <w:bottom w:val="nil"/>
              <w:right w:val="nil"/>
            </w:tcBorders>
            <w:shd w:val="clear" w:color="000000" w:fill="F98587"/>
            <w:noWrap/>
            <w:vAlign w:val="center"/>
            <w:hideMark/>
          </w:tcPr>
          <w:p w14:paraId="68DCBE69"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13.6</w:t>
            </w:r>
          </w:p>
        </w:tc>
      </w:tr>
      <w:tr w:rsidR="005E2A38" w:rsidRPr="005E2A38" w14:paraId="65BBD082"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4629979A"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Social workers</w:t>
            </w:r>
          </w:p>
        </w:tc>
        <w:tc>
          <w:tcPr>
            <w:tcW w:w="1255" w:type="dxa"/>
            <w:tcBorders>
              <w:top w:val="nil"/>
              <w:left w:val="nil"/>
              <w:bottom w:val="nil"/>
              <w:right w:val="nil"/>
            </w:tcBorders>
            <w:shd w:val="clear" w:color="000000" w:fill="FA9193"/>
            <w:noWrap/>
            <w:vAlign w:val="center"/>
            <w:hideMark/>
          </w:tcPr>
          <w:p w14:paraId="44A9C616"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22.5</w:t>
            </w:r>
          </w:p>
        </w:tc>
        <w:tc>
          <w:tcPr>
            <w:tcW w:w="1085" w:type="dxa"/>
            <w:tcBorders>
              <w:top w:val="nil"/>
              <w:left w:val="nil"/>
              <w:bottom w:val="nil"/>
              <w:right w:val="nil"/>
            </w:tcBorders>
            <w:shd w:val="clear" w:color="000000" w:fill="F8696B"/>
            <w:noWrap/>
            <w:vAlign w:val="center"/>
            <w:hideMark/>
          </w:tcPr>
          <w:p w14:paraId="40211D59"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26.8</w:t>
            </w:r>
          </w:p>
        </w:tc>
        <w:tc>
          <w:tcPr>
            <w:tcW w:w="1280" w:type="dxa"/>
            <w:tcBorders>
              <w:top w:val="nil"/>
              <w:left w:val="nil"/>
              <w:bottom w:val="nil"/>
              <w:right w:val="nil"/>
            </w:tcBorders>
            <w:shd w:val="clear" w:color="000000" w:fill="F97072"/>
            <w:noWrap/>
            <w:vAlign w:val="center"/>
            <w:hideMark/>
          </w:tcPr>
          <w:p w14:paraId="516FB3A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17.8</w:t>
            </w:r>
          </w:p>
        </w:tc>
        <w:tc>
          <w:tcPr>
            <w:tcW w:w="1760" w:type="dxa"/>
            <w:tcBorders>
              <w:top w:val="nil"/>
              <w:left w:val="nil"/>
              <w:bottom w:val="nil"/>
              <w:right w:val="nil"/>
            </w:tcBorders>
            <w:shd w:val="clear" w:color="000000" w:fill="FBC8CB"/>
            <w:noWrap/>
            <w:vAlign w:val="center"/>
            <w:hideMark/>
          </w:tcPr>
          <w:p w14:paraId="454AE83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9</w:t>
            </w:r>
          </w:p>
        </w:tc>
      </w:tr>
      <w:tr w:rsidR="005E2A38" w:rsidRPr="005E2A38" w14:paraId="1801087A" w14:textId="77777777" w:rsidTr="005E2A38">
        <w:trPr>
          <w:trHeight w:val="290"/>
          <w:jc w:val="center"/>
        </w:trPr>
        <w:tc>
          <w:tcPr>
            <w:tcW w:w="3125" w:type="dxa"/>
            <w:tcBorders>
              <w:top w:val="dotted" w:sz="4" w:space="0" w:color="auto"/>
              <w:left w:val="dotted" w:sz="4" w:space="0" w:color="auto"/>
              <w:bottom w:val="dotted" w:sz="4" w:space="0" w:color="auto"/>
              <w:right w:val="nil"/>
            </w:tcBorders>
            <w:shd w:val="clear" w:color="auto" w:fill="auto"/>
            <w:noWrap/>
            <w:vAlign w:val="center"/>
            <w:hideMark/>
          </w:tcPr>
          <w:p w14:paraId="713B0A74" w14:textId="7171F990" w:rsidR="005E2A38" w:rsidRPr="005E2A38" w:rsidRDefault="005E2A38" w:rsidP="005E2A38">
            <w:pPr>
              <w:spacing w:after="0" w:line="240" w:lineRule="auto"/>
              <w:rPr>
                <w:rFonts w:ascii="Times New Roman" w:eastAsia="Times New Roman" w:hAnsi="Times New Roman" w:cs="Times New Roman"/>
                <w:color w:val="000000"/>
                <w:lang w:eastAsia="en-GB"/>
              </w:rPr>
            </w:pPr>
            <w:proofErr w:type="spellStart"/>
            <w:r w:rsidRPr="005E2A38">
              <w:rPr>
                <w:rFonts w:ascii="Times New Roman" w:eastAsia="Times New Roman" w:hAnsi="Times New Roman" w:cs="Times New Roman"/>
                <w:color w:val="000000"/>
                <w:lang w:eastAsia="en-GB"/>
              </w:rPr>
              <w:t>Headteacher</w:t>
            </w:r>
            <w:r w:rsidR="00E72EF1">
              <w:rPr>
                <w:rFonts w:ascii="Times New Roman" w:eastAsia="Times New Roman" w:hAnsi="Times New Roman" w:cs="Times New Roman"/>
                <w:color w:val="000000"/>
                <w:lang w:eastAsia="en-GB"/>
              </w:rPr>
              <w:t>s</w:t>
            </w:r>
            <w:proofErr w:type="spellEnd"/>
          </w:p>
        </w:tc>
        <w:tc>
          <w:tcPr>
            <w:tcW w:w="1255" w:type="dxa"/>
            <w:tcBorders>
              <w:top w:val="dotted" w:sz="4" w:space="0" w:color="auto"/>
              <w:left w:val="nil"/>
              <w:bottom w:val="dotted" w:sz="4" w:space="0" w:color="auto"/>
              <w:right w:val="nil"/>
            </w:tcBorders>
            <w:shd w:val="clear" w:color="000000" w:fill="FA9395"/>
            <w:noWrap/>
            <w:vAlign w:val="center"/>
            <w:hideMark/>
          </w:tcPr>
          <w:p w14:paraId="010CEE5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22.4</w:t>
            </w:r>
          </w:p>
        </w:tc>
        <w:tc>
          <w:tcPr>
            <w:tcW w:w="1085" w:type="dxa"/>
            <w:tcBorders>
              <w:top w:val="dotted" w:sz="4" w:space="0" w:color="auto"/>
              <w:left w:val="nil"/>
              <w:bottom w:val="dotted" w:sz="4" w:space="0" w:color="auto"/>
              <w:right w:val="nil"/>
            </w:tcBorders>
            <w:shd w:val="clear" w:color="000000" w:fill="FCFCFF"/>
            <w:noWrap/>
            <w:vAlign w:val="center"/>
            <w:hideMark/>
          </w:tcPr>
          <w:p w14:paraId="681F5BB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15.7</w:t>
            </w:r>
          </w:p>
        </w:tc>
        <w:tc>
          <w:tcPr>
            <w:tcW w:w="1280" w:type="dxa"/>
            <w:tcBorders>
              <w:top w:val="dotted" w:sz="4" w:space="0" w:color="auto"/>
              <w:left w:val="nil"/>
              <w:bottom w:val="dotted" w:sz="4" w:space="0" w:color="auto"/>
              <w:right w:val="nil"/>
            </w:tcBorders>
            <w:shd w:val="clear" w:color="000000" w:fill="FCFCFF"/>
            <w:noWrap/>
            <w:vAlign w:val="center"/>
            <w:hideMark/>
          </w:tcPr>
          <w:p w14:paraId="160F31FD"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9.7</w:t>
            </w:r>
          </w:p>
        </w:tc>
        <w:tc>
          <w:tcPr>
            <w:tcW w:w="1760" w:type="dxa"/>
            <w:tcBorders>
              <w:top w:val="dotted" w:sz="4" w:space="0" w:color="auto"/>
              <w:left w:val="nil"/>
              <w:bottom w:val="dotted" w:sz="4" w:space="0" w:color="auto"/>
              <w:right w:val="dotted" w:sz="4" w:space="0" w:color="auto"/>
            </w:tcBorders>
            <w:shd w:val="clear" w:color="000000" w:fill="FCECEF"/>
            <w:noWrap/>
            <w:vAlign w:val="center"/>
            <w:hideMark/>
          </w:tcPr>
          <w:p w14:paraId="5FFD6B0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6.5</w:t>
            </w:r>
          </w:p>
        </w:tc>
      </w:tr>
      <w:tr w:rsidR="005E2A38" w:rsidRPr="005E2A38" w14:paraId="20E7D90A" w14:textId="77777777" w:rsidTr="005E2A38">
        <w:trPr>
          <w:trHeight w:val="290"/>
          <w:jc w:val="center"/>
        </w:trPr>
        <w:tc>
          <w:tcPr>
            <w:tcW w:w="3125" w:type="dxa"/>
            <w:tcBorders>
              <w:top w:val="nil"/>
              <w:left w:val="dotted" w:sz="4" w:space="0" w:color="auto"/>
              <w:bottom w:val="dotted" w:sz="4" w:space="0" w:color="auto"/>
              <w:right w:val="nil"/>
            </w:tcBorders>
            <w:shd w:val="clear" w:color="auto" w:fill="auto"/>
            <w:noWrap/>
            <w:vAlign w:val="center"/>
            <w:hideMark/>
          </w:tcPr>
          <w:p w14:paraId="7AAEE49E" w14:textId="3C8002FF"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Secondary teacher</w:t>
            </w:r>
            <w:r w:rsidR="00E72EF1">
              <w:rPr>
                <w:rFonts w:ascii="Times New Roman" w:eastAsia="Times New Roman" w:hAnsi="Times New Roman" w:cs="Times New Roman"/>
                <w:color w:val="000000"/>
                <w:lang w:eastAsia="en-GB"/>
              </w:rPr>
              <w:t>s</w:t>
            </w:r>
          </w:p>
        </w:tc>
        <w:tc>
          <w:tcPr>
            <w:tcW w:w="1255" w:type="dxa"/>
            <w:tcBorders>
              <w:top w:val="nil"/>
              <w:left w:val="nil"/>
              <w:bottom w:val="dotted" w:sz="4" w:space="0" w:color="auto"/>
              <w:right w:val="nil"/>
            </w:tcBorders>
            <w:shd w:val="clear" w:color="000000" w:fill="FAAEB0"/>
            <w:noWrap/>
            <w:vAlign w:val="center"/>
            <w:hideMark/>
          </w:tcPr>
          <w:p w14:paraId="2285795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20.9</w:t>
            </w:r>
          </w:p>
        </w:tc>
        <w:tc>
          <w:tcPr>
            <w:tcW w:w="1085" w:type="dxa"/>
            <w:tcBorders>
              <w:top w:val="nil"/>
              <w:left w:val="nil"/>
              <w:bottom w:val="dotted" w:sz="4" w:space="0" w:color="auto"/>
              <w:right w:val="nil"/>
            </w:tcBorders>
            <w:shd w:val="clear" w:color="000000" w:fill="FAADB0"/>
            <w:noWrap/>
            <w:vAlign w:val="center"/>
            <w:hideMark/>
          </w:tcPr>
          <w:p w14:paraId="758D90E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21.7</w:t>
            </w:r>
          </w:p>
        </w:tc>
        <w:tc>
          <w:tcPr>
            <w:tcW w:w="1280" w:type="dxa"/>
            <w:tcBorders>
              <w:top w:val="nil"/>
              <w:left w:val="nil"/>
              <w:bottom w:val="dotted" w:sz="4" w:space="0" w:color="auto"/>
              <w:right w:val="nil"/>
            </w:tcBorders>
            <w:shd w:val="clear" w:color="000000" w:fill="FBBDBF"/>
            <w:noWrap/>
            <w:vAlign w:val="center"/>
            <w:hideMark/>
          </w:tcPr>
          <w:p w14:paraId="52FD60A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13.4</w:t>
            </w:r>
          </w:p>
        </w:tc>
        <w:tc>
          <w:tcPr>
            <w:tcW w:w="1760" w:type="dxa"/>
            <w:tcBorders>
              <w:top w:val="nil"/>
              <w:left w:val="nil"/>
              <w:bottom w:val="dotted" w:sz="4" w:space="0" w:color="auto"/>
              <w:right w:val="dotted" w:sz="4" w:space="0" w:color="auto"/>
            </w:tcBorders>
            <w:shd w:val="clear" w:color="000000" w:fill="FCE7EA"/>
            <w:noWrap/>
            <w:vAlign w:val="center"/>
            <w:hideMark/>
          </w:tcPr>
          <w:p w14:paraId="5D73073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6.9</w:t>
            </w:r>
          </w:p>
        </w:tc>
      </w:tr>
      <w:tr w:rsidR="005E2A38" w:rsidRPr="005E2A38" w14:paraId="02EC98B2" w14:textId="77777777" w:rsidTr="005E2A38">
        <w:trPr>
          <w:trHeight w:val="290"/>
          <w:jc w:val="center"/>
        </w:trPr>
        <w:tc>
          <w:tcPr>
            <w:tcW w:w="3125" w:type="dxa"/>
            <w:tcBorders>
              <w:top w:val="nil"/>
              <w:left w:val="dotted" w:sz="4" w:space="0" w:color="auto"/>
              <w:bottom w:val="dotted" w:sz="4" w:space="0" w:color="auto"/>
              <w:right w:val="nil"/>
            </w:tcBorders>
            <w:shd w:val="clear" w:color="auto" w:fill="auto"/>
            <w:noWrap/>
            <w:vAlign w:val="center"/>
            <w:hideMark/>
          </w:tcPr>
          <w:p w14:paraId="797E203B" w14:textId="15FFC9E1"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Primary teacher</w:t>
            </w:r>
            <w:r w:rsidR="00E72EF1">
              <w:rPr>
                <w:rFonts w:ascii="Times New Roman" w:eastAsia="Times New Roman" w:hAnsi="Times New Roman" w:cs="Times New Roman"/>
                <w:color w:val="000000"/>
                <w:lang w:eastAsia="en-GB"/>
              </w:rPr>
              <w:t>s</w:t>
            </w:r>
          </w:p>
        </w:tc>
        <w:tc>
          <w:tcPr>
            <w:tcW w:w="1255" w:type="dxa"/>
            <w:tcBorders>
              <w:top w:val="nil"/>
              <w:left w:val="nil"/>
              <w:bottom w:val="dotted" w:sz="4" w:space="0" w:color="auto"/>
              <w:right w:val="nil"/>
            </w:tcBorders>
            <w:shd w:val="clear" w:color="000000" w:fill="FAAEB0"/>
            <w:noWrap/>
            <w:vAlign w:val="center"/>
            <w:hideMark/>
          </w:tcPr>
          <w:p w14:paraId="76A7823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20.9</w:t>
            </w:r>
          </w:p>
        </w:tc>
        <w:tc>
          <w:tcPr>
            <w:tcW w:w="1085" w:type="dxa"/>
            <w:tcBorders>
              <w:top w:val="nil"/>
              <w:left w:val="nil"/>
              <w:bottom w:val="dotted" w:sz="4" w:space="0" w:color="auto"/>
              <w:right w:val="nil"/>
            </w:tcBorders>
            <w:shd w:val="clear" w:color="000000" w:fill="FBC2C5"/>
            <w:noWrap/>
            <w:vAlign w:val="center"/>
            <w:hideMark/>
          </w:tcPr>
          <w:p w14:paraId="133AC7A8"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20.1</w:t>
            </w:r>
          </w:p>
        </w:tc>
        <w:tc>
          <w:tcPr>
            <w:tcW w:w="1280" w:type="dxa"/>
            <w:tcBorders>
              <w:top w:val="nil"/>
              <w:left w:val="nil"/>
              <w:bottom w:val="dotted" w:sz="4" w:space="0" w:color="auto"/>
              <w:right w:val="nil"/>
            </w:tcBorders>
            <w:shd w:val="clear" w:color="000000" w:fill="FBD6D9"/>
            <w:noWrap/>
            <w:vAlign w:val="center"/>
            <w:hideMark/>
          </w:tcPr>
          <w:p w14:paraId="510A258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11.9</w:t>
            </w:r>
          </w:p>
        </w:tc>
        <w:tc>
          <w:tcPr>
            <w:tcW w:w="1760" w:type="dxa"/>
            <w:tcBorders>
              <w:top w:val="nil"/>
              <w:left w:val="nil"/>
              <w:bottom w:val="dotted" w:sz="4" w:space="0" w:color="auto"/>
              <w:right w:val="dotted" w:sz="4" w:space="0" w:color="auto"/>
            </w:tcBorders>
            <w:shd w:val="clear" w:color="000000" w:fill="FCFCFF"/>
            <w:noWrap/>
            <w:vAlign w:val="center"/>
            <w:hideMark/>
          </w:tcPr>
          <w:p w14:paraId="0D4DF63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5.4</w:t>
            </w:r>
          </w:p>
        </w:tc>
      </w:tr>
      <w:tr w:rsidR="005E2A38" w:rsidRPr="005E2A38" w14:paraId="2FD42F9B"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49AA94EB" w14:textId="74F94989"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Marketing associate professionals</w:t>
            </w:r>
          </w:p>
        </w:tc>
        <w:tc>
          <w:tcPr>
            <w:tcW w:w="1255" w:type="dxa"/>
            <w:tcBorders>
              <w:top w:val="nil"/>
              <w:left w:val="nil"/>
              <w:bottom w:val="nil"/>
              <w:right w:val="nil"/>
            </w:tcBorders>
            <w:shd w:val="clear" w:color="000000" w:fill="FAAEB0"/>
            <w:noWrap/>
            <w:vAlign w:val="center"/>
            <w:hideMark/>
          </w:tcPr>
          <w:p w14:paraId="301FD45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20.9</w:t>
            </w:r>
          </w:p>
        </w:tc>
        <w:tc>
          <w:tcPr>
            <w:tcW w:w="1085" w:type="dxa"/>
            <w:tcBorders>
              <w:top w:val="nil"/>
              <w:left w:val="nil"/>
              <w:bottom w:val="nil"/>
              <w:right w:val="nil"/>
            </w:tcBorders>
            <w:shd w:val="clear" w:color="000000" w:fill="FAB0B2"/>
            <w:noWrap/>
            <w:vAlign w:val="center"/>
            <w:hideMark/>
          </w:tcPr>
          <w:p w14:paraId="5020E2D8"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21.5</w:t>
            </w:r>
          </w:p>
        </w:tc>
        <w:tc>
          <w:tcPr>
            <w:tcW w:w="1280" w:type="dxa"/>
            <w:tcBorders>
              <w:top w:val="nil"/>
              <w:left w:val="nil"/>
              <w:bottom w:val="nil"/>
              <w:right w:val="nil"/>
            </w:tcBorders>
            <w:shd w:val="clear" w:color="000000" w:fill="FAA8AA"/>
            <w:noWrap/>
            <w:vAlign w:val="center"/>
            <w:hideMark/>
          </w:tcPr>
          <w:p w14:paraId="18AB53E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14.6</w:t>
            </w:r>
          </w:p>
        </w:tc>
        <w:tc>
          <w:tcPr>
            <w:tcW w:w="1760" w:type="dxa"/>
            <w:tcBorders>
              <w:top w:val="nil"/>
              <w:left w:val="nil"/>
              <w:bottom w:val="nil"/>
              <w:right w:val="nil"/>
            </w:tcBorders>
            <w:shd w:val="clear" w:color="000000" w:fill="F97B7D"/>
            <w:noWrap/>
            <w:vAlign w:val="center"/>
            <w:hideMark/>
          </w:tcPr>
          <w:p w14:paraId="7FBDCFA7"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14.3</w:t>
            </w:r>
          </w:p>
        </w:tc>
      </w:tr>
      <w:tr w:rsidR="005E2A38" w:rsidRPr="005E2A38" w14:paraId="44B73015" w14:textId="77777777" w:rsidTr="005E2A38">
        <w:trPr>
          <w:trHeight w:val="290"/>
          <w:jc w:val="center"/>
        </w:trPr>
        <w:tc>
          <w:tcPr>
            <w:tcW w:w="3125" w:type="dxa"/>
            <w:tcBorders>
              <w:top w:val="dotted" w:sz="4" w:space="0" w:color="auto"/>
              <w:left w:val="dotted" w:sz="4" w:space="0" w:color="auto"/>
              <w:bottom w:val="dotted" w:sz="4" w:space="0" w:color="auto"/>
              <w:right w:val="nil"/>
            </w:tcBorders>
            <w:shd w:val="clear" w:color="auto" w:fill="auto"/>
            <w:noWrap/>
            <w:vAlign w:val="center"/>
            <w:hideMark/>
          </w:tcPr>
          <w:p w14:paraId="7A33238C" w14:textId="1A86FE5D"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SEN teacher</w:t>
            </w:r>
            <w:r w:rsidR="00E72EF1">
              <w:rPr>
                <w:rFonts w:ascii="Times New Roman" w:eastAsia="Times New Roman" w:hAnsi="Times New Roman" w:cs="Times New Roman"/>
                <w:color w:val="000000"/>
                <w:lang w:eastAsia="en-GB"/>
              </w:rPr>
              <w:t>s</w:t>
            </w:r>
          </w:p>
        </w:tc>
        <w:tc>
          <w:tcPr>
            <w:tcW w:w="1255" w:type="dxa"/>
            <w:tcBorders>
              <w:top w:val="dotted" w:sz="4" w:space="0" w:color="auto"/>
              <w:left w:val="nil"/>
              <w:bottom w:val="dotted" w:sz="4" w:space="0" w:color="auto"/>
              <w:right w:val="nil"/>
            </w:tcBorders>
            <w:shd w:val="clear" w:color="000000" w:fill="FAAFB2"/>
            <w:noWrap/>
            <w:vAlign w:val="center"/>
            <w:hideMark/>
          </w:tcPr>
          <w:p w14:paraId="16E7B4B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20.8</w:t>
            </w:r>
          </w:p>
        </w:tc>
        <w:tc>
          <w:tcPr>
            <w:tcW w:w="1085" w:type="dxa"/>
            <w:tcBorders>
              <w:top w:val="dotted" w:sz="4" w:space="0" w:color="auto"/>
              <w:left w:val="nil"/>
              <w:bottom w:val="dotted" w:sz="4" w:space="0" w:color="auto"/>
              <w:right w:val="nil"/>
            </w:tcBorders>
            <w:shd w:val="clear" w:color="000000" w:fill="F9888A"/>
            <w:noWrap/>
            <w:vAlign w:val="center"/>
            <w:hideMark/>
          </w:tcPr>
          <w:p w14:paraId="520B7D1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24.5</w:t>
            </w:r>
          </w:p>
        </w:tc>
        <w:tc>
          <w:tcPr>
            <w:tcW w:w="1280" w:type="dxa"/>
            <w:tcBorders>
              <w:top w:val="dotted" w:sz="4" w:space="0" w:color="auto"/>
              <w:left w:val="nil"/>
              <w:bottom w:val="dotted" w:sz="4" w:space="0" w:color="auto"/>
              <w:right w:val="nil"/>
            </w:tcBorders>
            <w:shd w:val="clear" w:color="000000" w:fill="FAB0B3"/>
            <w:noWrap/>
            <w:vAlign w:val="center"/>
            <w:hideMark/>
          </w:tcPr>
          <w:p w14:paraId="1DCB655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14.1</w:t>
            </w:r>
          </w:p>
        </w:tc>
        <w:tc>
          <w:tcPr>
            <w:tcW w:w="1760" w:type="dxa"/>
            <w:tcBorders>
              <w:top w:val="dotted" w:sz="4" w:space="0" w:color="auto"/>
              <w:left w:val="nil"/>
              <w:bottom w:val="dotted" w:sz="4" w:space="0" w:color="auto"/>
              <w:right w:val="dotted" w:sz="4" w:space="0" w:color="auto"/>
            </w:tcBorders>
            <w:shd w:val="clear" w:color="000000" w:fill="FCE5E8"/>
            <w:noWrap/>
            <w:vAlign w:val="center"/>
            <w:hideMark/>
          </w:tcPr>
          <w:p w14:paraId="1EFC00C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7</w:t>
            </w:r>
          </w:p>
        </w:tc>
      </w:tr>
      <w:tr w:rsidR="005E2A38" w:rsidRPr="005E2A38" w14:paraId="7CED4790"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42BC6248" w14:textId="47D8F759"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Public services (e.g. civil servant</w:t>
            </w:r>
            <w:r w:rsidR="00E72EF1">
              <w:rPr>
                <w:rFonts w:ascii="Times New Roman" w:eastAsia="Times New Roman" w:hAnsi="Times New Roman" w:cs="Times New Roman"/>
                <w:color w:val="000000"/>
                <w:lang w:eastAsia="en-GB"/>
              </w:rPr>
              <w:t>s</w:t>
            </w:r>
            <w:r w:rsidRPr="005E2A38">
              <w:rPr>
                <w:rFonts w:ascii="Times New Roman" w:eastAsia="Times New Roman" w:hAnsi="Times New Roman" w:cs="Times New Roman"/>
                <w:color w:val="000000"/>
                <w:lang w:eastAsia="en-GB"/>
              </w:rPr>
              <w:t>)</w:t>
            </w:r>
          </w:p>
        </w:tc>
        <w:tc>
          <w:tcPr>
            <w:tcW w:w="1255" w:type="dxa"/>
            <w:tcBorders>
              <w:top w:val="nil"/>
              <w:left w:val="nil"/>
              <w:bottom w:val="nil"/>
              <w:right w:val="nil"/>
            </w:tcBorders>
            <w:shd w:val="clear" w:color="000000" w:fill="FAB3B5"/>
            <w:noWrap/>
            <w:vAlign w:val="center"/>
            <w:hideMark/>
          </w:tcPr>
          <w:p w14:paraId="50133707"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20.6</w:t>
            </w:r>
          </w:p>
        </w:tc>
        <w:tc>
          <w:tcPr>
            <w:tcW w:w="1085" w:type="dxa"/>
            <w:tcBorders>
              <w:top w:val="nil"/>
              <w:left w:val="nil"/>
              <w:bottom w:val="nil"/>
              <w:right w:val="nil"/>
            </w:tcBorders>
            <w:shd w:val="clear" w:color="000000" w:fill="F98486"/>
            <w:noWrap/>
            <w:vAlign w:val="center"/>
            <w:hideMark/>
          </w:tcPr>
          <w:p w14:paraId="0C32DD57"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24.8</w:t>
            </w:r>
          </w:p>
        </w:tc>
        <w:tc>
          <w:tcPr>
            <w:tcW w:w="1280" w:type="dxa"/>
            <w:tcBorders>
              <w:top w:val="nil"/>
              <w:left w:val="nil"/>
              <w:bottom w:val="nil"/>
              <w:right w:val="nil"/>
            </w:tcBorders>
            <w:shd w:val="clear" w:color="000000" w:fill="F98082"/>
            <w:noWrap/>
            <w:vAlign w:val="center"/>
            <w:hideMark/>
          </w:tcPr>
          <w:p w14:paraId="1662054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16.9</w:t>
            </w:r>
          </w:p>
        </w:tc>
        <w:tc>
          <w:tcPr>
            <w:tcW w:w="1760" w:type="dxa"/>
            <w:tcBorders>
              <w:top w:val="nil"/>
              <w:left w:val="nil"/>
              <w:bottom w:val="nil"/>
              <w:right w:val="nil"/>
            </w:tcBorders>
            <w:shd w:val="clear" w:color="000000" w:fill="FA9295"/>
            <w:noWrap/>
            <w:vAlign w:val="center"/>
            <w:hideMark/>
          </w:tcPr>
          <w:p w14:paraId="497086B9"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12.7</w:t>
            </w:r>
          </w:p>
        </w:tc>
      </w:tr>
      <w:tr w:rsidR="005E2A38" w:rsidRPr="005E2A38" w14:paraId="59C52718"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35DF4FC8"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Management consultants</w:t>
            </w:r>
          </w:p>
        </w:tc>
        <w:tc>
          <w:tcPr>
            <w:tcW w:w="1255" w:type="dxa"/>
            <w:tcBorders>
              <w:top w:val="nil"/>
              <w:left w:val="nil"/>
              <w:bottom w:val="nil"/>
              <w:right w:val="nil"/>
            </w:tcBorders>
            <w:shd w:val="clear" w:color="000000" w:fill="FBBEC0"/>
            <w:noWrap/>
            <w:vAlign w:val="center"/>
            <w:hideMark/>
          </w:tcPr>
          <w:p w14:paraId="530477D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w:t>
            </w:r>
          </w:p>
        </w:tc>
        <w:tc>
          <w:tcPr>
            <w:tcW w:w="1085" w:type="dxa"/>
            <w:tcBorders>
              <w:top w:val="nil"/>
              <w:left w:val="nil"/>
              <w:bottom w:val="nil"/>
              <w:right w:val="nil"/>
            </w:tcBorders>
            <w:shd w:val="clear" w:color="000000" w:fill="FA989A"/>
            <w:noWrap/>
            <w:vAlign w:val="center"/>
            <w:hideMark/>
          </w:tcPr>
          <w:p w14:paraId="6D770258"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23.3</w:t>
            </w:r>
          </w:p>
        </w:tc>
        <w:tc>
          <w:tcPr>
            <w:tcW w:w="1280" w:type="dxa"/>
            <w:tcBorders>
              <w:top w:val="nil"/>
              <w:left w:val="nil"/>
              <w:bottom w:val="nil"/>
              <w:right w:val="nil"/>
            </w:tcBorders>
            <w:shd w:val="clear" w:color="000000" w:fill="FCE3E5"/>
            <w:noWrap/>
            <w:vAlign w:val="center"/>
            <w:hideMark/>
          </w:tcPr>
          <w:p w14:paraId="09A1D87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11.2</w:t>
            </w:r>
          </w:p>
        </w:tc>
        <w:tc>
          <w:tcPr>
            <w:tcW w:w="1760" w:type="dxa"/>
            <w:tcBorders>
              <w:top w:val="nil"/>
              <w:left w:val="nil"/>
              <w:bottom w:val="nil"/>
              <w:right w:val="nil"/>
            </w:tcBorders>
            <w:shd w:val="clear" w:color="000000" w:fill="FA9C9F"/>
            <w:noWrap/>
            <w:vAlign w:val="center"/>
            <w:hideMark/>
          </w:tcPr>
          <w:p w14:paraId="20FB0A4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12</w:t>
            </w:r>
          </w:p>
        </w:tc>
      </w:tr>
      <w:tr w:rsidR="005E2A38" w:rsidRPr="005E2A38" w14:paraId="2D2BFEBC"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7B79A87E"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Finance and investment analysts</w:t>
            </w:r>
          </w:p>
        </w:tc>
        <w:tc>
          <w:tcPr>
            <w:tcW w:w="1255" w:type="dxa"/>
            <w:tcBorders>
              <w:top w:val="nil"/>
              <w:left w:val="nil"/>
              <w:bottom w:val="nil"/>
              <w:right w:val="nil"/>
            </w:tcBorders>
            <w:shd w:val="clear" w:color="000000" w:fill="FCDADD"/>
            <w:noWrap/>
            <w:vAlign w:val="center"/>
            <w:hideMark/>
          </w:tcPr>
          <w:p w14:paraId="0541F5B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18.4</w:t>
            </w:r>
          </w:p>
        </w:tc>
        <w:tc>
          <w:tcPr>
            <w:tcW w:w="1085" w:type="dxa"/>
            <w:tcBorders>
              <w:top w:val="nil"/>
              <w:left w:val="nil"/>
              <w:bottom w:val="nil"/>
              <w:right w:val="nil"/>
            </w:tcBorders>
            <w:shd w:val="clear" w:color="000000" w:fill="FBB8BA"/>
            <w:noWrap/>
            <w:vAlign w:val="center"/>
            <w:hideMark/>
          </w:tcPr>
          <w:p w14:paraId="4E7D393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20.9</w:t>
            </w:r>
          </w:p>
        </w:tc>
        <w:tc>
          <w:tcPr>
            <w:tcW w:w="1280" w:type="dxa"/>
            <w:tcBorders>
              <w:top w:val="nil"/>
              <w:left w:val="nil"/>
              <w:bottom w:val="nil"/>
              <w:right w:val="nil"/>
            </w:tcBorders>
            <w:shd w:val="clear" w:color="000000" w:fill="FBCCCF"/>
            <w:noWrap/>
            <w:vAlign w:val="center"/>
            <w:hideMark/>
          </w:tcPr>
          <w:p w14:paraId="3507C4F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12.5</w:t>
            </w:r>
          </w:p>
        </w:tc>
        <w:tc>
          <w:tcPr>
            <w:tcW w:w="1760" w:type="dxa"/>
            <w:tcBorders>
              <w:top w:val="nil"/>
              <w:left w:val="nil"/>
              <w:bottom w:val="nil"/>
              <w:right w:val="nil"/>
            </w:tcBorders>
            <w:shd w:val="clear" w:color="000000" w:fill="F97779"/>
            <w:noWrap/>
            <w:vAlign w:val="center"/>
            <w:hideMark/>
          </w:tcPr>
          <w:p w14:paraId="061D4D5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14.6</w:t>
            </w:r>
          </w:p>
        </w:tc>
      </w:tr>
      <w:tr w:rsidR="005E2A38" w:rsidRPr="005E2A38" w14:paraId="30F8903B"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0BD831C4" w14:textId="6995E8B2"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Nurse</w:t>
            </w:r>
            <w:r w:rsidR="00E72EF1">
              <w:rPr>
                <w:rFonts w:ascii="Times New Roman" w:eastAsia="Times New Roman" w:hAnsi="Times New Roman" w:cs="Times New Roman"/>
                <w:color w:val="000000"/>
                <w:lang w:eastAsia="en-GB"/>
              </w:rPr>
              <w:t>s</w:t>
            </w:r>
          </w:p>
        </w:tc>
        <w:tc>
          <w:tcPr>
            <w:tcW w:w="1255" w:type="dxa"/>
            <w:tcBorders>
              <w:top w:val="nil"/>
              <w:left w:val="nil"/>
              <w:bottom w:val="nil"/>
              <w:right w:val="nil"/>
            </w:tcBorders>
            <w:shd w:val="clear" w:color="000000" w:fill="FCDCDF"/>
            <w:noWrap/>
            <w:vAlign w:val="center"/>
            <w:hideMark/>
          </w:tcPr>
          <w:p w14:paraId="7FF9D9E8"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18.3</w:t>
            </w:r>
          </w:p>
        </w:tc>
        <w:tc>
          <w:tcPr>
            <w:tcW w:w="1085" w:type="dxa"/>
            <w:tcBorders>
              <w:top w:val="nil"/>
              <w:left w:val="nil"/>
              <w:bottom w:val="nil"/>
              <w:right w:val="nil"/>
            </w:tcBorders>
            <w:shd w:val="clear" w:color="000000" w:fill="F98B8D"/>
            <w:noWrap/>
            <w:vAlign w:val="center"/>
            <w:hideMark/>
          </w:tcPr>
          <w:p w14:paraId="2F2991D8"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24.3</w:t>
            </w:r>
          </w:p>
        </w:tc>
        <w:tc>
          <w:tcPr>
            <w:tcW w:w="1280" w:type="dxa"/>
            <w:tcBorders>
              <w:top w:val="nil"/>
              <w:left w:val="nil"/>
              <w:bottom w:val="nil"/>
              <w:right w:val="nil"/>
            </w:tcBorders>
            <w:shd w:val="clear" w:color="000000" w:fill="FAA6A8"/>
            <w:noWrap/>
            <w:vAlign w:val="center"/>
            <w:hideMark/>
          </w:tcPr>
          <w:p w14:paraId="68CCC8F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14.7</w:t>
            </w:r>
          </w:p>
        </w:tc>
        <w:tc>
          <w:tcPr>
            <w:tcW w:w="1760" w:type="dxa"/>
            <w:tcBorders>
              <w:top w:val="nil"/>
              <w:left w:val="nil"/>
              <w:bottom w:val="nil"/>
              <w:right w:val="nil"/>
            </w:tcBorders>
            <w:shd w:val="clear" w:color="000000" w:fill="FCE2E5"/>
            <w:noWrap/>
            <w:vAlign w:val="center"/>
            <w:hideMark/>
          </w:tcPr>
          <w:p w14:paraId="13474A4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7.2</w:t>
            </w:r>
          </w:p>
        </w:tc>
      </w:tr>
      <w:tr w:rsidR="005E2A38" w:rsidRPr="005E2A38" w14:paraId="08AD5388"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4AC2017F"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IT professionals</w:t>
            </w:r>
          </w:p>
        </w:tc>
        <w:tc>
          <w:tcPr>
            <w:tcW w:w="1255" w:type="dxa"/>
            <w:tcBorders>
              <w:top w:val="nil"/>
              <w:left w:val="nil"/>
              <w:bottom w:val="nil"/>
              <w:right w:val="nil"/>
            </w:tcBorders>
            <w:shd w:val="clear" w:color="000000" w:fill="FCF0F3"/>
            <w:noWrap/>
            <w:vAlign w:val="center"/>
            <w:hideMark/>
          </w:tcPr>
          <w:p w14:paraId="0FC04BB8"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17.2</w:t>
            </w:r>
          </w:p>
        </w:tc>
        <w:tc>
          <w:tcPr>
            <w:tcW w:w="1085" w:type="dxa"/>
            <w:tcBorders>
              <w:top w:val="nil"/>
              <w:left w:val="nil"/>
              <w:bottom w:val="nil"/>
              <w:right w:val="nil"/>
            </w:tcBorders>
            <w:shd w:val="clear" w:color="000000" w:fill="FBC0C2"/>
            <w:noWrap/>
            <w:vAlign w:val="center"/>
            <w:hideMark/>
          </w:tcPr>
          <w:p w14:paraId="5F25788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20.3</w:t>
            </w:r>
          </w:p>
        </w:tc>
        <w:tc>
          <w:tcPr>
            <w:tcW w:w="1280" w:type="dxa"/>
            <w:tcBorders>
              <w:top w:val="nil"/>
              <w:left w:val="nil"/>
              <w:bottom w:val="nil"/>
              <w:right w:val="nil"/>
            </w:tcBorders>
            <w:shd w:val="clear" w:color="000000" w:fill="FBD5D7"/>
            <w:noWrap/>
            <w:vAlign w:val="center"/>
            <w:hideMark/>
          </w:tcPr>
          <w:p w14:paraId="3B8CE294"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12</w:t>
            </w:r>
          </w:p>
        </w:tc>
        <w:tc>
          <w:tcPr>
            <w:tcW w:w="1760" w:type="dxa"/>
            <w:tcBorders>
              <w:top w:val="nil"/>
              <w:left w:val="nil"/>
              <w:bottom w:val="nil"/>
              <w:right w:val="nil"/>
            </w:tcBorders>
            <w:shd w:val="clear" w:color="000000" w:fill="F8696B"/>
            <w:noWrap/>
            <w:vAlign w:val="center"/>
            <w:hideMark/>
          </w:tcPr>
          <w:p w14:paraId="26DD08F5"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15.5</w:t>
            </w:r>
          </w:p>
        </w:tc>
      </w:tr>
      <w:tr w:rsidR="005E2A38" w:rsidRPr="005E2A38" w14:paraId="7419D89F" w14:textId="77777777" w:rsidTr="005E2A38">
        <w:trPr>
          <w:trHeight w:val="290"/>
          <w:jc w:val="center"/>
        </w:trPr>
        <w:tc>
          <w:tcPr>
            <w:tcW w:w="3125" w:type="dxa"/>
            <w:tcBorders>
              <w:top w:val="nil"/>
              <w:left w:val="nil"/>
              <w:bottom w:val="nil"/>
              <w:right w:val="nil"/>
            </w:tcBorders>
            <w:shd w:val="clear" w:color="auto" w:fill="auto"/>
            <w:noWrap/>
            <w:vAlign w:val="center"/>
            <w:hideMark/>
          </w:tcPr>
          <w:p w14:paraId="7C6A488B"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HR officers</w:t>
            </w:r>
          </w:p>
        </w:tc>
        <w:tc>
          <w:tcPr>
            <w:tcW w:w="1255" w:type="dxa"/>
            <w:tcBorders>
              <w:top w:val="nil"/>
              <w:left w:val="nil"/>
              <w:bottom w:val="nil"/>
              <w:right w:val="nil"/>
            </w:tcBorders>
            <w:shd w:val="clear" w:color="000000" w:fill="FCFBFE"/>
            <w:noWrap/>
            <w:vAlign w:val="center"/>
            <w:hideMark/>
          </w:tcPr>
          <w:p w14:paraId="146DE8E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16.6</w:t>
            </w:r>
          </w:p>
        </w:tc>
        <w:tc>
          <w:tcPr>
            <w:tcW w:w="1085" w:type="dxa"/>
            <w:tcBorders>
              <w:top w:val="nil"/>
              <w:left w:val="nil"/>
              <w:bottom w:val="nil"/>
              <w:right w:val="nil"/>
            </w:tcBorders>
            <w:shd w:val="clear" w:color="000000" w:fill="FAB1B4"/>
            <w:noWrap/>
            <w:vAlign w:val="center"/>
            <w:hideMark/>
          </w:tcPr>
          <w:p w14:paraId="578D52E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21.4</w:t>
            </w:r>
          </w:p>
        </w:tc>
        <w:tc>
          <w:tcPr>
            <w:tcW w:w="1280" w:type="dxa"/>
            <w:tcBorders>
              <w:top w:val="nil"/>
              <w:left w:val="nil"/>
              <w:bottom w:val="nil"/>
              <w:right w:val="nil"/>
            </w:tcBorders>
            <w:shd w:val="clear" w:color="000000" w:fill="FBD3D6"/>
            <w:noWrap/>
            <w:vAlign w:val="center"/>
            <w:hideMark/>
          </w:tcPr>
          <w:p w14:paraId="63B2C927"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12.1</w:t>
            </w:r>
          </w:p>
        </w:tc>
        <w:tc>
          <w:tcPr>
            <w:tcW w:w="1760" w:type="dxa"/>
            <w:tcBorders>
              <w:top w:val="nil"/>
              <w:left w:val="nil"/>
              <w:bottom w:val="nil"/>
              <w:right w:val="nil"/>
            </w:tcBorders>
            <w:shd w:val="clear" w:color="000000" w:fill="FA9FA2"/>
            <w:noWrap/>
            <w:vAlign w:val="center"/>
            <w:hideMark/>
          </w:tcPr>
          <w:p w14:paraId="5CDBB775"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11.8</w:t>
            </w:r>
          </w:p>
        </w:tc>
      </w:tr>
      <w:tr w:rsidR="005E2A38" w:rsidRPr="005E2A38" w14:paraId="616EB37A" w14:textId="77777777" w:rsidTr="005E2A38">
        <w:trPr>
          <w:trHeight w:val="300"/>
          <w:jc w:val="center"/>
        </w:trPr>
        <w:tc>
          <w:tcPr>
            <w:tcW w:w="3125" w:type="dxa"/>
            <w:tcBorders>
              <w:top w:val="nil"/>
              <w:left w:val="nil"/>
              <w:bottom w:val="nil"/>
              <w:right w:val="nil"/>
            </w:tcBorders>
            <w:shd w:val="clear" w:color="auto" w:fill="auto"/>
            <w:noWrap/>
            <w:vAlign w:val="center"/>
            <w:hideMark/>
          </w:tcPr>
          <w:p w14:paraId="1E9832CA" w14:textId="370CECED"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Accountant</w:t>
            </w:r>
            <w:r w:rsidR="00E72EF1">
              <w:rPr>
                <w:rFonts w:ascii="Times New Roman" w:eastAsia="Times New Roman" w:hAnsi="Times New Roman" w:cs="Times New Roman"/>
                <w:color w:val="000000"/>
                <w:lang w:eastAsia="en-GB"/>
              </w:rPr>
              <w:t>s</w:t>
            </w:r>
          </w:p>
        </w:tc>
        <w:tc>
          <w:tcPr>
            <w:tcW w:w="1255" w:type="dxa"/>
            <w:tcBorders>
              <w:top w:val="nil"/>
              <w:left w:val="nil"/>
              <w:bottom w:val="nil"/>
              <w:right w:val="nil"/>
            </w:tcBorders>
            <w:shd w:val="clear" w:color="000000" w:fill="FCFCFF"/>
            <w:noWrap/>
            <w:vAlign w:val="center"/>
            <w:hideMark/>
          </w:tcPr>
          <w:p w14:paraId="4FE13FE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16.5</w:t>
            </w:r>
          </w:p>
        </w:tc>
        <w:tc>
          <w:tcPr>
            <w:tcW w:w="1085" w:type="dxa"/>
            <w:tcBorders>
              <w:top w:val="nil"/>
              <w:left w:val="nil"/>
              <w:bottom w:val="nil"/>
              <w:right w:val="nil"/>
            </w:tcBorders>
            <w:shd w:val="clear" w:color="000000" w:fill="FBC2C5"/>
            <w:noWrap/>
            <w:vAlign w:val="center"/>
            <w:hideMark/>
          </w:tcPr>
          <w:p w14:paraId="0F5E716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20.1</w:t>
            </w:r>
          </w:p>
        </w:tc>
        <w:tc>
          <w:tcPr>
            <w:tcW w:w="1280" w:type="dxa"/>
            <w:tcBorders>
              <w:top w:val="nil"/>
              <w:left w:val="nil"/>
              <w:bottom w:val="nil"/>
              <w:right w:val="nil"/>
            </w:tcBorders>
            <w:shd w:val="clear" w:color="auto" w:fill="auto"/>
            <w:noWrap/>
            <w:vAlign w:val="center"/>
            <w:hideMark/>
          </w:tcPr>
          <w:p w14:paraId="3531D53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10.0*</w:t>
            </w:r>
          </w:p>
        </w:tc>
        <w:tc>
          <w:tcPr>
            <w:tcW w:w="1760" w:type="dxa"/>
            <w:tcBorders>
              <w:top w:val="nil"/>
              <w:left w:val="nil"/>
              <w:bottom w:val="nil"/>
              <w:right w:val="nil"/>
            </w:tcBorders>
            <w:shd w:val="clear" w:color="000000" w:fill="FA9EA0"/>
            <w:noWrap/>
            <w:vAlign w:val="center"/>
            <w:hideMark/>
          </w:tcPr>
          <w:p w14:paraId="53CC589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11.9</w:t>
            </w:r>
          </w:p>
        </w:tc>
      </w:tr>
      <w:tr w:rsidR="005E2A38" w:rsidRPr="005E2A38" w14:paraId="37D0A1A8" w14:textId="77777777" w:rsidTr="005E2A38">
        <w:trPr>
          <w:trHeight w:val="300"/>
          <w:jc w:val="center"/>
        </w:trPr>
        <w:tc>
          <w:tcPr>
            <w:tcW w:w="3125" w:type="dxa"/>
            <w:tcBorders>
              <w:top w:val="single" w:sz="8" w:space="0" w:color="auto"/>
              <w:left w:val="nil"/>
              <w:bottom w:val="single" w:sz="8" w:space="0" w:color="auto"/>
              <w:right w:val="nil"/>
            </w:tcBorders>
            <w:shd w:val="clear" w:color="auto" w:fill="auto"/>
            <w:noWrap/>
            <w:vAlign w:val="center"/>
            <w:hideMark/>
          </w:tcPr>
          <w:p w14:paraId="6EE8325F" w14:textId="2C9FFBBB" w:rsidR="005E2A38" w:rsidRPr="005E2A38" w:rsidRDefault="005E2A38" w:rsidP="005E2A38">
            <w:pPr>
              <w:spacing w:after="0" w:line="240" w:lineRule="auto"/>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 xml:space="preserve">All </w:t>
            </w:r>
            <w:r w:rsidR="0004106A" w:rsidRPr="005E2A38">
              <w:rPr>
                <w:rFonts w:ascii="Times New Roman" w:eastAsia="Times New Roman" w:hAnsi="Times New Roman" w:cs="Times New Roman"/>
                <w:b/>
                <w:bCs/>
                <w:color w:val="000000"/>
                <w:lang w:eastAsia="en-GB"/>
              </w:rPr>
              <w:t>profession</w:t>
            </w:r>
            <w:r w:rsidR="0004106A">
              <w:rPr>
                <w:rFonts w:ascii="Times New Roman" w:eastAsia="Times New Roman" w:hAnsi="Times New Roman" w:cs="Times New Roman"/>
                <w:b/>
                <w:bCs/>
                <w:color w:val="000000"/>
                <w:lang w:eastAsia="en-GB"/>
              </w:rPr>
              <w:t>s</w:t>
            </w:r>
            <w:r w:rsidR="0004106A" w:rsidRPr="005E2A38">
              <w:rPr>
                <w:rFonts w:ascii="Times New Roman" w:eastAsia="Times New Roman" w:hAnsi="Times New Roman" w:cs="Times New Roman"/>
                <w:b/>
                <w:bCs/>
                <w:color w:val="000000"/>
                <w:lang w:eastAsia="en-GB"/>
              </w:rPr>
              <w:t xml:space="preserve"> </w:t>
            </w:r>
            <w:r w:rsidRPr="005E2A38">
              <w:rPr>
                <w:rFonts w:ascii="Times New Roman" w:eastAsia="Times New Roman" w:hAnsi="Times New Roman" w:cs="Times New Roman"/>
                <w:b/>
                <w:bCs/>
                <w:color w:val="000000"/>
                <w:lang w:eastAsia="en-GB"/>
              </w:rPr>
              <w:t>average</w:t>
            </w:r>
          </w:p>
        </w:tc>
        <w:tc>
          <w:tcPr>
            <w:tcW w:w="1255" w:type="dxa"/>
            <w:tcBorders>
              <w:top w:val="single" w:sz="8" w:space="0" w:color="auto"/>
              <w:left w:val="nil"/>
              <w:bottom w:val="single" w:sz="8" w:space="0" w:color="auto"/>
              <w:right w:val="nil"/>
            </w:tcBorders>
            <w:shd w:val="clear" w:color="auto" w:fill="auto"/>
            <w:noWrap/>
            <w:vAlign w:val="center"/>
            <w:hideMark/>
          </w:tcPr>
          <w:p w14:paraId="5CE16BA8" w14:textId="77777777"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20.7</w:t>
            </w:r>
          </w:p>
        </w:tc>
        <w:tc>
          <w:tcPr>
            <w:tcW w:w="1085" w:type="dxa"/>
            <w:tcBorders>
              <w:top w:val="single" w:sz="8" w:space="0" w:color="auto"/>
              <w:left w:val="nil"/>
              <w:bottom w:val="single" w:sz="8" w:space="0" w:color="auto"/>
              <w:right w:val="nil"/>
            </w:tcBorders>
            <w:shd w:val="clear" w:color="auto" w:fill="auto"/>
            <w:noWrap/>
            <w:vAlign w:val="center"/>
            <w:hideMark/>
          </w:tcPr>
          <w:p w14:paraId="4EEC03B1" w14:textId="77777777"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23.1</w:t>
            </w:r>
          </w:p>
        </w:tc>
        <w:tc>
          <w:tcPr>
            <w:tcW w:w="1280" w:type="dxa"/>
            <w:tcBorders>
              <w:top w:val="single" w:sz="8" w:space="0" w:color="auto"/>
              <w:left w:val="nil"/>
              <w:bottom w:val="single" w:sz="8" w:space="0" w:color="auto"/>
              <w:right w:val="nil"/>
            </w:tcBorders>
            <w:shd w:val="clear" w:color="auto" w:fill="auto"/>
            <w:noWrap/>
            <w:vAlign w:val="center"/>
            <w:hideMark/>
          </w:tcPr>
          <w:p w14:paraId="4F567A36" w14:textId="77777777"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13.4</w:t>
            </w:r>
          </w:p>
        </w:tc>
        <w:tc>
          <w:tcPr>
            <w:tcW w:w="1760" w:type="dxa"/>
            <w:tcBorders>
              <w:top w:val="single" w:sz="8" w:space="0" w:color="auto"/>
              <w:left w:val="nil"/>
              <w:bottom w:val="single" w:sz="8" w:space="0" w:color="auto"/>
              <w:right w:val="nil"/>
            </w:tcBorders>
            <w:shd w:val="clear" w:color="auto" w:fill="auto"/>
            <w:noWrap/>
            <w:vAlign w:val="center"/>
            <w:hideMark/>
          </w:tcPr>
          <w:p w14:paraId="439B4C73" w14:textId="77777777"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10.9</w:t>
            </w:r>
          </w:p>
        </w:tc>
      </w:tr>
    </w:tbl>
    <w:p w14:paraId="623D7317" w14:textId="27CA212D" w:rsidR="00C15BFD" w:rsidRPr="00C15BFD" w:rsidRDefault="009B3987" w:rsidP="00C15BFD">
      <w:pPr>
        <w:jc w:val="both"/>
        <w:rPr>
          <w:rFonts w:ascii="Times New Roman" w:hAnsi="Times New Roman" w:cs="Times New Roman"/>
          <w:b/>
          <w:sz w:val="20"/>
          <w:szCs w:val="20"/>
        </w:rPr>
      </w:pPr>
      <w:r w:rsidRPr="0027059B">
        <w:rPr>
          <w:rFonts w:ascii="Times New Roman" w:hAnsi="Times New Roman" w:cs="Times New Roman"/>
          <w:sz w:val="20"/>
          <w:szCs w:val="20"/>
        </w:rPr>
        <w:t>Notes: Figures refer to the percent</w:t>
      </w:r>
      <w:r w:rsidR="00E72EF1">
        <w:rPr>
          <w:rFonts w:ascii="Times New Roman" w:hAnsi="Times New Roman" w:cs="Times New Roman"/>
          <w:sz w:val="20"/>
          <w:szCs w:val="20"/>
        </w:rPr>
        <w:t>age</w:t>
      </w:r>
      <w:r w:rsidRPr="0027059B">
        <w:rPr>
          <w:rFonts w:ascii="Times New Roman" w:hAnsi="Times New Roman" w:cs="Times New Roman"/>
          <w:sz w:val="20"/>
          <w:szCs w:val="20"/>
        </w:rPr>
        <w:t xml:space="preserve"> of workers in the occupation with a low</w:t>
      </w:r>
      <w:r w:rsidR="00E72EF1">
        <w:rPr>
          <w:rFonts w:ascii="Times New Roman" w:hAnsi="Times New Roman" w:cs="Times New Roman"/>
          <w:sz w:val="20"/>
          <w:szCs w:val="20"/>
        </w:rPr>
        <w:t xml:space="preserve"> </w:t>
      </w:r>
      <w:r w:rsidRPr="0027059B">
        <w:rPr>
          <w:rFonts w:ascii="Times New Roman" w:hAnsi="Times New Roman" w:cs="Times New Roman"/>
          <w:sz w:val="20"/>
          <w:szCs w:val="20"/>
        </w:rPr>
        <w:t>level of wellbeing on the construct in question. The sample for each occupation has been obtained by matching the secondary teachers in the data to a demographically similar group, based upon age, gender, educational qualification, marital status, ethnicity and whether work</w:t>
      </w:r>
      <w:r w:rsidR="005655FA">
        <w:rPr>
          <w:rFonts w:ascii="Times New Roman" w:hAnsi="Times New Roman" w:cs="Times New Roman"/>
          <w:sz w:val="20"/>
          <w:szCs w:val="20"/>
        </w:rPr>
        <w:t xml:space="preserve"> is</w:t>
      </w:r>
      <w:r w:rsidRPr="0027059B">
        <w:rPr>
          <w:rFonts w:ascii="Times New Roman" w:hAnsi="Times New Roman" w:cs="Times New Roman"/>
          <w:sz w:val="20"/>
          <w:szCs w:val="20"/>
        </w:rPr>
        <w:t xml:space="preserve"> part-time. Final row provides the unweighted average across all professional occupations. Darker shading (when reading vertically) indicates a lower level of wellbeing for that group.</w:t>
      </w:r>
      <w:r w:rsidR="00C15BFD">
        <w:rPr>
          <w:rFonts w:ascii="Times New Roman" w:hAnsi="Times New Roman" w:cs="Times New Roman"/>
          <w:sz w:val="20"/>
          <w:szCs w:val="20"/>
        </w:rPr>
        <w:t xml:space="preserve">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Annual Population Survey</w:t>
      </w:r>
      <w:r w:rsidR="00C15BFD" w:rsidRPr="00C15BFD">
        <w:rPr>
          <w:rFonts w:ascii="Times New Roman" w:hAnsi="Times New Roman" w:cs="Times New Roman"/>
          <w:sz w:val="20"/>
          <w:szCs w:val="20"/>
        </w:rPr>
        <w:t>.</w:t>
      </w:r>
    </w:p>
    <w:p w14:paraId="3F8D6697" w14:textId="11052A83" w:rsidR="009B3987" w:rsidRPr="0027059B" w:rsidRDefault="009B3987" w:rsidP="009B3987">
      <w:pPr>
        <w:spacing w:line="240" w:lineRule="auto"/>
        <w:jc w:val="both"/>
        <w:rPr>
          <w:rFonts w:ascii="Times New Roman" w:hAnsi="Times New Roman" w:cs="Times New Roman"/>
          <w:sz w:val="20"/>
          <w:szCs w:val="20"/>
        </w:rPr>
      </w:pPr>
    </w:p>
    <w:p w14:paraId="2EA572D1" w14:textId="2FDCCD31" w:rsidR="009B3987" w:rsidRDefault="009B3987" w:rsidP="009B3987">
      <w:pPr>
        <w:jc w:val="both"/>
        <w:rPr>
          <w:rFonts w:ascii="Times New Roman" w:hAnsi="Times New Roman" w:cs="Times New Roman"/>
        </w:rPr>
      </w:pPr>
    </w:p>
    <w:p w14:paraId="44B8A4A5" w14:textId="77777777" w:rsidR="009B3987" w:rsidRPr="00927648" w:rsidRDefault="009B3987" w:rsidP="009B3987">
      <w:pPr>
        <w:jc w:val="both"/>
        <w:rPr>
          <w:rFonts w:ascii="Times New Roman" w:hAnsi="Times New Roman" w:cs="Times New Roman"/>
        </w:rPr>
      </w:pPr>
    </w:p>
    <w:p w14:paraId="1C328C1A" w14:textId="42CD8CAA"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To conclude our APS analysis, Table 3.1 compares the matching results for teachers to a handful of purposefully select comparators. This highlights how occupations with a lower proportion of anxious staff than teachers include nurses, accountants and human resource officers, while academics and authors/writers tend to have amongst the most anxious staff. For the proportion of workers who are unhappy and have low levels of life</w:t>
      </w:r>
      <w:r w:rsidR="00997981">
        <w:rPr>
          <w:rFonts w:ascii="Times New Roman" w:hAnsi="Times New Roman" w:cs="Times New Roman"/>
          <w:sz w:val="24"/>
          <w:szCs w:val="24"/>
        </w:rPr>
        <w:t xml:space="preserve"> </w:t>
      </w:r>
      <w:r w:rsidRPr="009B3987">
        <w:rPr>
          <w:rFonts w:ascii="Times New Roman" w:hAnsi="Times New Roman" w:cs="Times New Roman"/>
          <w:sz w:val="24"/>
          <w:szCs w:val="24"/>
        </w:rPr>
        <w:t>satisfaction, primary and secondary teachers do not particularly stand out from most of our chosen comparators. This reiterates a selection of findings from Figure 3.1 and Figure 3.2, where the happiness and life</w:t>
      </w:r>
      <w:r w:rsidR="00997981">
        <w:rPr>
          <w:rFonts w:ascii="Times New Roman" w:hAnsi="Times New Roman" w:cs="Times New Roman"/>
          <w:sz w:val="24"/>
          <w:szCs w:val="24"/>
        </w:rPr>
        <w:t xml:space="preserve"> </w:t>
      </w:r>
      <w:r w:rsidRPr="009B3987">
        <w:rPr>
          <w:rFonts w:ascii="Times New Roman" w:hAnsi="Times New Roman" w:cs="Times New Roman"/>
          <w:sz w:val="24"/>
          <w:szCs w:val="24"/>
        </w:rPr>
        <w:t xml:space="preserve">satisfaction of teachers was found to be around the occupational average. On the other hand, relative to our selected occupational comparators, teachers are much </w:t>
      </w:r>
      <w:r w:rsidRPr="009B3987">
        <w:rPr>
          <w:rFonts w:ascii="Times New Roman" w:hAnsi="Times New Roman" w:cs="Times New Roman"/>
          <w:i/>
          <w:sz w:val="24"/>
          <w:szCs w:val="24"/>
        </w:rPr>
        <w:t>less</w:t>
      </w:r>
      <w:r w:rsidRPr="009B3987">
        <w:rPr>
          <w:rFonts w:ascii="Times New Roman" w:hAnsi="Times New Roman" w:cs="Times New Roman"/>
          <w:sz w:val="24"/>
          <w:szCs w:val="24"/>
        </w:rPr>
        <w:t xml:space="preserve"> likely to suffer from feelings of low self-worth, and are similar to employees in other public sector jobs in this respect. For instance, only around </w:t>
      </w:r>
      <w:r w:rsidR="00AB2526">
        <w:rPr>
          <w:rFonts w:ascii="Times New Roman" w:hAnsi="Times New Roman" w:cs="Times New Roman"/>
          <w:sz w:val="24"/>
          <w:szCs w:val="24"/>
        </w:rPr>
        <w:t>5</w:t>
      </w:r>
      <w:r w:rsidR="00677580">
        <w:rPr>
          <w:rFonts w:ascii="Times New Roman" w:hAnsi="Times New Roman" w:cs="Times New Roman"/>
          <w:sz w:val="24"/>
          <w:szCs w:val="24"/>
        </w:rPr>
        <w:t xml:space="preserve">% </w:t>
      </w:r>
      <w:r w:rsidRPr="009B3987">
        <w:rPr>
          <w:rFonts w:ascii="Times New Roman" w:hAnsi="Times New Roman" w:cs="Times New Roman"/>
          <w:sz w:val="24"/>
          <w:szCs w:val="24"/>
        </w:rPr>
        <w:t xml:space="preserve">of primary and </w:t>
      </w:r>
      <w:r w:rsidR="00AB2526">
        <w:rPr>
          <w:rFonts w:ascii="Times New Roman" w:hAnsi="Times New Roman" w:cs="Times New Roman"/>
          <w:sz w:val="24"/>
          <w:szCs w:val="24"/>
        </w:rPr>
        <w:t>7</w:t>
      </w:r>
      <w:r w:rsidR="00677580">
        <w:rPr>
          <w:rFonts w:ascii="Times New Roman" w:hAnsi="Times New Roman" w:cs="Times New Roman"/>
          <w:sz w:val="24"/>
          <w:szCs w:val="24"/>
        </w:rPr>
        <w:t>%</w:t>
      </w:r>
      <w:r w:rsidRPr="009B3987">
        <w:rPr>
          <w:rFonts w:ascii="Times New Roman" w:hAnsi="Times New Roman" w:cs="Times New Roman"/>
          <w:sz w:val="24"/>
          <w:szCs w:val="24"/>
        </w:rPr>
        <w:t xml:space="preserve"> of secondary teachers report a low level of self-worth, which is similar to the percent</w:t>
      </w:r>
      <w:r w:rsidR="00997981">
        <w:rPr>
          <w:rFonts w:ascii="Times New Roman" w:hAnsi="Times New Roman" w:cs="Times New Roman"/>
          <w:sz w:val="24"/>
          <w:szCs w:val="24"/>
        </w:rPr>
        <w:t>age</w:t>
      </w:r>
      <w:r w:rsidRPr="009B3987">
        <w:rPr>
          <w:rFonts w:ascii="Times New Roman" w:hAnsi="Times New Roman" w:cs="Times New Roman"/>
          <w:sz w:val="24"/>
          <w:szCs w:val="24"/>
        </w:rPr>
        <w:t xml:space="preserve"> of nurses (</w:t>
      </w:r>
      <w:r w:rsidR="00AB2526">
        <w:rPr>
          <w:rFonts w:ascii="Times New Roman" w:hAnsi="Times New Roman" w:cs="Times New Roman"/>
          <w:sz w:val="24"/>
          <w:szCs w:val="24"/>
        </w:rPr>
        <w:t>7</w:t>
      </w:r>
      <w:r w:rsidR="00677580">
        <w:rPr>
          <w:rFonts w:ascii="Times New Roman" w:hAnsi="Times New Roman" w:cs="Times New Roman"/>
          <w:sz w:val="24"/>
          <w:szCs w:val="24"/>
        </w:rPr>
        <w:t>%</w:t>
      </w:r>
      <w:r w:rsidRPr="009B3987">
        <w:rPr>
          <w:rFonts w:ascii="Times New Roman" w:hAnsi="Times New Roman" w:cs="Times New Roman"/>
          <w:sz w:val="24"/>
          <w:szCs w:val="24"/>
        </w:rPr>
        <w:t>), social workers (</w:t>
      </w:r>
      <w:r w:rsidR="00AB2526">
        <w:rPr>
          <w:rFonts w:ascii="Times New Roman" w:hAnsi="Times New Roman" w:cs="Times New Roman"/>
          <w:sz w:val="24"/>
          <w:szCs w:val="24"/>
        </w:rPr>
        <w:t>9</w:t>
      </w:r>
      <w:r w:rsidR="00677580">
        <w:rPr>
          <w:rFonts w:ascii="Times New Roman" w:hAnsi="Times New Roman" w:cs="Times New Roman"/>
          <w:sz w:val="24"/>
          <w:szCs w:val="24"/>
        </w:rPr>
        <w:t>%</w:t>
      </w:r>
      <w:r w:rsidRPr="009B3987">
        <w:rPr>
          <w:rFonts w:ascii="Times New Roman" w:hAnsi="Times New Roman" w:cs="Times New Roman"/>
          <w:sz w:val="24"/>
          <w:szCs w:val="24"/>
        </w:rPr>
        <w:t>) and academics (</w:t>
      </w:r>
      <w:r w:rsidR="00AB2526">
        <w:rPr>
          <w:rFonts w:ascii="Times New Roman" w:hAnsi="Times New Roman" w:cs="Times New Roman"/>
          <w:sz w:val="24"/>
          <w:szCs w:val="24"/>
        </w:rPr>
        <w:t>8</w:t>
      </w:r>
      <w:r w:rsidR="00677580">
        <w:rPr>
          <w:rFonts w:ascii="Times New Roman" w:hAnsi="Times New Roman" w:cs="Times New Roman"/>
          <w:sz w:val="24"/>
          <w:szCs w:val="24"/>
        </w:rPr>
        <w:t>%</w:t>
      </w:r>
      <w:r w:rsidRPr="009B3987">
        <w:rPr>
          <w:rFonts w:ascii="Times New Roman" w:hAnsi="Times New Roman" w:cs="Times New Roman"/>
          <w:sz w:val="24"/>
          <w:szCs w:val="24"/>
        </w:rPr>
        <w:t>). The analogous figures are higher for other, mainly private sector, occupations such as for accountants (12</w:t>
      </w:r>
      <w:r w:rsidR="00677580">
        <w:rPr>
          <w:rFonts w:ascii="Times New Roman" w:hAnsi="Times New Roman" w:cs="Times New Roman"/>
          <w:sz w:val="24"/>
          <w:szCs w:val="24"/>
        </w:rPr>
        <w:t>%</w:t>
      </w:r>
      <w:r w:rsidRPr="009B3987">
        <w:rPr>
          <w:rFonts w:ascii="Times New Roman" w:hAnsi="Times New Roman" w:cs="Times New Roman"/>
          <w:sz w:val="24"/>
          <w:szCs w:val="24"/>
        </w:rPr>
        <w:t>), solicitors (13</w:t>
      </w:r>
      <w:r w:rsidR="00677580">
        <w:rPr>
          <w:rFonts w:ascii="Times New Roman" w:hAnsi="Times New Roman" w:cs="Times New Roman"/>
          <w:sz w:val="24"/>
          <w:szCs w:val="24"/>
        </w:rPr>
        <w:t>%</w:t>
      </w:r>
      <w:r w:rsidRPr="009B3987">
        <w:rPr>
          <w:rFonts w:ascii="Times New Roman" w:hAnsi="Times New Roman" w:cs="Times New Roman"/>
          <w:sz w:val="24"/>
          <w:szCs w:val="24"/>
        </w:rPr>
        <w:t>), journalists (14</w:t>
      </w:r>
      <w:r w:rsidR="00677580">
        <w:rPr>
          <w:rFonts w:ascii="Times New Roman" w:hAnsi="Times New Roman" w:cs="Times New Roman"/>
          <w:sz w:val="24"/>
          <w:szCs w:val="24"/>
        </w:rPr>
        <w:t>%</w:t>
      </w:r>
      <w:r w:rsidRPr="009B3987">
        <w:rPr>
          <w:rFonts w:ascii="Times New Roman" w:hAnsi="Times New Roman" w:cs="Times New Roman"/>
          <w:sz w:val="24"/>
          <w:szCs w:val="24"/>
        </w:rPr>
        <w:t>) and marketing professionals (14</w:t>
      </w:r>
      <w:r w:rsidR="00677580">
        <w:rPr>
          <w:rFonts w:ascii="Times New Roman" w:hAnsi="Times New Roman" w:cs="Times New Roman"/>
          <w:sz w:val="24"/>
          <w:szCs w:val="24"/>
        </w:rPr>
        <w:t>%</w:t>
      </w:r>
      <w:r w:rsidRPr="009B3987">
        <w:rPr>
          <w:rFonts w:ascii="Times New Roman" w:hAnsi="Times New Roman" w:cs="Times New Roman"/>
          <w:sz w:val="24"/>
          <w:szCs w:val="24"/>
        </w:rPr>
        <w:t>).</w:t>
      </w:r>
    </w:p>
    <w:p w14:paraId="5A35828F" w14:textId="5004138C" w:rsidR="009B3987" w:rsidRPr="009B3987" w:rsidRDefault="009B3987" w:rsidP="009B3987">
      <w:pPr>
        <w:spacing w:after="0" w:line="360" w:lineRule="auto"/>
        <w:rPr>
          <w:rFonts w:ascii="Times New Roman" w:hAnsi="Times New Roman" w:cs="Times New Roman"/>
          <w:b/>
          <w:sz w:val="24"/>
          <w:szCs w:val="24"/>
        </w:rPr>
      </w:pPr>
      <w:r w:rsidRPr="009B3987">
        <w:rPr>
          <w:rFonts w:ascii="Times New Roman" w:hAnsi="Times New Roman" w:cs="Times New Roman"/>
          <w:b/>
          <w:sz w:val="24"/>
          <w:szCs w:val="24"/>
        </w:rPr>
        <w:t>3.4 LFS results. Comparisons of mental ill</w:t>
      </w:r>
      <w:r w:rsidR="002C1828">
        <w:rPr>
          <w:rFonts w:ascii="Times New Roman" w:hAnsi="Times New Roman" w:cs="Times New Roman"/>
          <w:b/>
          <w:sz w:val="24"/>
          <w:szCs w:val="24"/>
        </w:rPr>
        <w:t xml:space="preserve"> </w:t>
      </w:r>
      <w:r w:rsidRPr="009B3987">
        <w:rPr>
          <w:rFonts w:ascii="Times New Roman" w:hAnsi="Times New Roman" w:cs="Times New Roman"/>
          <w:b/>
          <w:sz w:val="24"/>
          <w:szCs w:val="24"/>
        </w:rPr>
        <w:t>health across occupations</w:t>
      </w:r>
    </w:p>
    <w:p w14:paraId="51DE7BDE" w14:textId="6B3E5C96" w:rsidR="009B3987" w:rsidRPr="009B3987" w:rsidRDefault="009B3987" w:rsidP="009B3987">
      <w:pPr>
        <w:spacing w:after="0" w:line="360" w:lineRule="auto"/>
        <w:jc w:val="both"/>
        <w:rPr>
          <w:rFonts w:ascii="Times New Roman" w:hAnsi="Times New Roman" w:cs="Times New Roman"/>
          <w:sz w:val="24"/>
          <w:szCs w:val="24"/>
        </w:rPr>
        <w:sectPr w:rsidR="009B3987" w:rsidRPr="009B3987">
          <w:pgSz w:w="11906" w:h="16838"/>
          <w:pgMar w:top="1440" w:right="1440" w:bottom="1440" w:left="1440" w:header="708" w:footer="708" w:gutter="0"/>
          <w:cols w:space="708"/>
          <w:docGrid w:linePitch="360"/>
        </w:sectPr>
      </w:pPr>
      <w:r w:rsidRPr="009B3987">
        <w:rPr>
          <w:rFonts w:ascii="Times New Roman" w:hAnsi="Times New Roman" w:cs="Times New Roman"/>
          <w:sz w:val="24"/>
          <w:szCs w:val="24"/>
        </w:rPr>
        <w:t>Figure 3.3 turns to our analysis of the LFS, comparing the percentage of workers who report having a</w:t>
      </w:r>
      <w:r w:rsidR="00C274F8">
        <w:rPr>
          <w:rFonts w:ascii="Times New Roman" w:hAnsi="Times New Roman" w:cs="Times New Roman"/>
          <w:sz w:val="24"/>
          <w:szCs w:val="24"/>
        </w:rPr>
        <w:t>ny</w:t>
      </w:r>
      <w:r w:rsidRPr="009B3987">
        <w:rPr>
          <w:rFonts w:ascii="Times New Roman" w:hAnsi="Times New Roman" w:cs="Times New Roman"/>
          <w:sz w:val="24"/>
          <w:szCs w:val="24"/>
        </w:rPr>
        <w:t xml:space="preserve"> long-lasting health</w:t>
      </w:r>
      <w:r w:rsidR="00C274F8">
        <w:rPr>
          <w:rFonts w:ascii="Times New Roman" w:hAnsi="Times New Roman" w:cs="Times New Roman"/>
          <w:sz w:val="24"/>
          <w:szCs w:val="24"/>
        </w:rPr>
        <w:t xml:space="preserve"> – including mental health </w:t>
      </w:r>
      <w:r w:rsidR="00997981">
        <w:rPr>
          <w:rFonts w:ascii="Times New Roman" w:hAnsi="Times New Roman" w:cs="Times New Roman"/>
          <w:sz w:val="24"/>
          <w:szCs w:val="24"/>
        </w:rPr>
        <w:t>–</w:t>
      </w:r>
      <w:r w:rsidRPr="009B3987">
        <w:rPr>
          <w:rFonts w:ascii="Times New Roman" w:hAnsi="Times New Roman" w:cs="Times New Roman"/>
          <w:sz w:val="24"/>
          <w:szCs w:val="24"/>
        </w:rPr>
        <w:t xml:space="preserve"> problem (vertical axis) to those who report having a long-lasting </w:t>
      </w:r>
      <w:r w:rsidRPr="009B3987">
        <w:rPr>
          <w:rFonts w:ascii="Times New Roman" w:hAnsi="Times New Roman" w:cs="Times New Roman"/>
          <w:i/>
          <w:sz w:val="24"/>
          <w:szCs w:val="24"/>
        </w:rPr>
        <w:t>mental</w:t>
      </w:r>
      <w:r w:rsidRPr="009B3987">
        <w:rPr>
          <w:rFonts w:ascii="Times New Roman" w:hAnsi="Times New Roman" w:cs="Times New Roman"/>
          <w:sz w:val="24"/>
          <w:szCs w:val="24"/>
        </w:rPr>
        <w:t xml:space="preserve"> health problem. Focusing upon the matching results (panel b), primary, secondary and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xml:space="preserve"> all fall around the average across professional occupations – as indicated by these data points sitting around the intersection of the dashed horizontal and vertical lines. In other words, long-lasting health problems (including mental health problems) are no more prevalent amongst teachers than demographically comparable individuals pursuing other professional careers. The one potential exception is SEN teachers, where a slightly greater proportion report having a lasting health problem (28</w:t>
      </w:r>
      <w:r w:rsidR="006F5A1C">
        <w:rPr>
          <w:rFonts w:ascii="Times New Roman" w:hAnsi="Times New Roman" w:cs="Times New Roman"/>
          <w:sz w:val="24"/>
          <w:szCs w:val="24"/>
        </w:rPr>
        <w:t>%</w:t>
      </w:r>
      <w:r w:rsidRPr="009B3987">
        <w:rPr>
          <w:rFonts w:ascii="Times New Roman" w:hAnsi="Times New Roman" w:cs="Times New Roman"/>
          <w:sz w:val="24"/>
          <w:szCs w:val="24"/>
        </w:rPr>
        <w:t xml:space="preserve"> versus 33</w:t>
      </w:r>
      <w:r w:rsidR="006F5A1C">
        <w:rPr>
          <w:rFonts w:ascii="Times New Roman" w:hAnsi="Times New Roman" w:cs="Times New Roman"/>
          <w:sz w:val="24"/>
          <w:szCs w:val="24"/>
        </w:rPr>
        <w:t>%</w:t>
      </w:r>
      <w:r w:rsidRPr="009B3987">
        <w:rPr>
          <w:rFonts w:ascii="Times New Roman" w:hAnsi="Times New Roman" w:cs="Times New Roman"/>
          <w:sz w:val="24"/>
          <w:szCs w:val="24"/>
        </w:rPr>
        <w:t>) and a lasting mental health problem (5</w:t>
      </w:r>
      <w:r w:rsidR="006F5A1C">
        <w:rPr>
          <w:rFonts w:ascii="Times New Roman" w:hAnsi="Times New Roman" w:cs="Times New Roman"/>
          <w:sz w:val="24"/>
          <w:szCs w:val="24"/>
        </w:rPr>
        <w:t>%</w:t>
      </w:r>
      <w:r w:rsidRPr="009B3987">
        <w:rPr>
          <w:rFonts w:ascii="Times New Roman" w:hAnsi="Times New Roman" w:cs="Times New Roman"/>
          <w:sz w:val="24"/>
          <w:szCs w:val="24"/>
        </w:rPr>
        <w:t xml:space="preserve"> versus 3.6</w:t>
      </w:r>
      <w:r w:rsidR="006F5A1C">
        <w:rPr>
          <w:rFonts w:ascii="Times New Roman" w:hAnsi="Times New Roman" w:cs="Times New Roman"/>
          <w:sz w:val="24"/>
          <w:szCs w:val="24"/>
        </w:rPr>
        <w:t>%</w:t>
      </w:r>
      <w:r w:rsidRPr="009B3987">
        <w:rPr>
          <w:rFonts w:ascii="Times New Roman" w:hAnsi="Times New Roman" w:cs="Times New Roman"/>
          <w:sz w:val="24"/>
          <w:szCs w:val="24"/>
        </w:rPr>
        <w:t xml:space="preserve">) than the cross-profession average. These findings are confirmed by Table 3.2, where the results for teachers are compared to our selected occupational comparators. Academics, social workers, civil servants and authors/writers are amongst those who are somewhat more likely to report suffering a long-lasting health problem (and particularly a mental health problem) than teachers. On the other hand, some office-based professional groups (e.g. accountants, management consultants, investment analysts) to some </w:t>
      </w:r>
      <w:r w:rsidRPr="009B3987">
        <w:rPr>
          <w:rFonts w:ascii="Times New Roman" w:hAnsi="Times New Roman" w:cs="Times New Roman"/>
          <w:sz w:val="24"/>
          <w:szCs w:val="24"/>
        </w:rPr>
        <w:lastRenderedPageBreak/>
        <w:t xml:space="preserve">degree report fewer long-lasting health problems (including mental health problems) than those pursuing careers in education. </w:t>
      </w:r>
    </w:p>
    <w:p w14:paraId="5F42DE45" w14:textId="5272D47C" w:rsidR="009B3987" w:rsidRDefault="009B3987" w:rsidP="009B3987">
      <w:pPr>
        <w:spacing w:after="0"/>
        <w:jc w:val="center"/>
        <w:rPr>
          <w:rFonts w:ascii="Times New Roman" w:hAnsi="Times New Roman" w:cs="Times New Roman"/>
          <w:b/>
          <w:szCs w:val="24"/>
        </w:rPr>
      </w:pPr>
      <w:bookmarkStart w:id="5" w:name="_Hlk26534775"/>
      <w:r w:rsidRPr="004A5E5A">
        <w:rPr>
          <w:rFonts w:ascii="Times New Roman" w:hAnsi="Times New Roman" w:cs="Times New Roman"/>
          <w:b/>
          <w:szCs w:val="24"/>
        </w:rPr>
        <w:lastRenderedPageBreak/>
        <w:t xml:space="preserve">Figure </w:t>
      </w:r>
      <w:r>
        <w:rPr>
          <w:rFonts w:ascii="Times New Roman" w:hAnsi="Times New Roman" w:cs="Times New Roman"/>
          <w:b/>
          <w:szCs w:val="24"/>
        </w:rPr>
        <w:t>3</w:t>
      </w:r>
      <w:r w:rsidRPr="004A5E5A">
        <w:rPr>
          <w:rFonts w:ascii="Times New Roman" w:hAnsi="Times New Roman" w:cs="Times New Roman"/>
          <w:b/>
          <w:szCs w:val="24"/>
        </w:rPr>
        <w:t>.</w:t>
      </w:r>
      <w:r>
        <w:rPr>
          <w:rFonts w:ascii="Times New Roman" w:hAnsi="Times New Roman" w:cs="Times New Roman"/>
          <w:b/>
          <w:szCs w:val="24"/>
        </w:rPr>
        <w:t>3</w:t>
      </w:r>
      <w:r w:rsidRPr="004A5E5A">
        <w:rPr>
          <w:rFonts w:ascii="Times New Roman" w:hAnsi="Times New Roman" w:cs="Times New Roman"/>
          <w:b/>
          <w:szCs w:val="24"/>
        </w:rPr>
        <w:t xml:space="preserve"> </w:t>
      </w:r>
      <w:proofErr w:type="gramStart"/>
      <w:r w:rsidRPr="004A5E5A">
        <w:rPr>
          <w:rFonts w:ascii="Times New Roman" w:hAnsi="Times New Roman" w:cs="Times New Roman"/>
          <w:b/>
          <w:szCs w:val="24"/>
        </w:rPr>
        <w:t>The</w:t>
      </w:r>
      <w:proofErr w:type="gramEnd"/>
      <w:r w:rsidRPr="004A5E5A">
        <w:rPr>
          <w:rFonts w:ascii="Times New Roman" w:hAnsi="Times New Roman" w:cs="Times New Roman"/>
          <w:b/>
          <w:szCs w:val="24"/>
        </w:rPr>
        <w:t xml:space="preserve"> percent</w:t>
      </w:r>
      <w:r w:rsidR="006F5A1C">
        <w:rPr>
          <w:rFonts w:ascii="Times New Roman" w:hAnsi="Times New Roman" w:cs="Times New Roman"/>
          <w:b/>
          <w:szCs w:val="24"/>
        </w:rPr>
        <w:t>age</w:t>
      </w:r>
      <w:r w:rsidRPr="004A5E5A">
        <w:rPr>
          <w:rFonts w:ascii="Times New Roman" w:hAnsi="Times New Roman" w:cs="Times New Roman"/>
          <w:b/>
          <w:szCs w:val="24"/>
        </w:rPr>
        <w:t xml:space="preserve"> of teachers </w:t>
      </w:r>
      <w:r>
        <w:rPr>
          <w:rFonts w:ascii="Times New Roman" w:hAnsi="Times New Roman" w:cs="Times New Roman"/>
          <w:b/>
          <w:szCs w:val="24"/>
        </w:rPr>
        <w:t xml:space="preserve">with a long-lasting illness and those with a long-lasting mental illness </w:t>
      </w:r>
      <w:r w:rsidRPr="004A5E5A">
        <w:rPr>
          <w:rFonts w:ascii="Times New Roman" w:hAnsi="Times New Roman" w:cs="Times New Roman"/>
          <w:b/>
          <w:szCs w:val="24"/>
        </w:rPr>
        <w:t>compared to other occupations</w:t>
      </w:r>
      <w:r>
        <w:rPr>
          <w:rFonts w:ascii="Times New Roman" w:hAnsi="Times New Roman" w:cs="Times New Roman"/>
          <w:b/>
          <w:szCs w:val="24"/>
        </w:rPr>
        <w:t xml:space="preserve"> (LFS)</w:t>
      </w:r>
    </w:p>
    <w:p w14:paraId="4F1A2FFC" w14:textId="77777777" w:rsidR="00214A9D" w:rsidRDefault="00214A9D" w:rsidP="009B3987">
      <w:pPr>
        <w:spacing w:after="0"/>
        <w:jc w:val="center"/>
        <w:rPr>
          <w:rFonts w:ascii="Times New Roman" w:hAnsi="Times New Roman" w:cs="Times New Roman"/>
          <w:b/>
          <w:szCs w:val="24"/>
        </w:rPr>
      </w:pPr>
    </w:p>
    <w:bookmarkEnd w:id="5"/>
    <w:p w14:paraId="2355E91D" w14:textId="77777777" w:rsidR="009B3987" w:rsidRPr="0084072D" w:rsidRDefault="009B3987" w:rsidP="00697230">
      <w:pPr>
        <w:pStyle w:val="ListParagraph"/>
        <w:numPr>
          <w:ilvl w:val="0"/>
          <w:numId w:val="13"/>
        </w:numPr>
        <w:spacing w:after="0" w:line="259" w:lineRule="auto"/>
        <w:rPr>
          <w:rFonts w:ascii="Times New Roman" w:hAnsi="Times New Roman" w:cs="Times New Roman"/>
          <w:szCs w:val="24"/>
        </w:rPr>
      </w:pPr>
      <w:r w:rsidRPr="0084072D">
        <w:rPr>
          <w:rFonts w:ascii="Times New Roman" w:hAnsi="Times New Roman" w:cs="Times New Roman"/>
          <w:szCs w:val="24"/>
        </w:rPr>
        <w:t>Unconditional (all occupations)</w:t>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Pr>
          <w:rFonts w:ascii="Times New Roman" w:hAnsi="Times New Roman" w:cs="Times New Roman"/>
          <w:szCs w:val="24"/>
        </w:rPr>
        <w:t xml:space="preserve">(b) </w:t>
      </w:r>
      <w:r w:rsidRPr="0084072D">
        <w:rPr>
          <w:rFonts w:ascii="Times New Roman" w:hAnsi="Times New Roman" w:cs="Times New Roman"/>
          <w:szCs w:val="24"/>
        </w:rPr>
        <w:t>Matched to other professions</w:t>
      </w:r>
    </w:p>
    <w:p w14:paraId="31DCD487" w14:textId="77777777" w:rsidR="009B3987" w:rsidRDefault="009B3987" w:rsidP="009B3987">
      <w:r w:rsidRPr="002B3D56">
        <w:rPr>
          <w:noProof/>
          <w:lang w:eastAsia="en-GB"/>
        </w:rPr>
        <w:drawing>
          <wp:inline distT="0" distB="0" distL="0" distR="0" wp14:anchorId="5F0C7FA8" wp14:editId="7D8A296B">
            <wp:extent cx="4791075" cy="47910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791075" cy="4791075"/>
                    </a:xfrm>
                    <a:prstGeom prst="rect">
                      <a:avLst/>
                    </a:prstGeom>
                    <a:noFill/>
                    <a:ln>
                      <a:noFill/>
                    </a:ln>
                  </pic:spPr>
                </pic:pic>
              </a:graphicData>
            </a:graphic>
          </wp:inline>
        </w:drawing>
      </w:r>
      <w:r w:rsidRPr="00473B66">
        <w:t xml:space="preserve"> </w:t>
      </w:r>
      <w:r w:rsidRPr="00473B66">
        <w:rPr>
          <w:noProof/>
          <w:lang w:eastAsia="en-GB"/>
        </w:rPr>
        <w:drawing>
          <wp:inline distT="0" distB="0" distL="0" distR="0" wp14:anchorId="3863E276" wp14:editId="6AF3949E">
            <wp:extent cx="4772025" cy="47720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772025" cy="4772025"/>
                    </a:xfrm>
                    <a:prstGeom prst="rect">
                      <a:avLst/>
                    </a:prstGeom>
                    <a:noFill/>
                    <a:ln>
                      <a:noFill/>
                    </a:ln>
                  </pic:spPr>
                </pic:pic>
              </a:graphicData>
            </a:graphic>
          </wp:inline>
        </w:drawing>
      </w:r>
    </w:p>
    <w:p w14:paraId="3967CF68" w14:textId="1508522B" w:rsidR="009B3987" w:rsidRPr="00C15BFD" w:rsidRDefault="009B3987" w:rsidP="00C15BFD">
      <w:pPr>
        <w:spacing w:line="240" w:lineRule="auto"/>
        <w:jc w:val="both"/>
        <w:rPr>
          <w:rFonts w:ascii="Times New Roman" w:hAnsi="Times New Roman" w:cs="Times New Roman"/>
          <w:sz w:val="20"/>
          <w:szCs w:val="20"/>
        </w:rPr>
        <w:sectPr w:rsidR="009B3987" w:rsidRPr="00C15BFD" w:rsidSect="00141B6D">
          <w:pgSz w:w="16838" w:h="11906" w:orient="landscape"/>
          <w:pgMar w:top="720" w:right="720" w:bottom="720" w:left="720" w:header="708" w:footer="708" w:gutter="0"/>
          <w:cols w:space="708"/>
          <w:docGrid w:linePitch="360"/>
        </w:sectPr>
      </w:pPr>
      <w:r>
        <w:rPr>
          <w:rFonts w:ascii="Times New Roman" w:hAnsi="Times New Roman" w:cs="Times New Roman"/>
          <w:sz w:val="20"/>
          <w:szCs w:val="20"/>
        </w:rPr>
        <w:t>Notes: Each data</w:t>
      </w:r>
      <w:r w:rsidR="003A40D8">
        <w:rPr>
          <w:rFonts w:ascii="Times New Roman" w:hAnsi="Times New Roman" w:cs="Times New Roman"/>
          <w:sz w:val="20"/>
          <w:szCs w:val="20"/>
        </w:rPr>
        <w:t xml:space="preserve"> </w:t>
      </w:r>
      <w:r>
        <w:rPr>
          <w:rFonts w:ascii="Times New Roman" w:hAnsi="Times New Roman" w:cs="Times New Roman"/>
          <w:sz w:val="20"/>
          <w:szCs w:val="20"/>
        </w:rPr>
        <w:t>point represents one occupation. Figures refer to the percent</w:t>
      </w:r>
      <w:r w:rsidR="00AD2656">
        <w:rPr>
          <w:rFonts w:ascii="Times New Roman" w:hAnsi="Times New Roman" w:cs="Times New Roman"/>
          <w:sz w:val="20"/>
          <w:szCs w:val="20"/>
        </w:rPr>
        <w:t>age</w:t>
      </w:r>
      <w:r>
        <w:rPr>
          <w:rFonts w:ascii="Times New Roman" w:hAnsi="Times New Roman" w:cs="Times New Roman"/>
          <w:sz w:val="20"/>
          <w:szCs w:val="20"/>
        </w:rPr>
        <w:t xml:space="preserve"> of workers who have a long-lasting health problem (vertical axis) and a long-lasting mental health problem (horizontal axis). Dashed lines illustrate the unweighted occupational average. The graph on the left presents the unconditional estimates for all occupations. The graph on the right presents the matching results, where comparators have been restricted to those working in professional jobs. Results restricted to occupations where the sample size is above 250.</w:t>
      </w:r>
      <w:r w:rsidR="00C15BFD">
        <w:rPr>
          <w:rFonts w:ascii="Times New Roman" w:hAnsi="Times New Roman" w:cs="Times New Roman"/>
          <w:sz w:val="20"/>
          <w:szCs w:val="20"/>
        </w:rPr>
        <w:t xml:space="preserve">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Labour Force Survey</w:t>
      </w:r>
      <w:r w:rsidR="00C15BFD" w:rsidRPr="00C15BFD">
        <w:rPr>
          <w:rFonts w:ascii="Times New Roman" w:hAnsi="Times New Roman" w:cs="Times New Roman"/>
          <w:sz w:val="20"/>
          <w:szCs w:val="20"/>
        </w:rPr>
        <w:t>.</w:t>
      </w:r>
    </w:p>
    <w:p w14:paraId="5E8C88D8" w14:textId="77777777" w:rsidR="009B3987" w:rsidRDefault="009B3987" w:rsidP="009B3987">
      <w:pPr>
        <w:spacing w:line="240" w:lineRule="auto"/>
        <w:jc w:val="center"/>
        <w:rPr>
          <w:rFonts w:ascii="Times New Roman" w:hAnsi="Times New Roman" w:cs="Times New Roman"/>
          <w:b/>
          <w:szCs w:val="24"/>
        </w:rPr>
      </w:pPr>
      <w:r>
        <w:rPr>
          <w:rFonts w:ascii="Times New Roman" w:hAnsi="Times New Roman" w:cs="Times New Roman"/>
          <w:b/>
          <w:szCs w:val="24"/>
        </w:rPr>
        <w:lastRenderedPageBreak/>
        <w:t xml:space="preserve">Table 3.2 </w:t>
      </w:r>
      <w:proofErr w:type="gramStart"/>
      <w:r>
        <w:rPr>
          <w:rFonts w:ascii="Times New Roman" w:hAnsi="Times New Roman" w:cs="Times New Roman"/>
          <w:b/>
          <w:szCs w:val="24"/>
        </w:rPr>
        <w:t>The</w:t>
      </w:r>
      <w:proofErr w:type="gramEnd"/>
      <w:r>
        <w:rPr>
          <w:rFonts w:ascii="Times New Roman" w:hAnsi="Times New Roman" w:cs="Times New Roman"/>
          <w:b/>
          <w:szCs w:val="24"/>
        </w:rPr>
        <w:t xml:space="preserve"> mental health of teachers compared to selected comparator professions. Matching results from the LFS. </w:t>
      </w:r>
    </w:p>
    <w:tbl>
      <w:tblPr>
        <w:tblW w:w="8900" w:type="dxa"/>
        <w:tblLook w:val="04A0" w:firstRow="1" w:lastRow="0" w:firstColumn="1" w:lastColumn="0" w:noHBand="0" w:noVBand="1"/>
      </w:tblPr>
      <w:tblGrid>
        <w:gridCol w:w="3560"/>
        <w:gridCol w:w="1660"/>
        <w:gridCol w:w="1480"/>
        <w:gridCol w:w="960"/>
        <w:gridCol w:w="1240"/>
      </w:tblGrid>
      <w:tr w:rsidR="005E2A38" w:rsidRPr="005E2A38" w14:paraId="09EA3505" w14:textId="77777777" w:rsidTr="005E2A38">
        <w:trPr>
          <w:trHeight w:val="850"/>
        </w:trPr>
        <w:tc>
          <w:tcPr>
            <w:tcW w:w="3560" w:type="dxa"/>
            <w:tcBorders>
              <w:top w:val="single" w:sz="8" w:space="0" w:color="auto"/>
              <w:left w:val="nil"/>
              <w:bottom w:val="single" w:sz="8" w:space="0" w:color="auto"/>
              <w:right w:val="nil"/>
            </w:tcBorders>
            <w:shd w:val="clear" w:color="000000" w:fill="BDD7EE"/>
            <w:vAlign w:val="center"/>
            <w:hideMark/>
          </w:tcPr>
          <w:p w14:paraId="4F01B948" w14:textId="77777777" w:rsidR="005E2A38" w:rsidRPr="005E2A38" w:rsidRDefault="005E2A38" w:rsidP="005E2A38">
            <w:pPr>
              <w:spacing w:after="0" w:line="240" w:lineRule="auto"/>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Occupation</w:t>
            </w:r>
          </w:p>
        </w:tc>
        <w:tc>
          <w:tcPr>
            <w:tcW w:w="1660" w:type="dxa"/>
            <w:tcBorders>
              <w:top w:val="single" w:sz="8" w:space="0" w:color="auto"/>
              <w:left w:val="nil"/>
              <w:bottom w:val="single" w:sz="8" w:space="0" w:color="auto"/>
              <w:right w:val="nil"/>
            </w:tcBorders>
            <w:shd w:val="clear" w:color="000000" w:fill="BDD7EE"/>
            <w:vAlign w:val="center"/>
            <w:hideMark/>
          </w:tcPr>
          <w:p w14:paraId="102DE3CA" w14:textId="77777777"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 lasting health problem</w:t>
            </w:r>
          </w:p>
        </w:tc>
        <w:tc>
          <w:tcPr>
            <w:tcW w:w="1480" w:type="dxa"/>
            <w:tcBorders>
              <w:top w:val="single" w:sz="8" w:space="0" w:color="auto"/>
              <w:left w:val="nil"/>
              <w:bottom w:val="single" w:sz="8" w:space="0" w:color="auto"/>
              <w:right w:val="nil"/>
            </w:tcBorders>
            <w:shd w:val="clear" w:color="000000" w:fill="BDD7EE"/>
            <w:vAlign w:val="center"/>
            <w:hideMark/>
          </w:tcPr>
          <w:p w14:paraId="4B886DAF" w14:textId="77777777"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 lasting mental health problem</w:t>
            </w:r>
          </w:p>
        </w:tc>
        <w:tc>
          <w:tcPr>
            <w:tcW w:w="960" w:type="dxa"/>
            <w:tcBorders>
              <w:top w:val="single" w:sz="8" w:space="0" w:color="auto"/>
              <w:left w:val="nil"/>
              <w:bottom w:val="single" w:sz="8" w:space="0" w:color="auto"/>
              <w:right w:val="nil"/>
            </w:tcBorders>
            <w:shd w:val="clear" w:color="000000" w:fill="BDD7EE"/>
            <w:vAlign w:val="center"/>
            <w:hideMark/>
          </w:tcPr>
          <w:p w14:paraId="4BE4C058" w14:textId="3237F2FF"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 job led to ill</w:t>
            </w:r>
            <w:r w:rsidR="002C1828">
              <w:rPr>
                <w:rFonts w:ascii="Times New Roman" w:eastAsia="Times New Roman" w:hAnsi="Times New Roman" w:cs="Times New Roman"/>
                <w:b/>
                <w:bCs/>
                <w:color w:val="000000"/>
                <w:lang w:eastAsia="en-GB"/>
              </w:rPr>
              <w:t xml:space="preserve"> </w:t>
            </w:r>
            <w:r w:rsidRPr="005E2A38">
              <w:rPr>
                <w:rFonts w:ascii="Times New Roman" w:eastAsia="Times New Roman" w:hAnsi="Times New Roman" w:cs="Times New Roman"/>
                <w:b/>
                <w:bCs/>
                <w:color w:val="000000"/>
                <w:lang w:eastAsia="en-GB"/>
              </w:rPr>
              <w:t>health</w:t>
            </w:r>
          </w:p>
        </w:tc>
        <w:tc>
          <w:tcPr>
            <w:tcW w:w="1240" w:type="dxa"/>
            <w:tcBorders>
              <w:top w:val="single" w:sz="8" w:space="0" w:color="auto"/>
              <w:left w:val="nil"/>
              <w:bottom w:val="single" w:sz="8" w:space="0" w:color="auto"/>
              <w:right w:val="nil"/>
            </w:tcBorders>
            <w:shd w:val="clear" w:color="000000" w:fill="BDD7EE"/>
            <w:vAlign w:val="center"/>
            <w:hideMark/>
          </w:tcPr>
          <w:p w14:paraId="21B3CDC8" w14:textId="2771FE73"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 job led to mental ill</w:t>
            </w:r>
            <w:r w:rsidR="002C1828">
              <w:rPr>
                <w:rFonts w:ascii="Times New Roman" w:eastAsia="Times New Roman" w:hAnsi="Times New Roman" w:cs="Times New Roman"/>
                <w:b/>
                <w:bCs/>
                <w:color w:val="000000"/>
                <w:lang w:eastAsia="en-GB"/>
              </w:rPr>
              <w:t xml:space="preserve"> </w:t>
            </w:r>
            <w:r w:rsidRPr="005E2A38">
              <w:rPr>
                <w:rFonts w:ascii="Times New Roman" w:eastAsia="Times New Roman" w:hAnsi="Times New Roman" w:cs="Times New Roman"/>
                <w:b/>
                <w:bCs/>
                <w:color w:val="000000"/>
                <w:lang w:eastAsia="en-GB"/>
              </w:rPr>
              <w:t>health</w:t>
            </w:r>
          </w:p>
        </w:tc>
      </w:tr>
      <w:tr w:rsidR="005E2A38" w:rsidRPr="005E2A38" w14:paraId="3501B984" w14:textId="77777777" w:rsidTr="005E2A38">
        <w:trPr>
          <w:trHeight w:val="290"/>
        </w:trPr>
        <w:tc>
          <w:tcPr>
            <w:tcW w:w="3560" w:type="dxa"/>
            <w:tcBorders>
              <w:top w:val="nil"/>
              <w:left w:val="dotted" w:sz="4" w:space="0" w:color="auto"/>
              <w:bottom w:val="dotted" w:sz="4" w:space="0" w:color="auto"/>
              <w:right w:val="nil"/>
            </w:tcBorders>
            <w:shd w:val="clear" w:color="auto" w:fill="auto"/>
            <w:noWrap/>
            <w:vAlign w:val="center"/>
            <w:hideMark/>
          </w:tcPr>
          <w:p w14:paraId="7900BF9A" w14:textId="4C877B36"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SEN teacher</w:t>
            </w:r>
            <w:r w:rsidR="00AD2656">
              <w:rPr>
                <w:rFonts w:ascii="Times New Roman" w:eastAsia="Times New Roman" w:hAnsi="Times New Roman" w:cs="Times New Roman"/>
                <w:color w:val="000000"/>
                <w:lang w:eastAsia="en-GB"/>
              </w:rPr>
              <w:t>s</w:t>
            </w:r>
          </w:p>
        </w:tc>
        <w:tc>
          <w:tcPr>
            <w:tcW w:w="1660" w:type="dxa"/>
            <w:tcBorders>
              <w:top w:val="nil"/>
              <w:left w:val="nil"/>
              <w:bottom w:val="dotted" w:sz="4" w:space="0" w:color="auto"/>
              <w:right w:val="nil"/>
            </w:tcBorders>
            <w:shd w:val="clear" w:color="000000" w:fill="F8696B"/>
            <w:noWrap/>
            <w:vAlign w:val="center"/>
            <w:hideMark/>
          </w:tcPr>
          <w:p w14:paraId="2CC37F64"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27.9</w:t>
            </w:r>
          </w:p>
        </w:tc>
        <w:tc>
          <w:tcPr>
            <w:tcW w:w="1480" w:type="dxa"/>
            <w:tcBorders>
              <w:top w:val="nil"/>
              <w:left w:val="nil"/>
              <w:bottom w:val="dotted" w:sz="4" w:space="0" w:color="auto"/>
              <w:right w:val="nil"/>
            </w:tcBorders>
            <w:shd w:val="clear" w:color="000000" w:fill="FA8F91"/>
            <w:noWrap/>
            <w:vAlign w:val="center"/>
            <w:hideMark/>
          </w:tcPr>
          <w:p w14:paraId="62FAF05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5</w:t>
            </w:r>
          </w:p>
        </w:tc>
        <w:tc>
          <w:tcPr>
            <w:tcW w:w="960" w:type="dxa"/>
            <w:tcBorders>
              <w:top w:val="nil"/>
              <w:left w:val="nil"/>
              <w:bottom w:val="dotted" w:sz="4" w:space="0" w:color="auto"/>
              <w:right w:val="nil"/>
            </w:tcBorders>
            <w:shd w:val="clear" w:color="000000" w:fill="F97375"/>
            <w:noWrap/>
            <w:vAlign w:val="center"/>
            <w:hideMark/>
          </w:tcPr>
          <w:p w14:paraId="4FE2878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8.9</w:t>
            </w:r>
          </w:p>
        </w:tc>
        <w:tc>
          <w:tcPr>
            <w:tcW w:w="1240" w:type="dxa"/>
            <w:tcBorders>
              <w:top w:val="nil"/>
              <w:left w:val="nil"/>
              <w:bottom w:val="dotted" w:sz="4" w:space="0" w:color="auto"/>
              <w:right w:val="dotted" w:sz="4" w:space="0" w:color="auto"/>
            </w:tcBorders>
            <w:shd w:val="clear" w:color="000000" w:fill="F98587"/>
            <w:noWrap/>
            <w:vAlign w:val="center"/>
            <w:hideMark/>
          </w:tcPr>
          <w:p w14:paraId="40771F8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4.9</w:t>
            </w:r>
          </w:p>
        </w:tc>
      </w:tr>
      <w:tr w:rsidR="005E2A38" w:rsidRPr="005E2A38" w14:paraId="27644693" w14:textId="77777777" w:rsidTr="005E2A38">
        <w:trPr>
          <w:trHeight w:val="290"/>
        </w:trPr>
        <w:tc>
          <w:tcPr>
            <w:tcW w:w="3560" w:type="dxa"/>
            <w:tcBorders>
              <w:top w:val="nil"/>
              <w:left w:val="nil"/>
              <w:bottom w:val="nil"/>
              <w:right w:val="nil"/>
            </w:tcBorders>
            <w:shd w:val="clear" w:color="auto" w:fill="auto"/>
            <w:noWrap/>
            <w:vAlign w:val="center"/>
            <w:hideMark/>
          </w:tcPr>
          <w:p w14:paraId="1E36C244" w14:textId="048E9A51"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Nurse</w:t>
            </w:r>
            <w:r w:rsidR="00AD2656">
              <w:rPr>
                <w:rFonts w:ascii="Times New Roman" w:eastAsia="Times New Roman" w:hAnsi="Times New Roman" w:cs="Times New Roman"/>
                <w:color w:val="000000"/>
                <w:lang w:eastAsia="en-GB"/>
              </w:rPr>
              <w:t>s</w:t>
            </w:r>
          </w:p>
        </w:tc>
        <w:tc>
          <w:tcPr>
            <w:tcW w:w="1660" w:type="dxa"/>
            <w:tcBorders>
              <w:top w:val="nil"/>
              <w:left w:val="nil"/>
              <w:bottom w:val="nil"/>
              <w:right w:val="nil"/>
            </w:tcBorders>
            <w:shd w:val="clear" w:color="000000" w:fill="F96B6D"/>
            <w:noWrap/>
            <w:vAlign w:val="center"/>
            <w:hideMark/>
          </w:tcPr>
          <w:p w14:paraId="35C75ED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27.8</w:t>
            </w:r>
          </w:p>
        </w:tc>
        <w:tc>
          <w:tcPr>
            <w:tcW w:w="1480" w:type="dxa"/>
            <w:tcBorders>
              <w:top w:val="nil"/>
              <w:left w:val="nil"/>
              <w:bottom w:val="nil"/>
              <w:right w:val="nil"/>
            </w:tcBorders>
            <w:shd w:val="clear" w:color="000000" w:fill="FBBFC2"/>
            <w:noWrap/>
            <w:vAlign w:val="center"/>
            <w:hideMark/>
          </w:tcPr>
          <w:p w14:paraId="3C8EBB38"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3.6</w:t>
            </w:r>
          </w:p>
        </w:tc>
        <w:tc>
          <w:tcPr>
            <w:tcW w:w="960" w:type="dxa"/>
            <w:tcBorders>
              <w:top w:val="nil"/>
              <w:left w:val="nil"/>
              <w:bottom w:val="nil"/>
              <w:right w:val="nil"/>
            </w:tcBorders>
            <w:shd w:val="clear" w:color="000000" w:fill="F9888B"/>
            <w:noWrap/>
            <w:vAlign w:val="center"/>
            <w:hideMark/>
          </w:tcPr>
          <w:p w14:paraId="4AB12E0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7.8</w:t>
            </w:r>
          </w:p>
        </w:tc>
        <w:tc>
          <w:tcPr>
            <w:tcW w:w="1240" w:type="dxa"/>
            <w:tcBorders>
              <w:top w:val="nil"/>
              <w:left w:val="nil"/>
              <w:bottom w:val="nil"/>
              <w:right w:val="nil"/>
            </w:tcBorders>
            <w:shd w:val="clear" w:color="000000" w:fill="FAB2B4"/>
            <w:noWrap/>
            <w:vAlign w:val="center"/>
            <w:hideMark/>
          </w:tcPr>
          <w:p w14:paraId="0A3ED454"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3.3</w:t>
            </w:r>
          </w:p>
        </w:tc>
      </w:tr>
      <w:tr w:rsidR="005E2A38" w:rsidRPr="005E2A38" w14:paraId="57ECB6C2" w14:textId="77777777" w:rsidTr="005E2A38">
        <w:trPr>
          <w:trHeight w:val="290"/>
        </w:trPr>
        <w:tc>
          <w:tcPr>
            <w:tcW w:w="3560" w:type="dxa"/>
            <w:tcBorders>
              <w:top w:val="nil"/>
              <w:left w:val="nil"/>
              <w:bottom w:val="nil"/>
              <w:right w:val="nil"/>
            </w:tcBorders>
            <w:shd w:val="clear" w:color="auto" w:fill="auto"/>
            <w:noWrap/>
            <w:vAlign w:val="center"/>
            <w:hideMark/>
          </w:tcPr>
          <w:p w14:paraId="4CF447C0" w14:textId="6DC2C4C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Public services (e.g. civil servant</w:t>
            </w:r>
            <w:r w:rsidR="00AD2656">
              <w:rPr>
                <w:rFonts w:ascii="Times New Roman" w:eastAsia="Times New Roman" w:hAnsi="Times New Roman" w:cs="Times New Roman"/>
                <w:color w:val="000000"/>
                <w:lang w:eastAsia="en-GB"/>
              </w:rPr>
              <w:t>s</w:t>
            </w:r>
            <w:r w:rsidRPr="005E2A38">
              <w:rPr>
                <w:rFonts w:ascii="Times New Roman" w:eastAsia="Times New Roman" w:hAnsi="Times New Roman" w:cs="Times New Roman"/>
                <w:color w:val="000000"/>
                <w:lang w:eastAsia="en-GB"/>
              </w:rPr>
              <w:t>)</w:t>
            </w:r>
          </w:p>
        </w:tc>
        <w:tc>
          <w:tcPr>
            <w:tcW w:w="1660" w:type="dxa"/>
            <w:tcBorders>
              <w:top w:val="nil"/>
              <w:left w:val="nil"/>
              <w:bottom w:val="nil"/>
              <w:right w:val="nil"/>
            </w:tcBorders>
            <w:shd w:val="clear" w:color="000000" w:fill="F96D6F"/>
            <w:noWrap/>
            <w:vAlign w:val="center"/>
            <w:hideMark/>
          </w:tcPr>
          <w:p w14:paraId="52715C2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27.7</w:t>
            </w:r>
          </w:p>
        </w:tc>
        <w:tc>
          <w:tcPr>
            <w:tcW w:w="1480" w:type="dxa"/>
            <w:tcBorders>
              <w:top w:val="nil"/>
              <w:left w:val="nil"/>
              <w:bottom w:val="nil"/>
              <w:right w:val="nil"/>
            </w:tcBorders>
            <w:shd w:val="clear" w:color="000000" w:fill="FAA0A3"/>
            <w:noWrap/>
            <w:vAlign w:val="center"/>
            <w:hideMark/>
          </w:tcPr>
          <w:p w14:paraId="61E82D7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4.5</w:t>
            </w:r>
          </w:p>
        </w:tc>
        <w:tc>
          <w:tcPr>
            <w:tcW w:w="960" w:type="dxa"/>
            <w:tcBorders>
              <w:top w:val="nil"/>
              <w:left w:val="nil"/>
              <w:bottom w:val="nil"/>
              <w:right w:val="nil"/>
            </w:tcBorders>
            <w:shd w:val="clear" w:color="000000" w:fill="F98C8F"/>
            <w:noWrap/>
            <w:vAlign w:val="center"/>
            <w:hideMark/>
          </w:tcPr>
          <w:p w14:paraId="2325E389"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7.6</w:t>
            </w:r>
          </w:p>
        </w:tc>
        <w:tc>
          <w:tcPr>
            <w:tcW w:w="1240" w:type="dxa"/>
            <w:tcBorders>
              <w:top w:val="nil"/>
              <w:left w:val="nil"/>
              <w:bottom w:val="nil"/>
              <w:right w:val="nil"/>
            </w:tcBorders>
            <w:shd w:val="clear" w:color="000000" w:fill="F97A7C"/>
            <w:noWrap/>
            <w:vAlign w:val="center"/>
            <w:hideMark/>
          </w:tcPr>
          <w:p w14:paraId="7F96D169"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5.3</w:t>
            </w:r>
          </w:p>
        </w:tc>
      </w:tr>
      <w:tr w:rsidR="005E2A38" w:rsidRPr="005E2A38" w14:paraId="1313C37A" w14:textId="77777777" w:rsidTr="005E2A38">
        <w:trPr>
          <w:trHeight w:val="290"/>
        </w:trPr>
        <w:tc>
          <w:tcPr>
            <w:tcW w:w="3560" w:type="dxa"/>
            <w:tcBorders>
              <w:top w:val="nil"/>
              <w:left w:val="nil"/>
              <w:bottom w:val="nil"/>
              <w:right w:val="nil"/>
            </w:tcBorders>
            <w:shd w:val="clear" w:color="auto" w:fill="auto"/>
            <w:noWrap/>
            <w:vAlign w:val="center"/>
            <w:hideMark/>
          </w:tcPr>
          <w:p w14:paraId="2F2C1601"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Authors, writers and translators</w:t>
            </w:r>
          </w:p>
        </w:tc>
        <w:tc>
          <w:tcPr>
            <w:tcW w:w="1660" w:type="dxa"/>
            <w:tcBorders>
              <w:top w:val="nil"/>
              <w:left w:val="nil"/>
              <w:bottom w:val="nil"/>
              <w:right w:val="nil"/>
            </w:tcBorders>
            <w:shd w:val="clear" w:color="000000" w:fill="F97779"/>
            <w:noWrap/>
            <w:vAlign w:val="center"/>
            <w:hideMark/>
          </w:tcPr>
          <w:p w14:paraId="495502E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27</w:t>
            </w:r>
          </w:p>
        </w:tc>
        <w:tc>
          <w:tcPr>
            <w:tcW w:w="1480" w:type="dxa"/>
            <w:tcBorders>
              <w:top w:val="nil"/>
              <w:left w:val="nil"/>
              <w:bottom w:val="nil"/>
              <w:right w:val="nil"/>
            </w:tcBorders>
            <w:shd w:val="clear" w:color="000000" w:fill="F8696B"/>
            <w:noWrap/>
            <w:vAlign w:val="center"/>
            <w:hideMark/>
          </w:tcPr>
          <w:p w14:paraId="5D5DFA6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6.1</w:t>
            </w:r>
          </w:p>
        </w:tc>
        <w:tc>
          <w:tcPr>
            <w:tcW w:w="960" w:type="dxa"/>
            <w:tcBorders>
              <w:top w:val="nil"/>
              <w:left w:val="nil"/>
              <w:bottom w:val="nil"/>
              <w:right w:val="nil"/>
            </w:tcBorders>
            <w:shd w:val="clear" w:color="000000" w:fill="FCF1F4"/>
            <w:noWrap/>
            <w:vAlign w:val="center"/>
            <w:hideMark/>
          </w:tcPr>
          <w:p w14:paraId="795C96D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w:t>
            </w:r>
          </w:p>
        </w:tc>
        <w:tc>
          <w:tcPr>
            <w:tcW w:w="1240" w:type="dxa"/>
            <w:tcBorders>
              <w:top w:val="nil"/>
              <w:left w:val="nil"/>
              <w:bottom w:val="nil"/>
              <w:right w:val="nil"/>
            </w:tcBorders>
            <w:shd w:val="clear" w:color="000000" w:fill="FCE9EC"/>
            <w:noWrap/>
            <w:vAlign w:val="center"/>
            <w:hideMark/>
          </w:tcPr>
          <w:p w14:paraId="70128F6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1.3</w:t>
            </w:r>
          </w:p>
        </w:tc>
      </w:tr>
      <w:tr w:rsidR="005E2A38" w:rsidRPr="005E2A38" w14:paraId="286734D6" w14:textId="77777777" w:rsidTr="005E2A38">
        <w:trPr>
          <w:trHeight w:val="290"/>
        </w:trPr>
        <w:tc>
          <w:tcPr>
            <w:tcW w:w="3560" w:type="dxa"/>
            <w:tcBorders>
              <w:top w:val="nil"/>
              <w:left w:val="nil"/>
              <w:bottom w:val="nil"/>
              <w:right w:val="nil"/>
            </w:tcBorders>
            <w:shd w:val="clear" w:color="auto" w:fill="auto"/>
            <w:noWrap/>
            <w:vAlign w:val="center"/>
            <w:hideMark/>
          </w:tcPr>
          <w:p w14:paraId="783ED232"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IT professionals</w:t>
            </w:r>
          </w:p>
        </w:tc>
        <w:tc>
          <w:tcPr>
            <w:tcW w:w="1660" w:type="dxa"/>
            <w:tcBorders>
              <w:top w:val="nil"/>
              <w:left w:val="nil"/>
              <w:bottom w:val="nil"/>
              <w:right w:val="nil"/>
            </w:tcBorders>
            <w:shd w:val="clear" w:color="000000" w:fill="F98E90"/>
            <w:noWrap/>
            <w:vAlign w:val="center"/>
            <w:hideMark/>
          </w:tcPr>
          <w:p w14:paraId="1D12AED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25.5</w:t>
            </w:r>
          </w:p>
        </w:tc>
        <w:tc>
          <w:tcPr>
            <w:tcW w:w="1480" w:type="dxa"/>
            <w:tcBorders>
              <w:top w:val="nil"/>
              <w:left w:val="nil"/>
              <w:bottom w:val="nil"/>
              <w:right w:val="nil"/>
            </w:tcBorders>
            <w:shd w:val="clear" w:color="000000" w:fill="FBD0D3"/>
            <w:noWrap/>
            <w:vAlign w:val="center"/>
            <w:hideMark/>
          </w:tcPr>
          <w:p w14:paraId="70C95C1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3.1</w:t>
            </w:r>
          </w:p>
        </w:tc>
        <w:tc>
          <w:tcPr>
            <w:tcW w:w="960" w:type="dxa"/>
            <w:tcBorders>
              <w:top w:val="nil"/>
              <w:left w:val="nil"/>
              <w:bottom w:val="nil"/>
              <w:right w:val="nil"/>
            </w:tcBorders>
            <w:shd w:val="clear" w:color="000000" w:fill="FCFCFF"/>
            <w:noWrap/>
            <w:vAlign w:val="center"/>
            <w:hideMark/>
          </w:tcPr>
          <w:p w14:paraId="77DDF7B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1.8</w:t>
            </w:r>
          </w:p>
        </w:tc>
        <w:tc>
          <w:tcPr>
            <w:tcW w:w="1240" w:type="dxa"/>
            <w:tcBorders>
              <w:top w:val="nil"/>
              <w:left w:val="nil"/>
              <w:bottom w:val="nil"/>
              <w:right w:val="nil"/>
            </w:tcBorders>
            <w:shd w:val="clear" w:color="000000" w:fill="FCFCFF"/>
            <w:noWrap/>
            <w:vAlign w:val="center"/>
            <w:hideMark/>
          </w:tcPr>
          <w:p w14:paraId="1974943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0.6</w:t>
            </w:r>
          </w:p>
        </w:tc>
      </w:tr>
      <w:tr w:rsidR="005E2A38" w:rsidRPr="005E2A38" w14:paraId="68DED73F" w14:textId="77777777" w:rsidTr="005E2A38">
        <w:trPr>
          <w:trHeight w:val="290"/>
        </w:trPr>
        <w:tc>
          <w:tcPr>
            <w:tcW w:w="3560" w:type="dxa"/>
            <w:tcBorders>
              <w:top w:val="nil"/>
              <w:left w:val="nil"/>
              <w:bottom w:val="nil"/>
              <w:right w:val="nil"/>
            </w:tcBorders>
            <w:shd w:val="clear" w:color="auto" w:fill="auto"/>
            <w:noWrap/>
            <w:vAlign w:val="center"/>
            <w:hideMark/>
          </w:tcPr>
          <w:p w14:paraId="1A62BF53"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Academics in higher education</w:t>
            </w:r>
          </w:p>
        </w:tc>
        <w:tc>
          <w:tcPr>
            <w:tcW w:w="1660" w:type="dxa"/>
            <w:tcBorders>
              <w:top w:val="nil"/>
              <w:left w:val="nil"/>
              <w:bottom w:val="nil"/>
              <w:right w:val="nil"/>
            </w:tcBorders>
            <w:shd w:val="clear" w:color="000000" w:fill="FA9194"/>
            <w:noWrap/>
            <w:vAlign w:val="center"/>
            <w:hideMark/>
          </w:tcPr>
          <w:p w14:paraId="595294DD"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25.3</w:t>
            </w:r>
          </w:p>
        </w:tc>
        <w:tc>
          <w:tcPr>
            <w:tcW w:w="1480" w:type="dxa"/>
            <w:tcBorders>
              <w:top w:val="nil"/>
              <w:left w:val="nil"/>
              <w:bottom w:val="nil"/>
              <w:right w:val="nil"/>
            </w:tcBorders>
            <w:shd w:val="clear" w:color="000000" w:fill="FA9D9F"/>
            <w:noWrap/>
            <w:vAlign w:val="center"/>
            <w:hideMark/>
          </w:tcPr>
          <w:p w14:paraId="5025C796"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4.6</w:t>
            </w:r>
          </w:p>
        </w:tc>
        <w:tc>
          <w:tcPr>
            <w:tcW w:w="960" w:type="dxa"/>
            <w:tcBorders>
              <w:top w:val="nil"/>
              <w:left w:val="nil"/>
              <w:bottom w:val="nil"/>
              <w:right w:val="nil"/>
            </w:tcBorders>
            <w:shd w:val="clear" w:color="000000" w:fill="FBCED1"/>
            <w:noWrap/>
            <w:vAlign w:val="center"/>
            <w:hideMark/>
          </w:tcPr>
          <w:p w14:paraId="5466B58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4.2</w:t>
            </w:r>
          </w:p>
        </w:tc>
        <w:tc>
          <w:tcPr>
            <w:tcW w:w="1240" w:type="dxa"/>
            <w:tcBorders>
              <w:top w:val="nil"/>
              <w:left w:val="nil"/>
              <w:bottom w:val="nil"/>
              <w:right w:val="nil"/>
            </w:tcBorders>
            <w:shd w:val="clear" w:color="000000" w:fill="FBD3D6"/>
            <w:noWrap/>
            <w:vAlign w:val="center"/>
            <w:hideMark/>
          </w:tcPr>
          <w:p w14:paraId="034E2B46"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2.1</w:t>
            </w:r>
          </w:p>
        </w:tc>
      </w:tr>
      <w:tr w:rsidR="005E2A38" w:rsidRPr="005E2A38" w14:paraId="66DDAB51" w14:textId="77777777" w:rsidTr="005E2A38">
        <w:trPr>
          <w:trHeight w:val="290"/>
        </w:trPr>
        <w:tc>
          <w:tcPr>
            <w:tcW w:w="3560" w:type="dxa"/>
            <w:tcBorders>
              <w:top w:val="nil"/>
              <w:left w:val="nil"/>
              <w:bottom w:val="nil"/>
              <w:right w:val="nil"/>
            </w:tcBorders>
            <w:shd w:val="clear" w:color="auto" w:fill="auto"/>
            <w:noWrap/>
            <w:vAlign w:val="center"/>
            <w:hideMark/>
          </w:tcPr>
          <w:p w14:paraId="47F47C48"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Social workers</w:t>
            </w:r>
          </w:p>
        </w:tc>
        <w:tc>
          <w:tcPr>
            <w:tcW w:w="1660" w:type="dxa"/>
            <w:tcBorders>
              <w:top w:val="nil"/>
              <w:left w:val="nil"/>
              <w:bottom w:val="nil"/>
              <w:right w:val="nil"/>
            </w:tcBorders>
            <w:shd w:val="clear" w:color="000000" w:fill="FAA2A5"/>
            <w:noWrap/>
            <w:vAlign w:val="center"/>
            <w:hideMark/>
          </w:tcPr>
          <w:p w14:paraId="0950B25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24.2</w:t>
            </w:r>
          </w:p>
        </w:tc>
        <w:tc>
          <w:tcPr>
            <w:tcW w:w="1480" w:type="dxa"/>
            <w:tcBorders>
              <w:top w:val="nil"/>
              <w:left w:val="nil"/>
              <w:bottom w:val="nil"/>
              <w:right w:val="nil"/>
            </w:tcBorders>
            <w:shd w:val="clear" w:color="000000" w:fill="FA9D9F"/>
            <w:noWrap/>
            <w:vAlign w:val="center"/>
            <w:hideMark/>
          </w:tcPr>
          <w:p w14:paraId="77D5B74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4.6</w:t>
            </w:r>
          </w:p>
        </w:tc>
        <w:tc>
          <w:tcPr>
            <w:tcW w:w="960" w:type="dxa"/>
            <w:tcBorders>
              <w:top w:val="nil"/>
              <w:left w:val="nil"/>
              <w:bottom w:val="nil"/>
              <w:right w:val="nil"/>
            </w:tcBorders>
            <w:shd w:val="clear" w:color="000000" w:fill="F8696B"/>
            <w:noWrap/>
            <w:vAlign w:val="center"/>
            <w:hideMark/>
          </w:tcPr>
          <w:p w14:paraId="5CE5D1B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9.4</w:t>
            </w:r>
          </w:p>
        </w:tc>
        <w:tc>
          <w:tcPr>
            <w:tcW w:w="1240" w:type="dxa"/>
            <w:tcBorders>
              <w:top w:val="nil"/>
              <w:left w:val="nil"/>
              <w:bottom w:val="nil"/>
              <w:right w:val="nil"/>
            </w:tcBorders>
            <w:shd w:val="clear" w:color="000000" w:fill="F8696B"/>
            <w:noWrap/>
            <w:vAlign w:val="center"/>
            <w:hideMark/>
          </w:tcPr>
          <w:p w14:paraId="77AA99DD"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5.9</w:t>
            </w:r>
          </w:p>
        </w:tc>
      </w:tr>
      <w:tr w:rsidR="005E2A38" w:rsidRPr="005E2A38" w14:paraId="5E36D46E" w14:textId="77777777" w:rsidTr="005E2A38">
        <w:trPr>
          <w:trHeight w:val="290"/>
        </w:trPr>
        <w:tc>
          <w:tcPr>
            <w:tcW w:w="3560" w:type="dxa"/>
            <w:tcBorders>
              <w:top w:val="nil"/>
              <w:left w:val="nil"/>
              <w:bottom w:val="nil"/>
              <w:right w:val="nil"/>
            </w:tcBorders>
            <w:shd w:val="clear" w:color="auto" w:fill="auto"/>
            <w:noWrap/>
            <w:vAlign w:val="center"/>
            <w:hideMark/>
          </w:tcPr>
          <w:p w14:paraId="61024254"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Graphic designers</w:t>
            </w:r>
          </w:p>
        </w:tc>
        <w:tc>
          <w:tcPr>
            <w:tcW w:w="1660" w:type="dxa"/>
            <w:tcBorders>
              <w:top w:val="nil"/>
              <w:left w:val="nil"/>
              <w:bottom w:val="nil"/>
              <w:right w:val="nil"/>
            </w:tcBorders>
            <w:shd w:val="clear" w:color="000000" w:fill="FAA4A6"/>
            <w:noWrap/>
            <w:vAlign w:val="center"/>
            <w:hideMark/>
          </w:tcPr>
          <w:p w14:paraId="2EB76CA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24.1</w:t>
            </w:r>
          </w:p>
        </w:tc>
        <w:tc>
          <w:tcPr>
            <w:tcW w:w="1480" w:type="dxa"/>
            <w:tcBorders>
              <w:top w:val="nil"/>
              <w:left w:val="nil"/>
              <w:bottom w:val="nil"/>
              <w:right w:val="nil"/>
            </w:tcBorders>
            <w:shd w:val="clear" w:color="000000" w:fill="FBC2C5"/>
            <w:noWrap/>
            <w:vAlign w:val="center"/>
            <w:hideMark/>
          </w:tcPr>
          <w:p w14:paraId="4DD112B9"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3.5</w:t>
            </w:r>
          </w:p>
        </w:tc>
        <w:tc>
          <w:tcPr>
            <w:tcW w:w="960" w:type="dxa"/>
            <w:tcBorders>
              <w:top w:val="nil"/>
              <w:left w:val="nil"/>
              <w:bottom w:val="nil"/>
              <w:right w:val="nil"/>
            </w:tcBorders>
            <w:shd w:val="clear" w:color="000000" w:fill="FBD8DA"/>
            <w:noWrap/>
            <w:vAlign w:val="center"/>
            <w:hideMark/>
          </w:tcPr>
          <w:p w14:paraId="68C80FE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3.7</w:t>
            </w:r>
          </w:p>
        </w:tc>
        <w:tc>
          <w:tcPr>
            <w:tcW w:w="1240" w:type="dxa"/>
            <w:tcBorders>
              <w:top w:val="nil"/>
              <w:left w:val="nil"/>
              <w:bottom w:val="nil"/>
              <w:right w:val="nil"/>
            </w:tcBorders>
            <w:shd w:val="clear" w:color="000000" w:fill="FCEFF2"/>
            <w:noWrap/>
            <w:vAlign w:val="center"/>
            <w:hideMark/>
          </w:tcPr>
          <w:p w14:paraId="5E181DA9"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1.1</w:t>
            </w:r>
          </w:p>
        </w:tc>
      </w:tr>
      <w:tr w:rsidR="005E2A38" w:rsidRPr="005E2A38" w14:paraId="00587C40" w14:textId="77777777" w:rsidTr="005E2A38">
        <w:trPr>
          <w:trHeight w:val="290"/>
        </w:trPr>
        <w:tc>
          <w:tcPr>
            <w:tcW w:w="3560" w:type="dxa"/>
            <w:tcBorders>
              <w:top w:val="nil"/>
              <w:left w:val="nil"/>
              <w:bottom w:val="nil"/>
              <w:right w:val="nil"/>
            </w:tcBorders>
            <w:shd w:val="clear" w:color="auto" w:fill="auto"/>
            <w:noWrap/>
            <w:vAlign w:val="center"/>
            <w:hideMark/>
          </w:tcPr>
          <w:p w14:paraId="78805959"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Marketing associate professionals</w:t>
            </w:r>
          </w:p>
        </w:tc>
        <w:tc>
          <w:tcPr>
            <w:tcW w:w="1660" w:type="dxa"/>
            <w:tcBorders>
              <w:top w:val="nil"/>
              <w:left w:val="nil"/>
              <w:bottom w:val="nil"/>
              <w:right w:val="nil"/>
            </w:tcBorders>
            <w:shd w:val="clear" w:color="000000" w:fill="FAA5A8"/>
            <w:noWrap/>
            <w:vAlign w:val="center"/>
            <w:hideMark/>
          </w:tcPr>
          <w:p w14:paraId="6EF09FE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w:t>
            </w:r>
          </w:p>
        </w:tc>
        <w:tc>
          <w:tcPr>
            <w:tcW w:w="1480" w:type="dxa"/>
            <w:tcBorders>
              <w:top w:val="nil"/>
              <w:left w:val="nil"/>
              <w:bottom w:val="nil"/>
              <w:right w:val="nil"/>
            </w:tcBorders>
            <w:shd w:val="clear" w:color="000000" w:fill="FBBFC2"/>
            <w:noWrap/>
            <w:vAlign w:val="center"/>
            <w:hideMark/>
          </w:tcPr>
          <w:p w14:paraId="2033EC7D"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3.6</w:t>
            </w:r>
          </w:p>
        </w:tc>
        <w:tc>
          <w:tcPr>
            <w:tcW w:w="960" w:type="dxa"/>
            <w:tcBorders>
              <w:top w:val="nil"/>
              <w:left w:val="nil"/>
              <w:bottom w:val="nil"/>
              <w:right w:val="nil"/>
            </w:tcBorders>
            <w:shd w:val="clear" w:color="000000" w:fill="FCEBEE"/>
            <w:noWrap/>
            <w:vAlign w:val="center"/>
            <w:hideMark/>
          </w:tcPr>
          <w:p w14:paraId="03044377"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2.7</w:t>
            </w:r>
          </w:p>
        </w:tc>
        <w:tc>
          <w:tcPr>
            <w:tcW w:w="1240" w:type="dxa"/>
            <w:tcBorders>
              <w:top w:val="nil"/>
              <w:left w:val="nil"/>
              <w:bottom w:val="nil"/>
              <w:right w:val="nil"/>
            </w:tcBorders>
            <w:shd w:val="clear" w:color="000000" w:fill="FCECEF"/>
            <w:noWrap/>
            <w:vAlign w:val="center"/>
            <w:hideMark/>
          </w:tcPr>
          <w:p w14:paraId="559CEDB8"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1.2</w:t>
            </w:r>
          </w:p>
        </w:tc>
      </w:tr>
      <w:tr w:rsidR="005E2A38" w:rsidRPr="005E2A38" w14:paraId="40A92D16" w14:textId="77777777" w:rsidTr="005E2A38">
        <w:trPr>
          <w:trHeight w:val="290"/>
        </w:trPr>
        <w:tc>
          <w:tcPr>
            <w:tcW w:w="3560" w:type="dxa"/>
            <w:tcBorders>
              <w:top w:val="dotted" w:sz="4" w:space="0" w:color="auto"/>
              <w:left w:val="dotted" w:sz="4" w:space="0" w:color="auto"/>
              <w:bottom w:val="dotted" w:sz="4" w:space="0" w:color="auto"/>
              <w:right w:val="nil"/>
            </w:tcBorders>
            <w:shd w:val="clear" w:color="auto" w:fill="auto"/>
            <w:noWrap/>
            <w:vAlign w:val="center"/>
            <w:hideMark/>
          </w:tcPr>
          <w:p w14:paraId="5DA3438B" w14:textId="6403FEB3" w:rsidR="005E2A38" w:rsidRPr="005E2A38" w:rsidRDefault="005E2A38" w:rsidP="005E2A38">
            <w:pPr>
              <w:spacing w:after="0" w:line="240" w:lineRule="auto"/>
              <w:rPr>
                <w:rFonts w:ascii="Times New Roman" w:eastAsia="Times New Roman" w:hAnsi="Times New Roman" w:cs="Times New Roman"/>
                <w:color w:val="000000"/>
                <w:lang w:eastAsia="en-GB"/>
              </w:rPr>
            </w:pPr>
            <w:proofErr w:type="spellStart"/>
            <w:r w:rsidRPr="005E2A38">
              <w:rPr>
                <w:rFonts w:ascii="Times New Roman" w:eastAsia="Times New Roman" w:hAnsi="Times New Roman" w:cs="Times New Roman"/>
                <w:color w:val="000000"/>
                <w:lang w:eastAsia="en-GB"/>
              </w:rPr>
              <w:t>Headteacher</w:t>
            </w:r>
            <w:r w:rsidR="00AD2656">
              <w:rPr>
                <w:rFonts w:ascii="Times New Roman" w:eastAsia="Times New Roman" w:hAnsi="Times New Roman" w:cs="Times New Roman"/>
                <w:color w:val="000000"/>
                <w:lang w:eastAsia="en-GB"/>
              </w:rPr>
              <w:t>s</w:t>
            </w:r>
            <w:proofErr w:type="spellEnd"/>
          </w:p>
        </w:tc>
        <w:tc>
          <w:tcPr>
            <w:tcW w:w="1660" w:type="dxa"/>
            <w:tcBorders>
              <w:top w:val="dotted" w:sz="4" w:space="0" w:color="auto"/>
              <w:left w:val="nil"/>
              <w:bottom w:val="dotted" w:sz="4" w:space="0" w:color="auto"/>
              <w:right w:val="nil"/>
            </w:tcBorders>
            <w:shd w:val="clear" w:color="000000" w:fill="FAAEB1"/>
            <w:noWrap/>
            <w:vAlign w:val="center"/>
            <w:hideMark/>
          </w:tcPr>
          <w:p w14:paraId="5B63105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23.4</w:t>
            </w:r>
          </w:p>
        </w:tc>
        <w:tc>
          <w:tcPr>
            <w:tcW w:w="1480" w:type="dxa"/>
            <w:tcBorders>
              <w:top w:val="dotted" w:sz="4" w:space="0" w:color="auto"/>
              <w:left w:val="nil"/>
              <w:bottom w:val="dotted" w:sz="4" w:space="0" w:color="auto"/>
              <w:right w:val="nil"/>
            </w:tcBorders>
            <w:shd w:val="clear" w:color="000000" w:fill="FBD3D6"/>
            <w:noWrap/>
            <w:vAlign w:val="center"/>
            <w:hideMark/>
          </w:tcPr>
          <w:p w14:paraId="0277214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w:t>
            </w:r>
          </w:p>
        </w:tc>
        <w:tc>
          <w:tcPr>
            <w:tcW w:w="960" w:type="dxa"/>
            <w:tcBorders>
              <w:top w:val="dotted" w:sz="4" w:space="0" w:color="auto"/>
              <w:left w:val="nil"/>
              <w:bottom w:val="dotted" w:sz="4" w:space="0" w:color="auto"/>
              <w:right w:val="nil"/>
            </w:tcBorders>
            <w:shd w:val="clear" w:color="000000" w:fill="FCF3F6"/>
            <w:noWrap/>
            <w:vAlign w:val="center"/>
            <w:hideMark/>
          </w:tcPr>
          <w:p w14:paraId="2F44F07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2.3</w:t>
            </w:r>
          </w:p>
        </w:tc>
        <w:tc>
          <w:tcPr>
            <w:tcW w:w="1240" w:type="dxa"/>
            <w:tcBorders>
              <w:top w:val="dotted" w:sz="4" w:space="0" w:color="auto"/>
              <w:left w:val="nil"/>
              <w:bottom w:val="dotted" w:sz="4" w:space="0" w:color="auto"/>
              <w:right w:val="dotted" w:sz="4" w:space="0" w:color="auto"/>
            </w:tcBorders>
            <w:shd w:val="clear" w:color="000000" w:fill="FCDEE1"/>
            <w:noWrap/>
            <w:vAlign w:val="center"/>
            <w:hideMark/>
          </w:tcPr>
          <w:p w14:paraId="02CAFF1A"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1.7</w:t>
            </w:r>
          </w:p>
        </w:tc>
      </w:tr>
      <w:tr w:rsidR="005E2A38" w:rsidRPr="005E2A38" w14:paraId="6F7B49FD" w14:textId="77777777" w:rsidTr="005E2A38">
        <w:trPr>
          <w:trHeight w:val="290"/>
        </w:trPr>
        <w:tc>
          <w:tcPr>
            <w:tcW w:w="3560" w:type="dxa"/>
            <w:tcBorders>
              <w:top w:val="nil"/>
              <w:left w:val="dotted" w:sz="4" w:space="0" w:color="auto"/>
              <w:bottom w:val="dotted" w:sz="4" w:space="0" w:color="auto"/>
              <w:right w:val="nil"/>
            </w:tcBorders>
            <w:shd w:val="clear" w:color="auto" w:fill="auto"/>
            <w:noWrap/>
            <w:vAlign w:val="center"/>
            <w:hideMark/>
          </w:tcPr>
          <w:p w14:paraId="35337804" w14:textId="084F1556"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Secondary teacher</w:t>
            </w:r>
            <w:r w:rsidR="00AD2656">
              <w:rPr>
                <w:rFonts w:ascii="Times New Roman" w:eastAsia="Times New Roman" w:hAnsi="Times New Roman" w:cs="Times New Roman"/>
                <w:color w:val="000000"/>
                <w:lang w:eastAsia="en-GB"/>
              </w:rPr>
              <w:t>s</w:t>
            </w:r>
          </w:p>
        </w:tc>
        <w:tc>
          <w:tcPr>
            <w:tcW w:w="1660" w:type="dxa"/>
            <w:tcBorders>
              <w:top w:val="nil"/>
              <w:left w:val="nil"/>
              <w:bottom w:val="dotted" w:sz="4" w:space="0" w:color="auto"/>
              <w:right w:val="nil"/>
            </w:tcBorders>
            <w:shd w:val="clear" w:color="000000" w:fill="FAB1B4"/>
            <w:noWrap/>
            <w:vAlign w:val="center"/>
            <w:hideMark/>
          </w:tcPr>
          <w:p w14:paraId="129005D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23.2</w:t>
            </w:r>
          </w:p>
        </w:tc>
        <w:tc>
          <w:tcPr>
            <w:tcW w:w="1480" w:type="dxa"/>
            <w:tcBorders>
              <w:top w:val="nil"/>
              <w:left w:val="nil"/>
              <w:bottom w:val="dotted" w:sz="4" w:space="0" w:color="auto"/>
              <w:right w:val="nil"/>
            </w:tcBorders>
            <w:shd w:val="clear" w:color="000000" w:fill="FBC6C8"/>
            <w:noWrap/>
            <w:vAlign w:val="center"/>
            <w:hideMark/>
          </w:tcPr>
          <w:p w14:paraId="3A3C375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3.4</w:t>
            </w:r>
          </w:p>
        </w:tc>
        <w:tc>
          <w:tcPr>
            <w:tcW w:w="960" w:type="dxa"/>
            <w:tcBorders>
              <w:top w:val="nil"/>
              <w:left w:val="nil"/>
              <w:bottom w:val="dotted" w:sz="4" w:space="0" w:color="auto"/>
              <w:right w:val="nil"/>
            </w:tcBorders>
            <w:shd w:val="clear" w:color="000000" w:fill="FBB5B7"/>
            <w:noWrap/>
            <w:vAlign w:val="center"/>
            <w:hideMark/>
          </w:tcPr>
          <w:p w14:paraId="332497B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5.5</w:t>
            </w:r>
          </w:p>
        </w:tc>
        <w:tc>
          <w:tcPr>
            <w:tcW w:w="1240" w:type="dxa"/>
            <w:tcBorders>
              <w:top w:val="nil"/>
              <w:left w:val="nil"/>
              <w:bottom w:val="dotted" w:sz="4" w:space="0" w:color="auto"/>
              <w:right w:val="dotted" w:sz="4" w:space="0" w:color="auto"/>
            </w:tcBorders>
            <w:shd w:val="clear" w:color="000000" w:fill="FBB4B7"/>
            <w:noWrap/>
            <w:vAlign w:val="center"/>
            <w:hideMark/>
          </w:tcPr>
          <w:p w14:paraId="1DDE2D44"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3.2</w:t>
            </w:r>
          </w:p>
        </w:tc>
      </w:tr>
      <w:tr w:rsidR="005E2A38" w:rsidRPr="005E2A38" w14:paraId="5EF49384" w14:textId="77777777" w:rsidTr="005E2A38">
        <w:trPr>
          <w:trHeight w:val="290"/>
        </w:trPr>
        <w:tc>
          <w:tcPr>
            <w:tcW w:w="3560" w:type="dxa"/>
            <w:tcBorders>
              <w:top w:val="nil"/>
              <w:left w:val="nil"/>
              <w:bottom w:val="nil"/>
              <w:right w:val="nil"/>
            </w:tcBorders>
            <w:shd w:val="clear" w:color="auto" w:fill="auto"/>
            <w:noWrap/>
            <w:vAlign w:val="center"/>
            <w:hideMark/>
          </w:tcPr>
          <w:p w14:paraId="67D26944"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HR officers</w:t>
            </w:r>
          </w:p>
        </w:tc>
        <w:tc>
          <w:tcPr>
            <w:tcW w:w="1660" w:type="dxa"/>
            <w:tcBorders>
              <w:top w:val="nil"/>
              <w:left w:val="nil"/>
              <w:bottom w:val="nil"/>
              <w:right w:val="nil"/>
            </w:tcBorders>
            <w:shd w:val="clear" w:color="000000" w:fill="FAB1B4"/>
            <w:noWrap/>
            <w:vAlign w:val="center"/>
            <w:hideMark/>
          </w:tcPr>
          <w:p w14:paraId="0E1D475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23.2</w:t>
            </w:r>
          </w:p>
        </w:tc>
        <w:tc>
          <w:tcPr>
            <w:tcW w:w="1480" w:type="dxa"/>
            <w:tcBorders>
              <w:top w:val="nil"/>
              <w:left w:val="nil"/>
              <w:bottom w:val="nil"/>
              <w:right w:val="nil"/>
            </w:tcBorders>
            <w:shd w:val="clear" w:color="000000" w:fill="FBB8BB"/>
            <w:noWrap/>
            <w:vAlign w:val="center"/>
            <w:hideMark/>
          </w:tcPr>
          <w:p w14:paraId="1447D00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3.8</w:t>
            </w:r>
          </w:p>
        </w:tc>
        <w:tc>
          <w:tcPr>
            <w:tcW w:w="960" w:type="dxa"/>
            <w:tcBorders>
              <w:top w:val="nil"/>
              <w:left w:val="nil"/>
              <w:bottom w:val="nil"/>
              <w:right w:val="nil"/>
            </w:tcBorders>
            <w:shd w:val="clear" w:color="000000" w:fill="FCE3E6"/>
            <w:noWrap/>
            <w:vAlign w:val="center"/>
            <w:hideMark/>
          </w:tcPr>
          <w:p w14:paraId="2205093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3.1</w:t>
            </w:r>
          </w:p>
        </w:tc>
        <w:tc>
          <w:tcPr>
            <w:tcW w:w="1240" w:type="dxa"/>
            <w:tcBorders>
              <w:top w:val="nil"/>
              <w:left w:val="nil"/>
              <w:bottom w:val="nil"/>
              <w:right w:val="nil"/>
            </w:tcBorders>
            <w:shd w:val="clear" w:color="000000" w:fill="FCDEE1"/>
            <w:noWrap/>
            <w:vAlign w:val="center"/>
            <w:hideMark/>
          </w:tcPr>
          <w:p w14:paraId="364061C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1.7</w:t>
            </w:r>
          </w:p>
        </w:tc>
      </w:tr>
      <w:tr w:rsidR="005E2A38" w:rsidRPr="005E2A38" w14:paraId="240D4BCE" w14:textId="77777777" w:rsidTr="005E2A38">
        <w:trPr>
          <w:trHeight w:val="290"/>
        </w:trPr>
        <w:tc>
          <w:tcPr>
            <w:tcW w:w="3560" w:type="dxa"/>
            <w:tcBorders>
              <w:top w:val="dotted" w:sz="4" w:space="0" w:color="auto"/>
              <w:left w:val="dotted" w:sz="4" w:space="0" w:color="auto"/>
              <w:bottom w:val="dotted" w:sz="4" w:space="0" w:color="auto"/>
              <w:right w:val="nil"/>
            </w:tcBorders>
            <w:shd w:val="clear" w:color="auto" w:fill="auto"/>
            <w:noWrap/>
            <w:vAlign w:val="center"/>
            <w:hideMark/>
          </w:tcPr>
          <w:p w14:paraId="67CC28EF" w14:textId="5CF244D4"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Primary teacher</w:t>
            </w:r>
            <w:r w:rsidR="00AD2656">
              <w:rPr>
                <w:rFonts w:ascii="Times New Roman" w:eastAsia="Times New Roman" w:hAnsi="Times New Roman" w:cs="Times New Roman"/>
                <w:color w:val="000000"/>
                <w:lang w:eastAsia="en-GB"/>
              </w:rPr>
              <w:t>s</w:t>
            </w:r>
          </w:p>
        </w:tc>
        <w:tc>
          <w:tcPr>
            <w:tcW w:w="1660" w:type="dxa"/>
            <w:tcBorders>
              <w:top w:val="dotted" w:sz="4" w:space="0" w:color="auto"/>
              <w:left w:val="nil"/>
              <w:bottom w:val="dotted" w:sz="4" w:space="0" w:color="auto"/>
              <w:right w:val="nil"/>
            </w:tcBorders>
            <w:shd w:val="clear" w:color="000000" w:fill="FBBEC0"/>
            <w:noWrap/>
            <w:vAlign w:val="center"/>
            <w:hideMark/>
          </w:tcPr>
          <w:p w14:paraId="1E4B4DF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22.4</w:t>
            </w:r>
          </w:p>
        </w:tc>
        <w:tc>
          <w:tcPr>
            <w:tcW w:w="1480" w:type="dxa"/>
            <w:tcBorders>
              <w:top w:val="dotted" w:sz="4" w:space="0" w:color="auto"/>
              <w:left w:val="nil"/>
              <w:bottom w:val="dotted" w:sz="4" w:space="0" w:color="auto"/>
              <w:right w:val="nil"/>
            </w:tcBorders>
            <w:shd w:val="clear" w:color="000000" w:fill="FBBFC2"/>
            <w:noWrap/>
            <w:vAlign w:val="center"/>
            <w:hideMark/>
          </w:tcPr>
          <w:p w14:paraId="49F9C65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3.6</w:t>
            </w:r>
          </w:p>
        </w:tc>
        <w:tc>
          <w:tcPr>
            <w:tcW w:w="960" w:type="dxa"/>
            <w:tcBorders>
              <w:top w:val="dotted" w:sz="4" w:space="0" w:color="auto"/>
              <w:left w:val="nil"/>
              <w:bottom w:val="dotted" w:sz="4" w:space="0" w:color="auto"/>
              <w:right w:val="nil"/>
            </w:tcBorders>
            <w:shd w:val="clear" w:color="000000" w:fill="FBC4C7"/>
            <w:noWrap/>
            <w:vAlign w:val="center"/>
            <w:hideMark/>
          </w:tcPr>
          <w:p w14:paraId="0E3B668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4.7</w:t>
            </w:r>
          </w:p>
        </w:tc>
        <w:tc>
          <w:tcPr>
            <w:tcW w:w="1240" w:type="dxa"/>
            <w:tcBorders>
              <w:top w:val="dotted" w:sz="4" w:space="0" w:color="auto"/>
              <w:left w:val="nil"/>
              <w:bottom w:val="dotted" w:sz="4" w:space="0" w:color="auto"/>
              <w:right w:val="dotted" w:sz="4" w:space="0" w:color="auto"/>
            </w:tcBorders>
            <w:shd w:val="clear" w:color="000000" w:fill="FBBABC"/>
            <w:noWrap/>
            <w:vAlign w:val="center"/>
            <w:hideMark/>
          </w:tcPr>
          <w:p w14:paraId="17DA12BB"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w:t>
            </w:r>
          </w:p>
        </w:tc>
      </w:tr>
      <w:tr w:rsidR="005E2A38" w:rsidRPr="005E2A38" w14:paraId="0284FECE" w14:textId="77777777" w:rsidTr="005E2A38">
        <w:trPr>
          <w:trHeight w:val="290"/>
        </w:trPr>
        <w:tc>
          <w:tcPr>
            <w:tcW w:w="3560" w:type="dxa"/>
            <w:tcBorders>
              <w:top w:val="nil"/>
              <w:left w:val="nil"/>
              <w:bottom w:val="nil"/>
              <w:right w:val="nil"/>
            </w:tcBorders>
            <w:shd w:val="clear" w:color="auto" w:fill="auto"/>
            <w:noWrap/>
            <w:vAlign w:val="center"/>
            <w:hideMark/>
          </w:tcPr>
          <w:p w14:paraId="2D21D655"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Journalists</w:t>
            </w:r>
          </w:p>
        </w:tc>
        <w:tc>
          <w:tcPr>
            <w:tcW w:w="1660" w:type="dxa"/>
            <w:tcBorders>
              <w:top w:val="nil"/>
              <w:left w:val="nil"/>
              <w:bottom w:val="nil"/>
              <w:right w:val="nil"/>
            </w:tcBorders>
            <w:shd w:val="clear" w:color="000000" w:fill="FBBEC0"/>
            <w:noWrap/>
            <w:vAlign w:val="center"/>
            <w:hideMark/>
          </w:tcPr>
          <w:p w14:paraId="06285313"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22.4</w:t>
            </w:r>
          </w:p>
        </w:tc>
        <w:tc>
          <w:tcPr>
            <w:tcW w:w="1480" w:type="dxa"/>
            <w:tcBorders>
              <w:top w:val="nil"/>
              <w:left w:val="nil"/>
              <w:bottom w:val="nil"/>
              <w:right w:val="nil"/>
            </w:tcBorders>
            <w:shd w:val="clear" w:color="000000" w:fill="FAB1B4"/>
            <w:noWrap/>
            <w:vAlign w:val="center"/>
            <w:hideMark/>
          </w:tcPr>
          <w:p w14:paraId="5407AB5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4</w:t>
            </w:r>
          </w:p>
        </w:tc>
        <w:tc>
          <w:tcPr>
            <w:tcW w:w="960" w:type="dxa"/>
            <w:tcBorders>
              <w:top w:val="nil"/>
              <w:left w:val="nil"/>
              <w:bottom w:val="nil"/>
              <w:right w:val="nil"/>
            </w:tcBorders>
            <w:shd w:val="clear" w:color="000000" w:fill="FCDFE2"/>
            <w:noWrap/>
            <w:vAlign w:val="center"/>
            <w:hideMark/>
          </w:tcPr>
          <w:p w14:paraId="4545CFBF"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3.3</w:t>
            </w:r>
          </w:p>
        </w:tc>
        <w:tc>
          <w:tcPr>
            <w:tcW w:w="1240" w:type="dxa"/>
            <w:tcBorders>
              <w:top w:val="nil"/>
              <w:left w:val="nil"/>
              <w:bottom w:val="nil"/>
              <w:right w:val="nil"/>
            </w:tcBorders>
            <w:shd w:val="clear" w:color="000000" w:fill="FCE6E9"/>
            <w:noWrap/>
            <w:vAlign w:val="center"/>
            <w:hideMark/>
          </w:tcPr>
          <w:p w14:paraId="223FBEBC"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1.4</w:t>
            </w:r>
          </w:p>
        </w:tc>
      </w:tr>
      <w:tr w:rsidR="005E2A38" w:rsidRPr="005E2A38" w14:paraId="16F33A7F" w14:textId="77777777" w:rsidTr="005E2A38">
        <w:trPr>
          <w:trHeight w:val="290"/>
        </w:trPr>
        <w:tc>
          <w:tcPr>
            <w:tcW w:w="3560" w:type="dxa"/>
            <w:tcBorders>
              <w:top w:val="nil"/>
              <w:left w:val="nil"/>
              <w:bottom w:val="nil"/>
              <w:right w:val="nil"/>
            </w:tcBorders>
            <w:shd w:val="clear" w:color="auto" w:fill="auto"/>
            <w:noWrap/>
            <w:vAlign w:val="center"/>
            <w:hideMark/>
          </w:tcPr>
          <w:p w14:paraId="432FC368" w14:textId="554768E2"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Accountant</w:t>
            </w:r>
            <w:r w:rsidR="00AD2656">
              <w:rPr>
                <w:rFonts w:ascii="Times New Roman" w:eastAsia="Times New Roman" w:hAnsi="Times New Roman" w:cs="Times New Roman"/>
                <w:color w:val="000000"/>
                <w:lang w:eastAsia="en-GB"/>
              </w:rPr>
              <w:t>s</w:t>
            </w:r>
          </w:p>
        </w:tc>
        <w:tc>
          <w:tcPr>
            <w:tcW w:w="1660" w:type="dxa"/>
            <w:tcBorders>
              <w:top w:val="nil"/>
              <w:left w:val="nil"/>
              <w:bottom w:val="nil"/>
              <w:right w:val="nil"/>
            </w:tcBorders>
            <w:shd w:val="clear" w:color="000000" w:fill="FCD8DB"/>
            <w:noWrap/>
            <w:vAlign w:val="center"/>
            <w:hideMark/>
          </w:tcPr>
          <w:p w14:paraId="1A684AD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20.7</w:t>
            </w:r>
          </w:p>
        </w:tc>
        <w:tc>
          <w:tcPr>
            <w:tcW w:w="1480" w:type="dxa"/>
            <w:tcBorders>
              <w:top w:val="nil"/>
              <w:left w:val="nil"/>
              <w:bottom w:val="nil"/>
              <w:right w:val="nil"/>
            </w:tcBorders>
            <w:shd w:val="clear" w:color="000000" w:fill="FCF2F5"/>
            <w:noWrap/>
            <w:vAlign w:val="center"/>
            <w:hideMark/>
          </w:tcPr>
          <w:p w14:paraId="2E0B233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2.1</w:t>
            </w:r>
          </w:p>
        </w:tc>
        <w:tc>
          <w:tcPr>
            <w:tcW w:w="960" w:type="dxa"/>
            <w:tcBorders>
              <w:top w:val="nil"/>
              <w:left w:val="nil"/>
              <w:bottom w:val="nil"/>
              <w:right w:val="nil"/>
            </w:tcBorders>
            <w:shd w:val="clear" w:color="000000" w:fill="FCF9FC"/>
            <w:noWrap/>
            <w:vAlign w:val="center"/>
            <w:hideMark/>
          </w:tcPr>
          <w:p w14:paraId="7C5204E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w:t>
            </w:r>
          </w:p>
        </w:tc>
        <w:tc>
          <w:tcPr>
            <w:tcW w:w="1240" w:type="dxa"/>
            <w:tcBorders>
              <w:top w:val="nil"/>
              <w:left w:val="nil"/>
              <w:bottom w:val="nil"/>
              <w:right w:val="nil"/>
            </w:tcBorders>
            <w:shd w:val="clear" w:color="000000" w:fill="FCEFF2"/>
            <w:noWrap/>
            <w:vAlign w:val="center"/>
            <w:hideMark/>
          </w:tcPr>
          <w:p w14:paraId="71925C7E"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1.1</w:t>
            </w:r>
          </w:p>
        </w:tc>
      </w:tr>
      <w:tr w:rsidR="005E2A38" w:rsidRPr="005E2A38" w14:paraId="1B25E069" w14:textId="77777777" w:rsidTr="005E2A38">
        <w:trPr>
          <w:trHeight w:val="290"/>
        </w:trPr>
        <w:tc>
          <w:tcPr>
            <w:tcW w:w="3560" w:type="dxa"/>
            <w:tcBorders>
              <w:top w:val="nil"/>
              <w:left w:val="nil"/>
              <w:bottom w:val="nil"/>
              <w:right w:val="nil"/>
            </w:tcBorders>
            <w:shd w:val="clear" w:color="auto" w:fill="auto"/>
            <w:noWrap/>
            <w:vAlign w:val="center"/>
            <w:hideMark/>
          </w:tcPr>
          <w:p w14:paraId="0C17E332"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Solicitors</w:t>
            </w:r>
          </w:p>
        </w:tc>
        <w:tc>
          <w:tcPr>
            <w:tcW w:w="1660" w:type="dxa"/>
            <w:tcBorders>
              <w:top w:val="nil"/>
              <w:left w:val="nil"/>
              <w:bottom w:val="nil"/>
              <w:right w:val="nil"/>
            </w:tcBorders>
            <w:shd w:val="clear" w:color="000000" w:fill="FCD8DB"/>
            <w:noWrap/>
            <w:vAlign w:val="center"/>
            <w:hideMark/>
          </w:tcPr>
          <w:p w14:paraId="0B73AC77"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20.7</w:t>
            </w:r>
          </w:p>
        </w:tc>
        <w:tc>
          <w:tcPr>
            <w:tcW w:w="1480" w:type="dxa"/>
            <w:tcBorders>
              <w:top w:val="nil"/>
              <w:left w:val="nil"/>
              <w:bottom w:val="nil"/>
              <w:right w:val="nil"/>
            </w:tcBorders>
            <w:shd w:val="clear" w:color="000000" w:fill="FBBCBE"/>
            <w:noWrap/>
            <w:vAlign w:val="center"/>
            <w:hideMark/>
          </w:tcPr>
          <w:p w14:paraId="6FAC06A7"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3.7</w:t>
            </w:r>
          </w:p>
        </w:tc>
        <w:tc>
          <w:tcPr>
            <w:tcW w:w="960" w:type="dxa"/>
            <w:tcBorders>
              <w:top w:val="nil"/>
              <w:left w:val="nil"/>
              <w:bottom w:val="nil"/>
              <w:right w:val="nil"/>
            </w:tcBorders>
            <w:shd w:val="clear" w:color="000000" w:fill="FCDFE2"/>
            <w:noWrap/>
            <w:vAlign w:val="center"/>
            <w:hideMark/>
          </w:tcPr>
          <w:p w14:paraId="3588221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3.3</w:t>
            </w:r>
          </w:p>
        </w:tc>
        <w:tc>
          <w:tcPr>
            <w:tcW w:w="1240" w:type="dxa"/>
            <w:tcBorders>
              <w:top w:val="nil"/>
              <w:left w:val="nil"/>
              <w:bottom w:val="nil"/>
              <w:right w:val="nil"/>
            </w:tcBorders>
            <w:shd w:val="clear" w:color="000000" w:fill="FCE4E6"/>
            <w:noWrap/>
            <w:vAlign w:val="center"/>
            <w:hideMark/>
          </w:tcPr>
          <w:p w14:paraId="428FA125"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1.5</w:t>
            </w:r>
          </w:p>
        </w:tc>
      </w:tr>
      <w:tr w:rsidR="005E2A38" w:rsidRPr="005E2A38" w14:paraId="04C1DD6B" w14:textId="77777777" w:rsidTr="005E2A38">
        <w:trPr>
          <w:trHeight w:val="290"/>
        </w:trPr>
        <w:tc>
          <w:tcPr>
            <w:tcW w:w="3560" w:type="dxa"/>
            <w:tcBorders>
              <w:top w:val="nil"/>
              <w:left w:val="nil"/>
              <w:bottom w:val="nil"/>
              <w:right w:val="nil"/>
            </w:tcBorders>
            <w:shd w:val="clear" w:color="auto" w:fill="auto"/>
            <w:noWrap/>
            <w:vAlign w:val="center"/>
            <w:hideMark/>
          </w:tcPr>
          <w:p w14:paraId="171ED910"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Management consultants</w:t>
            </w:r>
          </w:p>
        </w:tc>
        <w:tc>
          <w:tcPr>
            <w:tcW w:w="1660" w:type="dxa"/>
            <w:tcBorders>
              <w:top w:val="nil"/>
              <w:left w:val="nil"/>
              <w:bottom w:val="nil"/>
              <w:right w:val="nil"/>
            </w:tcBorders>
            <w:shd w:val="clear" w:color="000000" w:fill="FCD9DC"/>
            <w:noWrap/>
            <w:vAlign w:val="center"/>
            <w:hideMark/>
          </w:tcPr>
          <w:p w14:paraId="157A0824"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20.6</w:t>
            </w:r>
          </w:p>
        </w:tc>
        <w:tc>
          <w:tcPr>
            <w:tcW w:w="1480" w:type="dxa"/>
            <w:tcBorders>
              <w:top w:val="nil"/>
              <w:left w:val="nil"/>
              <w:bottom w:val="nil"/>
              <w:right w:val="nil"/>
            </w:tcBorders>
            <w:shd w:val="clear" w:color="000000" w:fill="FCF2F5"/>
            <w:noWrap/>
            <w:vAlign w:val="center"/>
            <w:hideMark/>
          </w:tcPr>
          <w:p w14:paraId="059711F1"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2.1</w:t>
            </w:r>
          </w:p>
        </w:tc>
        <w:tc>
          <w:tcPr>
            <w:tcW w:w="960" w:type="dxa"/>
            <w:tcBorders>
              <w:top w:val="nil"/>
              <w:left w:val="nil"/>
              <w:bottom w:val="nil"/>
              <w:right w:val="nil"/>
            </w:tcBorders>
            <w:shd w:val="clear" w:color="000000" w:fill="FCDADC"/>
            <w:noWrap/>
            <w:vAlign w:val="center"/>
            <w:hideMark/>
          </w:tcPr>
          <w:p w14:paraId="0F97FB4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3.6</w:t>
            </w:r>
          </w:p>
        </w:tc>
        <w:tc>
          <w:tcPr>
            <w:tcW w:w="1240" w:type="dxa"/>
            <w:tcBorders>
              <w:top w:val="nil"/>
              <w:left w:val="nil"/>
              <w:bottom w:val="nil"/>
              <w:right w:val="nil"/>
            </w:tcBorders>
            <w:shd w:val="clear" w:color="000000" w:fill="FBCBCD"/>
            <w:noWrap/>
            <w:vAlign w:val="center"/>
            <w:hideMark/>
          </w:tcPr>
          <w:p w14:paraId="548EC900"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2.4</w:t>
            </w:r>
          </w:p>
        </w:tc>
      </w:tr>
      <w:tr w:rsidR="005E2A38" w:rsidRPr="005E2A38" w14:paraId="0D3FA233" w14:textId="77777777" w:rsidTr="005E2A38">
        <w:trPr>
          <w:trHeight w:val="300"/>
        </w:trPr>
        <w:tc>
          <w:tcPr>
            <w:tcW w:w="3560" w:type="dxa"/>
            <w:tcBorders>
              <w:top w:val="nil"/>
              <w:left w:val="nil"/>
              <w:bottom w:val="nil"/>
              <w:right w:val="nil"/>
            </w:tcBorders>
            <w:shd w:val="clear" w:color="auto" w:fill="auto"/>
            <w:noWrap/>
            <w:vAlign w:val="center"/>
            <w:hideMark/>
          </w:tcPr>
          <w:p w14:paraId="1C58123D" w14:textId="77777777" w:rsidR="005E2A38" w:rsidRPr="005E2A38" w:rsidRDefault="005E2A38" w:rsidP="005E2A38">
            <w:pPr>
              <w:spacing w:after="0" w:line="240" w:lineRule="auto"/>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Finance and investment analysts</w:t>
            </w:r>
          </w:p>
        </w:tc>
        <w:tc>
          <w:tcPr>
            <w:tcW w:w="1660" w:type="dxa"/>
            <w:tcBorders>
              <w:top w:val="nil"/>
              <w:left w:val="nil"/>
              <w:bottom w:val="nil"/>
              <w:right w:val="nil"/>
            </w:tcBorders>
            <w:shd w:val="clear" w:color="000000" w:fill="FCFCFF"/>
            <w:noWrap/>
            <w:vAlign w:val="center"/>
            <w:hideMark/>
          </w:tcPr>
          <w:p w14:paraId="79C062C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18.3</w:t>
            </w:r>
          </w:p>
        </w:tc>
        <w:tc>
          <w:tcPr>
            <w:tcW w:w="1480" w:type="dxa"/>
            <w:tcBorders>
              <w:top w:val="nil"/>
              <w:left w:val="nil"/>
              <w:bottom w:val="nil"/>
              <w:right w:val="nil"/>
            </w:tcBorders>
            <w:shd w:val="clear" w:color="000000" w:fill="FCFCFF"/>
            <w:noWrap/>
            <w:vAlign w:val="center"/>
            <w:hideMark/>
          </w:tcPr>
          <w:p w14:paraId="649999F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1.8</w:t>
            </w:r>
          </w:p>
        </w:tc>
        <w:tc>
          <w:tcPr>
            <w:tcW w:w="960" w:type="dxa"/>
            <w:tcBorders>
              <w:top w:val="nil"/>
              <w:left w:val="nil"/>
              <w:bottom w:val="nil"/>
              <w:right w:val="nil"/>
            </w:tcBorders>
            <w:shd w:val="clear" w:color="000000" w:fill="FCE7EA"/>
            <w:noWrap/>
            <w:vAlign w:val="center"/>
            <w:hideMark/>
          </w:tcPr>
          <w:p w14:paraId="73B3C149"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2.9</w:t>
            </w:r>
          </w:p>
        </w:tc>
        <w:tc>
          <w:tcPr>
            <w:tcW w:w="1240" w:type="dxa"/>
            <w:tcBorders>
              <w:top w:val="nil"/>
              <w:left w:val="nil"/>
              <w:bottom w:val="nil"/>
              <w:right w:val="nil"/>
            </w:tcBorders>
            <w:shd w:val="clear" w:color="000000" w:fill="FCECEF"/>
            <w:noWrap/>
            <w:vAlign w:val="center"/>
            <w:hideMark/>
          </w:tcPr>
          <w:p w14:paraId="520B0EB2" w14:textId="77777777" w:rsidR="005E2A38" w:rsidRPr="005E2A38" w:rsidRDefault="005E2A38" w:rsidP="005E2A38">
            <w:pPr>
              <w:spacing w:after="0" w:line="240" w:lineRule="auto"/>
              <w:jc w:val="center"/>
              <w:rPr>
                <w:rFonts w:ascii="Times New Roman" w:eastAsia="Times New Roman" w:hAnsi="Times New Roman" w:cs="Times New Roman"/>
                <w:color w:val="000000"/>
                <w:lang w:eastAsia="en-GB"/>
              </w:rPr>
            </w:pPr>
            <w:r w:rsidRPr="005E2A38">
              <w:rPr>
                <w:rFonts w:ascii="Times New Roman" w:eastAsia="Times New Roman" w:hAnsi="Times New Roman" w:cs="Times New Roman"/>
                <w:color w:val="000000"/>
                <w:lang w:eastAsia="en-GB"/>
              </w:rPr>
              <w:t>1.2</w:t>
            </w:r>
          </w:p>
        </w:tc>
      </w:tr>
      <w:tr w:rsidR="005E2A38" w:rsidRPr="005E2A38" w14:paraId="4B602C95" w14:textId="77777777" w:rsidTr="005E2A38">
        <w:trPr>
          <w:trHeight w:val="300"/>
        </w:trPr>
        <w:tc>
          <w:tcPr>
            <w:tcW w:w="3560" w:type="dxa"/>
            <w:tcBorders>
              <w:top w:val="single" w:sz="8" w:space="0" w:color="auto"/>
              <w:left w:val="nil"/>
              <w:bottom w:val="single" w:sz="8" w:space="0" w:color="auto"/>
              <w:right w:val="nil"/>
            </w:tcBorders>
            <w:shd w:val="clear" w:color="auto" w:fill="auto"/>
            <w:noWrap/>
            <w:vAlign w:val="center"/>
            <w:hideMark/>
          </w:tcPr>
          <w:p w14:paraId="5D3E48B4" w14:textId="0BD834DF" w:rsidR="005E2A38" w:rsidRPr="005E2A38" w:rsidRDefault="005E2A38" w:rsidP="005E2A38">
            <w:pPr>
              <w:spacing w:after="0" w:line="240" w:lineRule="auto"/>
              <w:rPr>
                <w:rFonts w:ascii="Times New Roman" w:eastAsia="Times New Roman" w:hAnsi="Times New Roman" w:cs="Times New Roman"/>
                <w:b/>
                <w:bCs/>
                <w:color w:val="000000"/>
                <w:lang w:eastAsia="en-GB"/>
              </w:rPr>
            </w:pPr>
            <w:r w:rsidRPr="005E2A38">
              <w:rPr>
                <w:rFonts w:ascii="Times New Roman" w:eastAsia="Times New Roman" w:hAnsi="Times New Roman" w:cs="Times New Roman"/>
                <w:b/>
                <w:bCs/>
                <w:color w:val="000000"/>
                <w:lang w:eastAsia="en-GB"/>
              </w:rPr>
              <w:t>All</w:t>
            </w:r>
            <w:r w:rsidR="00311F5E">
              <w:rPr>
                <w:rFonts w:ascii="Times New Roman" w:eastAsia="Times New Roman" w:hAnsi="Times New Roman" w:cs="Times New Roman"/>
                <w:b/>
                <w:bCs/>
                <w:color w:val="000000"/>
                <w:lang w:eastAsia="en-GB"/>
              </w:rPr>
              <w:t xml:space="preserve"> </w:t>
            </w:r>
            <w:r w:rsidRPr="005E2A38">
              <w:rPr>
                <w:rFonts w:ascii="Times New Roman" w:eastAsia="Times New Roman" w:hAnsi="Times New Roman" w:cs="Times New Roman"/>
                <w:b/>
                <w:bCs/>
                <w:color w:val="000000"/>
                <w:lang w:eastAsia="en-GB"/>
              </w:rPr>
              <w:t>profession</w:t>
            </w:r>
            <w:r w:rsidR="0004106A">
              <w:rPr>
                <w:rFonts w:ascii="Times New Roman" w:eastAsia="Times New Roman" w:hAnsi="Times New Roman" w:cs="Times New Roman"/>
                <w:b/>
                <w:bCs/>
                <w:color w:val="000000"/>
                <w:lang w:eastAsia="en-GB"/>
              </w:rPr>
              <w:t>s</w:t>
            </w:r>
            <w:r w:rsidRPr="005E2A38">
              <w:rPr>
                <w:rFonts w:ascii="Times New Roman" w:eastAsia="Times New Roman" w:hAnsi="Times New Roman" w:cs="Times New Roman"/>
                <w:b/>
                <w:bCs/>
                <w:color w:val="000000"/>
                <w:lang w:eastAsia="en-GB"/>
              </w:rPr>
              <w:t xml:space="preserve"> average</w:t>
            </w:r>
          </w:p>
        </w:tc>
        <w:tc>
          <w:tcPr>
            <w:tcW w:w="1660" w:type="dxa"/>
            <w:tcBorders>
              <w:top w:val="single" w:sz="8" w:space="0" w:color="auto"/>
              <w:left w:val="nil"/>
              <w:bottom w:val="single" w:sz="8" w:space="0" w:color="auto"/>
              <w:right w:val="nil"/>
            </w:tcBorders>
            <w:shd w:val="clear" w:color="auto" w:fill="auto"/>
            <w:noWrap/>
            <w:vAlign w:val="center"/>
            <w:hideMark/>
          </w:tcPr>
          <w:p w14:paraId="39781ADA" w14:textId="4C8E57B1"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23.4</w:t>
            </w:r>
          </w:p>
        </w:tc>
        <w:tc>
          <w:tcPr>
            <w:tcW w:w="1480" w:type="dxa"/>
            <w:tcBorders>
              <w:top w:val="single" w:sz="8" w:space="0" w:color="auto"/>
              <w:left w:val="nil"/>
              <w:bottom w:val="single" w:sz="8" w:space="0" w:color="auto"/>
              <w:right w:val="nil"/>
            </w:tcBorders>
            <w:shd w:val="clear" w:color="auto" w:fill="auto"/>
            <w:noWrap/>
            <w:vAlign w:val="center"/>
            <w:hideMark/>
          </w:tcPr>
          <w:p w14:paraId="4FAAE187" w14:textId="1924971F"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3.6</w:t>
            </w:r>
          </w:p>
        </w:tc>
        <w:tc>
          <w:tcPr>
            <w:tcW w:w="960" w:type="dxa"/>
            <w:tcBorders>
              <w:top w:val="single" w:sz="8" w:space="0" w:color="auto"/>
              <w:left w:val="nil"/>
              <w:bottom w:val="single" w:sz="8" w:space="0" w:color="auto"/>
              <w:right w:val="nil"/>
            </w:tcBorders>
            <w:shd w:val="clear" w:color="auto" w:fill="auto"/>
            <w:noWrap/>
            <w:vAlign w:val="center"/>
            <w:hideMark/>
          </w:tcPr>
          <w:p w14:paraId="699AEB0E" w14:textId="5D90345D"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4.0</w:t>
            </w:r>
          </w:p>
        </w:tc>
        <w:tc>
          <w:tcPr>
            <w:tcW w:w="1240" w:type="dxa"/>
            <w:tcBorders>
              <w:top w:val="single" w:sz="8" w:space="0" w:color="auto"/>
              <w:left w:val="nil"/>
              <w:bottom w:val="single" w:sz="8" w:space="0" w:color="auto"/>
              <w:right w:val="nil"/>
            </w:tcBorders>
            <w:shd w:val="clear" w:color="auto" w:fill="auto"/>
            <w:noWrap/>
            <w:vAlign w:val="center"/>
            <w:hideMark/>
          </w:tcPr>
          <w:p w14:paraId="77387151" w14:textId="799E2C8A" w:rsidR="005E2A38" w:rsidRPr="005E2A38" w:rsidRDefault="005E2A38" w:rsidP="005E2A38">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1.9</w:t>
            </w:r>
          </w:p>
        </w:tc>
      </w:tr>
    </w:tbl>
    <w:p w14:paraId="776285AF" w14:textId="00710ABC" w:rsidR="009B3987" w:rsidRPr="00927648" w:rsidRDefault="009B3987" w:rsidP="008B4E20">
      <w:pPr>
        <w:spacing w:after="240" w:line="240" w:lineRule="auto"/>
        <w:jc w:val="both"/>
        <w:rPr>
          <w:rFonts w:ascii="Times New Roman" w:hAnsi="Times New Roman" w:cs="Times New Roman"/>
        </w:rPr>
      </w:pPr>
      <w:r w:rsidRPr="003672ED">
        <w:rPr>
          <w:rFonts w:ascii="Times New Roman" w:hAnsi="Times New Roman" w:cs="Times New Roman"/>
          <w:sz w:val="20"/>
          <w:szCs w:val="20"/>
        </w:rPr>
        <w:t>Notes: Figures refer to the percent</w:t>
      </w:r>
      <w:r w:rsidR="0004106A">
        <w:rPr>
          <w:rFonts w:ascii="Times New Roman" w:hAnsi="Times New Roman" w:cs="Times New Roman"/>
          <w:sz w:val="20"/>
          <w:szCs w:val="20"/>
        </w:rPr>
        <w:t>age</w:t>
      </w:r>
      <w:r w:rsidRPr="003672ED">
        <w:rPr>
          <w:rFonts w:ascii="Times New Roman" w:hAnsi="Times New Roman" w:cs="Times New Roman"/>
          <w:sz w:val="20"/>
          <w:szCs w:val="20"/>
        </w:rPr>
        <w:t xml:space="preserve"> of workers in the occupation with a health problem. The sample for each occupation has been obtained by matching the secondary teachers in the data to a demographically similar group, based upon age, gender, educational qualification, marital status and whether there are children in the household. Final row provides the unweighted average across all professional occupations. Darker shading (read vertically) indicates a lower level of wellbeing for that group.</w:t>
      </w:r>
      <w:r w:rsidR="005E2A38">
        <w:rPr>
          <w:rFonts w:ascii="Times New Roman" w:hAnsi="Times New Roman" w:cs="Times New Roman"/>
          <w:sz w:val="20"/>
          <w:szCs w:val="20"/>
        </w:rPr>
        <w:t xml:space="preserve"> Figures refer to percentages amongst all individuals (not just those with a health problem).</w:t>
      </w:r>
      <w:r w:rsidR="00C15BFD">
        <w:rPr>
          <w:rFonts w:ascii="Times New Roman" w:hAnsi="Times New Roman" w:cs="Times New Roman"/>
          <w:sz w:val="20"/>
          <w:szCs w:val="20"/>
        </w:rPr>
        <w:t xml:space="preserve">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Labour Force Survey</w:t>
      </w:r>
      <w:r w:rsidR="00C15BFD" w:rsidRPr="00C15BFD">
        <w:rPr>
          <w:rFonts w:ascii="Times New Roman" w:hAnsi="Times New Roman" w:cs="Times New Roman"/>
          <w:sz w:val="20"/>
          <w:szCs w:val="20"/>
        </w:rPr>
        <w:t>.</w:t>
      </w:r>
    </w:p>
    <w:p w14:paraId="19AF7A12" w14:textId="6D9CFCFE" w:rsidR="009B3987" w:rsidRPr="009B3987" w:rsidRDefault="009B3987" w:rsidP="009B3987">
      <w:pPr>
        <w:spacing w:line="360" w:lineRule="auto"/>
        <w:jc w:val="both"/>
        <w:rPr>
          <w:rFonts w:ascii="Times New Roman" w:hAnsi="Times New Roman" w:cs="Times New Roman"/>
          <w:sz w:val="24"/>
          <w:szCs w:val="24"/>
        </w:rPr>
        <w:sectPr w:rsidR="009B3987" w:rsidRPr="009B3987">
          <w:pgSz w:w="11906" w:h="16838"/>
          <w:pgMar w:top="1440" w:right="1440" w:bottom="1440" w:left="1440" w:header="708" w:footer="708" w:gutter="0"/>
          <w:cols w:space="708"/>
          <w:docGrid w:linePitch="360"/>
        </w:sectPr>
      </w:pPr>
      <w:r w:rsidRPr="009B3987">
        <w:rPr>
          <w:rFonts w:ascii="Times New Roman" w:hAnsi="Times New Roman" w:cs="Times New Roman"/>
          <w:sz w:val="24"/>
          <w:szCs w:val="24"/>
        </w:rPr>
        <w:t>Figure 3.4 continues our analysis of the LFS, but now focusing upon respondents’ views as to whether their job has contributed to them developing</w:t>
      </w:r>
      <w:r w:rsidR="00740050">
        <w:rPr>
          <w:rFonts w:ascii="Times New Roman" w:hAnsi="Times New Roman" w:cs="Times New Roman"/>
          <w:sz w:val="24"/>
          <w:szCs w:val="24"/>
        </w:rPr>
        <w:t xml:space="preserve"> a</w:t>
      </w:r>
      <w:r w:rsidRPr="009B3987">
        <w:rPr>
          <w:rFonts w:ascii="Times New Roman" w:hAnsi="Times New Roman" w:cs="Times New Roman"/>
          <w:sz w:val="24"/>
          <w:szCs w:val="24"/>
        </w:rPr>
        <w:t xml:space="preserve"> (or worsening an existing) health problem (vertical axis) or </w:t>
      </w:r>
      <w:r w:rsidRPr="009B3987">
        <w:rPr>
          <w:rFonts w:ascii="Times New Roman" w:hAnsi="Times New Roman" w:cs="Times New Roman"/>
          <w:i/>
          <w:sz w:val="24"/>
          <w:szCs w:val="24"/>
        </w:rPr>
        <w:t>mental</w:t>
      </w:r>
      <w:r w:rsidRPr="009B3987">
        <w:rPr>
          <w:rFonts w:ascii="Times New Roman" w:hAnsi="Times New Roman" w:cs="Times New Roman"/>
          <w:sz w:val="24"/>
          <w:szCs w:val="24"/>
        </w:rPr>
        <w:t xml:space="preserve"> health problem (horizontal axis) over the last year. Primary and secondary teachers are above the occupational average on both these measures, though in terms of magnitude the difference is relatively small. For instance, in the matching results</w:t>
      </w:r>
      <w:r w:rsidR="00B253AD">
        <w:rPr>
          <w:rFonts w:ascii="Times New Roman" w:hAnsi="Times New Roman" w:cs="Times New Roman"/>
          <w:sz w:val="24"/>
          <w:szCs w:val="24"/>
        </w:rPr>
        <w:t>,</w:t>
      </w:r>
      <w:r w:rsidRPr="009B3987">
        <w:rPr>
          <w:rFonts w:ascii="Times New Roman" w:hAnsi="Times New Roman" w:cs="Times New Roman"/>
          <w:sz w:val="24"/>
          <w:szCs w:val="24"/>
        </w:rPr>
        <w:t xml:space="preserve"> panel </w:t>
      </w:r>
      <w:r w:rsidR="00436669">
        <w:rPr>
          <w:rFonts w:ascii="Times New Roman" w:hAnsi="Times New Roman" w:cs="Times New Roman"/>
          <w:sz w:val="24"/>
          <w:szCs w:val="24"/>
        </w:rPr>
        <w:t>(</w:t>
      </w:r>
      <w:r w:rsidRPr="009B3987">
        <w:rPr>
          <w:rFonts w:ascii="Times New Roman" w:hAnsi="Times New Roman" w:cs="Times New Roman"/>
          <w:sz w:val="24"/>
          <w:szCs w:val="24"/>
        </w:rPr>
        <w:t xml:space="preserve">b), approximately </w:t>
      </w:r>
      <w:r w:rsidR="00436669">
        <w:rPr>
          <w:rFonts w:ascii="Times New Roman" w:hAnsi="Times New Roman" w:cs="Times New Roman"/>
          <w:sz w:val="24"/>
          <w:szCs w:val="24"/>
        </w:rPr>
        <w:t>3%</w:t>
      </w:r>
      <w:r w:rsidRPr="009B3987">
        <w:rPr>
          <w:rFonts w:ascii="Times New Roman" w:hAnsi="Times New Roman" w:cs="Times New Roman"/>
          <w:sz w:val="24"/>
          <w:szCs w:val="24"/>
        </w:rPr>
        <w:t xml:space="preserve"> of teachers said that their job has led </w:t>
      </w:r>
      <w:r w:rsidR="006E7360">
        <w:rPr>
          <w:rFonts w:ascii="Times New Roman" w:hAnsi="Times New Roman" w:cs="Times New Roman"/>
          <w:sz w:val="24"/>
          <w:szCs w:val="24"/>
        </w:rPr>
        <w:t>to them</w:t>
      </w:r>
      <w:r w:rsidRPr="009B3987">
        <w:rPr>
          <w:rFonts w:ascii="Times New Roman" w:hAnsi="Times New Roman" w:cs="Times New Roman"/>
          <w:sz w:val="24"/>
          <w:szCs w:val="24"/>
        </w:rPr>
        <w:t xml:space="preserve"> developing or worsening a mental health issue over the last year, compared to an average across professional occupations of </w:t>
      </w:r>
      <w:r w:rsidR="00B253AD">
        <w:rPr>
          <w:rFonts w:ascii="Times New Roman" w:hAnsi="Times New Roman" w:cs="Times New Roman"/>
          <w:sz w:val="24"/>
          <w:szCs w:val="24"/>
        </w:rPr>
        <w:t>2%</w:t>
      </w:r>
      <w:r w:rsidRPr="009B3987">
        <w:rPr>
          <w:rFonts w:ascii="Times New Roman" w:hAnsi="Times New Roman" w:cs="Times New Roman"/>
          <w:sz w:val="24"/>
          <w:szCs w:val="24"/>
        </w:rPr>
        <w:t xml:space="preserve">. Again, the problem appears worse for SEN teachers, where around </w:t>
      </w:r>
      <w:r w:rsidR="00B253AD">
        <w:rPr>
          <w:rFonts w:ascii="Times New Roman" w:hAnsi="Times New Roman" w:cs="Times New Roman"/>
          <w:sz w:val="24"/>
          <w:szCs w:val="24"/>
        </w:rPr>
        <w:t xml:space="preserve">9% </w:t>
      </w:r>
      <w:r w:rsidRPr="009B3987">
        <w:rPr>
          <w:rFonts w:ascii="Times New Roman" w:hAnsi="Times New Roman" w:cs="Times New Roman"/>
          <w:sz w:val="24"/>
          <w:szCs w:val="24"/>
        </w:rPr>
        <w:t xml:space="preserve">reported their job has led to them developing a health problem (compared to a cross-profession average of </w:t>
      </w:r>
      <w:r w:rsidR="006E7360">
        <w:rPr>
          <w:rFonts w:ascii="Times New Roman" w:hAnsi="Times New Roman" w:cs="Times New Roman"/>
          <w:sz w:val="24"/>
          <w:szCs w:val="24"/>
        </w:rPr>
        <w:t>4%</w:t>
      </w:r>
      <w:r w:rsidRPr="009B3987">
        <w:rPr>
          <w:rFonts w:ascii="Times New Roman" w:hAnsi="Times New Roman" w:cs="Times New Roman"/>
          <w:sz w:val="24"/>
          <w:szCs w:val="24"/>
        </w:rPr>
        <w:t>)</w:t>
      </w:r>
      <w:r w:rsidR="006E7360">
        <w:rPr>
          <w:rFonts w:ascii="Times New Roman" w:hAnsi="Times New Roman" w:cs="Times New Roman"/>
          <w:sz w:val="24"/>
          <w:szCs w:val="24"/>
        </w:rPr>
        <w:t>,</w:t>
      </w:r>
      <w:r w:rsidRPr="009B3987">
        <w:rPr>
          <w:rFonts w:ascii="Times New Roman" w:hAnsi="Times New Roman" w:cs="Times New Roman"/>
          <w:sz w:val="24"/>
          <w:szCs w:val="24"/>
        </w:rPr>
        <w:t xml:space="preserve"> with </w:t>
      </w:r>
      <w:r w:rsidR="006E7360">
        <w:rPr>
          <w:rFonts w:ascii="Times New Roman" w:hAnsi="Times New Roman" w:cs="Times New Roman"/>
          <w:sz w:val="24"/>
          <w:szCs w:val="24"/>
        </w:rPr>
        <w:t>5%</w:t>
      </w:r>
      <w:r w:rsidRPr="009B3987">
        <w:rPr>
          <w:rFonts w:ascii="Times New Roman" w:hAnsi="Times New Roman" w:cs="Times New Roman"/>
          <w:sz w:val="24"/>
          <w:szCs w:val="24"/>
        </w:rPr>
        <w:t xml:space="preserve"> saying it has led to an issue with their mental health (versus a cross-profession average of </w:t>
      </w:r>
      <w:r w:rsidR="006E7360">
        <w:rPr>
          <w:rFonts w:ascii="Times New Roman" w:hAnsi="Times New Roman" w:cs="Times New Roman"/>
          <w:sz w:val="24"/>
          <w:szCs w:val="24"/>
        </w:rPr>
        <w:t>2%</w:t>
      </w:r>
      <w:r w:rsidRPr="009B3987">
        <w:rPr>
          <w:rFonts w:ascii="Times New Roman" w:hAnsi="Times New Roman" w:cs="Times New Roman"/>
          <w:sz w:val="24"/>
          <w:szCs w:val="24"/>
        </w:rPr>
        <w:t xml:space="preserve">). </w:t>
      </w:r>
    </w:p>
    <w:p w14:paraId="7BEAC2CD" w14:textId="72F36D35" w:rsidR="009B3987" w:rsidRDefault="009B3987" w:rsidP="009B3987">
      <w:pPr>
        <w:spacing w:after="0"/>
        <w:jc w:val="center"/>
        <w:rPr>
          <w:rFonts w:ascii="Times New Roman" w:hAnsi="Times New Roman" w:cs="Times New Roman"/>
          <w:b/>
          <w:sz w:val="24"/>
          <w:szCs w:val="24"/>
        </w:rPr>
      </w:pPr>
      <w:bookmarkStart w:id="6" w:name="_Hlk26534734"/>
      <w:r w:rsidRPr="009B3987">
        <w:rPr>
          <w:rFonts w:ascii="Times New Roman" w:hAnsi="Times New Roman" w:cs="Times New Roman"/>
          <w:b/>
          <w:sz w:val="24"/>
          <w:szCs w:val="24"/>
        </w:rPr>
        <w:lastRenderedPageBreak/>
        <w:t xml:space="preserve">Figure 3.4 </w:t>
      </w:r>
      <w:proofErr w:type="gramStart"/>
      <w:r w:rsidRPr="009B3987">
        <w:rPr>
          <w:rFonts w:ascii="Times New Roman" w:hAnsi="Times New Roman" w:cs="Times New Roman"/>
          <w:b/>
          <w:sz w:val="24"/>
          <w:szCs w:val="24"/>
        </w:rPr>
        <w:t>The</w:t>
      </w:r>
      <w:proofErr w:type="gramEnd"/>
      <w:r w:rsidRPr="009B3987">
        <w:rPr>
          <w:rFonts w:ascii="Times New Roman" w:hAnsi="Times New Roman" w:cs="Times New Roman"/>
          <w:b/>
          <w:sz w:val="24"/>
          <w:szCs w:val="24"/>
        </w:rPr>
        <w:t xml:space="preserve"> percent</w:t>
      </w:r>
      <w:r w:rsidR="006E7360">
        <w:rPr>
          <w:rFonts w:ascii="Times New Roman" w:hAnsi="Times New Roman" w:cs="Times New Roman"/>
          <w:b/>
          <w:sz w:val="24"/>
          <w:szCs w:val="24"/>
        </w:rPr>
        <w:t>age</w:t>
      </w:r>
      <w:r w:rsidRPr="009B3987">
        <w:rPr>
          <w:rFonts w:ascii="Times New Roman" w:hAnsi="Times New Roman" w:cs="Times New Roman"/>
          <w:b/>
          <w:sz w:val="24"/>
          <w:szCs w:val="24"/>
        </w:rPr>
        <w:t xml:space="preserve"> of teachers who reported their job led to ill</w:t>
      </w:r>
      <w:r w:rsidR="002C1828">
        <w:rPr>
          <w:rFonts w:ascii="Times New Roman" w:hAnsi="Times New Roman" w:cs="Times New Roman"/>
          <w:b/>
          <w:sz w:val="24"/>
          <w:szCs w:val="24"/>
        </w:rPr>
        <w:t xml:space="preserve"> </w:t>
      </w:r>
      <w:r w:rsidRPr="009B3987">
        <w:rPr>
          <w:rFonts w:ascii="Times New Roman" w:hAnsi="Times New Roman" w:cs="Times New Roman"/>
          <w:b/>
          <w:sz w:val="24"/>
          <w:szCs w:val="24"/>
        </w:rPr>
        <w:t>health and mental ill</w:t>
      </w:r>
      <w:r w:rsidR="002C1828">
        <w:rPr>
          <w:rFonts w:ascii="Times New Roman" w:hAnsi="Times New Roman" w:cs="Times New Roman"/>
          <w:b/>
          <w:sz w:val="24"/>
          <w:szCs w:val="24"/>
        </w:rPr>
        <w:t xml:space="preserve"> </w:t>
      </w:r>
      <w:r w:rsidRPr="009B3987">
        <w:rPr>
          <w:rFonts w:ascii="Times New Roman" w:hAnsi="Times New Roman" w:cs="Times New Roman"/>
          <w:b/>
          <w:sz w:val="24"/>
          <w:szCs w:val="24"/>
        </w:rPr>
        <w:t>health compared to other occupations (LFS).</w:t>
      </w:r>
    </w:p>
    <w:p w14:paraId="56D12FC4" w14:textId="77777777" w:rsidR="00D21A18" w:rsidRPr="009B3987" w:rsidRDefault="00D21A18" w:rsidP="009B3987">
      <w:pPr>
        <w:spacing w:after="0"/>
        <w:jc w:val="center"/>
        <w:rPr>
          <w:rFonts w:ascii="Times New Roman" w:hAnsi="Times New Roman" w:cs="Times New Roman"/>
          <w:b/>
          <w:sz w:val="24"/>
          <w:szCs w:val="24"/>
        </w:rPr>
      </w:pPr>
    </w:p>
    <w:p w14:paraId="78403080" w14:textId="77777777" w:rsidR="009B3987" w:rsidRPr="0084072D" w:rsidRDefault="009B3987" w:rsidP="00697230">
      <w:pPr>
        <w:pStyle w:val="ListParagraph"/>
        <w:numPr>
          <w:ilvl w:val="0"/>
          <w:numId w:val="12"/>
        </w:numPr>
        <w:spacing w:after="0" w:line="259" w:lineRule="auto"/>
      </w:pPr>
      <w:r w:rsidRPr="0084072D">
        <w:rPr>
          <w:rFonts w:ascii="Times New Roman" w:hAnsi="Times New Roman" w:cs="Times New Roman"/>
          <w:szCs w:val="24"/>
        </w:rPr>
        <w:t>Unconditional (all occupations)</w:t>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sidRPr="0084072D">
        <w:rPr>
          <w:rFonts w:ascii="Times New Roman" w:hAnsi="Times New Roman" w:cs="Times New Roman"/>
          <w:szCs w:val="24"/>
        </w:rPr>
        <w:tab/>
      </w:r>
      <w:r>
        <w:rPr>
          <w:rFonts w:ascii="Times New Roman" w:hAnsi="Times New Roman" w:cs="Times New Roman"/>
          <w:szCs w:val="24"/>
        </w:rPr>
        <w:tab/>
        <w:t xml:space="preserve">(b) </w:t>
      </w:r>
      <w:r w:rsidRPr="0084072D">
        <w:rPr>
          <w:rFonts w:ascii="Times New Roman" w:hAnsi="Times New Roman" w:cs="Times New Roman"/>
          <w:szCs w:val="24"/>
        </w:rPr>
        <w:t>Matched to other professions</w:t>
      </w:r>
    </w:p>
    <w:bookmarkEnd w:id="6"/>
    <w:p w14:paraId="51918C6B" w14:textId="77777777" w:rsidR="009B3987" w:rsidRDefault="009B3987" w:rsidP="009B3987">
      <w:r w:rsidRPr="002B3D56">
        <w:rPr>
          <w:noProof/>
          <w:lang w:eastAsia="en-GB"/>
        </w:rPr>
        <w:drawing>
          <wp:inline distT="0" distB="0" distL="0" distR="0" wp14:anchorId="1D9963BE" wp14:editId="20942AB2">
            <wp:extent cx="4572000" cy="457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r w:rsidRPr="00E25D92">
        <w:t xml:space="preserve"> </w:t>
      </w:r>
      <w:r w:rsidRPr="004B6320">
        <w:rPr>
          <w:noProof/>
          <w:lang w:eastAsia="en-GB"/>
        </w:rPr>
        <w:drawing>
          <wp:inline distT="0" distB="0" distL="0" distR="0" wp14:anchorId="6F36AAC1" wp14:editId="1F41A1E1">
            <wp:extent cx="4581525" cy="45815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581525" cy="4581525"/>
                    </a:xfrm>
                    <a:prstGeom prst="rect">
                      <a:avLst/>
                    </a:prstGeom>
                    <a:noFill/>
                    <a:ln>
                      <a:noFill/>
                    </a:ln>
                  </pic:spPr>
                </pic:pic>
              </a:graphicData>
            </a:graphic>
          </wp:inline>
        </w:drawing>
      </w:r>
    </w:p>
    <w:p w14:paraId="57C4D0B1" w14:textId="1CA2CE39" w:rsidR="009B3987" w:rsidRDefault="009B3987" w:rsidP="009B3987">
      <w:pPr>
        <w:spacing w:line="240" w:lineRule="auto"/>
        <w:jc w:val="both"/>
        <w:rPr>
          <w:rFonts w:ascii="Times New Roman" w:hAnsi="Times New Roman" w:cs="Times New Roman"/>
          <w:sz w:val="20"/>
          <w:szCs w:val="20"/>
        </w:rPr>
      </w:pPr>
      <w:r>
        <w:rPr>
          <w:rFonts w:ascii="Times New Roman" w:hAnsi="Times New Roman" w:cs="Times New Roman"/>
          <w:sz w:val="20"/>
          <w:szCs w:val="20"/>
        </w:rPr>
        <w:t>Notes: Each data</w:t>
      </w:r>
      <w:r w:rsidR="003A40D8">
        <w:rPr>
          <w:rFonts w:ascii="Times New Roman" w:hAnsi="Times New Roman" w:cs="Times New Roman"/>
          <w:sz w:val="20"/>
          <w:szCs w:val="20"/>
        </w:rPr>
        <w:t xml:space="preserve"> </w:t>
      </w:r>
      <w:r>
        <w:rPr>
          <w:rFonts w:ascii="Times New Roman" w:hAnsi="Times New Roman" w:cs="Times New Roman"/>
          <w:sz w:val="20"/>
          <w:szCs w:val="20"/>
        </w:rPr>
        <w:t>point represents one occupation. Figures refer to the percent</w:t>
      </w:r>
      <w:r w:rsidR="00F21A80">
        <w:rPr>
          <w:rFonts w:ascii="Times New Roman" w:hAnsi="Times New Roman" w:cs="Times New Roman"/>
          <w:sz w:val="20"/>
          <w:szCs w:val="20"/>
        </w:rPr>
        <w:t>age</w:t>
      </w:r>
      <w:r>
        <w:rPr>
          <w:rFonts w:ascii="Times New Roman" w:hAnsi="Times New Roman" w:cs="Times New Roman"/>
          <w:sz w:val="20"/>
          <w:szCs w:val="20"/>
        </w:rPr>
        <w:t xml:space="preserve"> of workers who said that their job has led to a lasting problem with ill</w:t>
      </w:r>
      <w:r w:rsidR="00F21A80">
        <w:rPr>
          <w:rFonts w:ascii="Times New Roman" w:hAnsi="Times New Roman" w:cs="Times New Roman"/>
          <w:sz w:val="20"/>
          <w:szCs w:val="20"/>
        </w:rPr>
        <w:t xml:space="preserve"> </w:t>
      </w:r>
      <w:r>
        <w:rPr>
          <w:rFonts w:ascii="Times New Roman" w:hAnsi="Times New Roman" w:cs="Times New Roman"/>
          <w:sz w:val="20"/>
          <w:szCs w:val="20"/>
        </w:rPr>
        <w:t xml:space="preserve">health (vertical axis) and a lasting problem with their mental health (horizontal axis). Dashed lines illustrate the unweighted occupational average. The graph on the left presents the unconditional estimates for all occupations. The graph on the right presents the matching results, where comparators have been restricted to those working in professional jobs. Results restricted to occupations where the sample size is above 250.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Labour Force Survey</w:t>
      </w:r>
      <w:r w:rsidR="00C15BFD" w:rsidRPr="00C15BFD">
        <w:rPr>
          <w:rFonts w:ascii="Times New Roman" w:hAnsi="Times New Roman" w:cs="Times New Roman"/>
          <w:sz w:val="20"/>
          <w:szCs w:val="20"/>
        </w:rPr>
        <w:t>.</w:t>
      </w:r>
    </w:p>
    <w:p w14:paraId="3486FEC0" w14:textId="77777777" w:rsidR="009B3987" w:rsidRDefault="009B3987" w:rsidP="009B3987">
      <w:pPr>
        <w:jc w:val="both"/>
        <w:rPr>
          <w:rFonts w:ascii="Times New Roman" w:hAnsi="Times New Roman" w:cs="Times New Roman"/>
        </w:rPr>
      </w:pPr>
    </w:p>
    <w:p w14:paraId="39E7ED88" w14:textId="77777777" w:rsidR="009B3987" w:rsidRDefault="009B3987" w:rsidP="009B3987">
      <w:pPr>
        <w:jc w:val="both"/>
        <w:rPr>
          <w:rFonts w:ascii="Times New Roman" w:hAnsi="Times New Roman" w:cs="Times New Roman"/>
        </w:rPr>
        <w:sectPr w:rsidR="009B3987" w:rsidSect="00141B6D">
          <w:pgSz w:w="16838" w:h="11906" w:orient="landscape"/>
          <w:pgMar w:top="720" w:right="720" w:bottom="720" w:left="720" w:header="708" w:footer="708" w:gutter="0"/>
          <w:cols w:space="708"/>
          <w:docGrid w:linePitch="360"/>
        </w:sectPr>
      </w:pPr>
    </w:p>
    <w:p w14:paraId="119055D2" w14:textId="79EEB4F9"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lastRenderedPageBreak/>
        <w:t>Table 3.2 again illustrates how these figures for teachers compare to those for our selected comparators. Civil servants and (particularly) social workers stand out as reporting greater levels of work-induced ill</w:t>
      </w:r>
      <w:r w:rsidR="00F21A80">
        <w:rPr>
          <w:rFonts w:ascii="Times New Roman" w:hAnsi="Times New Roman" w:cs="Times New Roman"/>
          <w:sz w:val="24"/>
          <w:szCs w:val="24"/>
        </w:rPr>
        <w:t xml:space="preserve"> </w:t>
      </w:r>
      <w:r w:rsidRPr="009B3987">
        <w:rPr>
          <w:rFonts w:ascii="Times New Roman" w:hAnsi="Times New Roman" w:cs="Times New Roman"/>
          <w:sz w:val="24"/>
          <w:szCs w:val="24"/>
        </w:rPr>
        <w:t xml:space="preserve">health than primary, secondary and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xml:space="preserve">. On the other hand, many office-based workers are less likely to say that their job has led to health problems and, particularly, mental health problems. This includes accountants, marketing associates and IT professionals, where only around </w:t>
      </w:r>
      <w:r w:rsidR="00F21A80">
        <w:rPr>
          <w:rFonts w:ascii="Times New Roman" w:hAnsi="Times New Roman" w:cs="Times New Roman"/>
          <w:sz w:val="24"/>
          <w:szCs w:val="24"/>
        </w:rPr>
        <w:t>1%</w:t>
      </w:r>
      <w:r w:rsidRPr="009B3987">
        <w:rPr>
          <w:rFonts w:ascii="Times New Roman" w:hAnsi="Times New Roman" w:cs="Times New Roman"/>
          <w:sz w:val="24"/>
          <w:szCs w:val="24"/>
        </w:rPr>
        <w:t xml:space="preserve"> of workers say that their job has caused or exacerbated a mental health issue over the last year. </w:t>
      </w:r>
    </w:p>
    <w:p w14:paraId="693923D7" w14:textId="77777777" w:rsidR="009B3987" w:rsidRPr="009B3987" w:rsidRDefault="009B3987" w:rsidP="009B3987">
      <w:pPr>
        <w:spacing w:line="360" w:lineRule="auto"/>
        <w:rPr>
          <w:rFonts w:ascii="Times New Roman" w:hAnsi="Times New Roman" w:cs="Times New Roman"/>
          <w:b/>
          <w:sz w:val="24"/>
          <w:szCs w:val="24"/>
        </w:rPr>
      </w:pPr>
      <w:r w:rsidRPr="009B3987">
        <w:rPr>
          <w:rFonts w:ascii="Times New Roman" w:hAnsi="Times New Roman" w:cs="Times New Roman"/>
          <w:b/>
          <w:sz w:val="24"/>
          <w:szCs w:val="24"/>
        </w:rPr>
        <w:t>3.5 Biobank results. Comparisons of mental health across occupations</w:t>
      </w:r>
    </w:p>
    <w:p w14:paraId="5020E50B" w14:textId="256D172B"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Figure 3.5 presents results from our final detailed comparison across occupations, based upon data from the UK Biobank. Note that as the Biobank data are based upon a convenience sample, and are therefore not representative, we only present results from the matching analysis. The left-hand panel of Figure 5 provides the proportion of teachers in the top quartile of the Biobank depression scale (vertical axis) and the percent</w:t>
      </w:r>
      <w:r w:rsidR="00F365BE">
        <w:rPr>
          <w:rFonts w:ascii="Times New Roman" w:hAnsi="Times New Roman" w:cs="Times New Roman"/>
          <w:sz w:val="24"/>
          <w:szCs w:val="24"/>
        </w:rPr>
        <w:t>age</w:t>
      </w:r>
      <w:r w:rsidRPr="009B3987">
        <w:rPr>
          <w:rFonts w:ascii="Times New Roman" w:hAnsi="Times New Roman" w:cs="Times New Roman"/>
          <w:sz w:val="24"/>
          <w:szCs w:val="24"/>
        </w:rPr>
        <w:t xml:space="preserve"> who have been prescribed antidepressants. Consistent with the main thrust of the findings from the APS and LFS, the results for teachers do not particularly stand out from those for workers in other professional occupations. For both the depression scale and prescriptions of antidepressants, the data</w:t>
      </w:r>
      <w:r w:rsidR="00F365BE">
        <w:rPr>
          <w:rFonts w:ascii="Times New Roman" w:hAnsi="Times New Roman" w:cs="Times New Roman"/>
          <w:sz w:val="24"/>
          <w:szCs w:val="24"/>
        </w:rPr>
        <w:t xml:space="preserve"> </w:t>
      </w:r>
      <w:r w:rsidRPr="009B3987">
        <w:rPr>
          <w:rFonts w:ascii="Times New Roman" w:hAnsi="Times New Roman" w:cs="Times New Roman"/>
          <w:sz w:val="24"/>
          <w:szCs w:val="24"/>
        </w:rPr>
        <w:t>points for secondary, head, primary and SEN teachers sit reasonably close to the professional occupation average (the dashed vertical and horizontal lines). Although antidepressant prescriptions are slightly higher for primary teachers (4.7</w:t>
      </w:r>
      <w:r w:rsidR="003A40D8">
        <w:rPr>
          <w:rFonts w:ascii="Times New Roman" w:hAnsi="Times New Roman" w:cs="Times New Roman"/>
          <w:sz w:val="24"/>
          <w:szCs w:val="24"/>
        </w:rPr>
        <w:t>%</w:t>
      </w:r>
      <w:r w:rsidRPr="009B3987">
        <w:rPr>
          <w:rFonts w:ascii="Times New Roman" w:hAnsi="Times New Roman" w:cs="Times New Roman"/>
          <w:sz w:val="24"/>
          <w:szCs w:val="24"/>
        </w:rPr>
        <w:t>) and SEN teachers (4.6</w:t>
      </w:r>
      <w:r w:rsidR="003A40D8">
        <w:rPr>
          <w:rFonts w:ascii="Times New Roman" w:hAnsi="Times New Roman" w:cs="Times New Roman"/>
          <w:sz w:val="24"/>
          <w:szCs w:val="24"/>
        </w:rPr>
        <w:t>%</w:t>
      </w:r>
      <w:r w:rsidRPr="009B3987">
        <w:rPr>
          <w:rFonts w:ascii="Times New Roman" w:hAnsi="Times New Roman" w:cs="Times New Roman"/>
          <w:sz w:val="24"/>
          <w:szCs w:val="24"/>
        </w:rPr>
        <w:t>) than for the professional average (3.3</w:t>
      </w:r>
      <w:r w:rsidR="003A40D8">
        <w:rPr>
          <w:rFonts w:ascii="Times New Roman" w:hAnsi="Times New Roman" w:cs="Times New Roman"/>
          <w:sz w:val="24"/>
          <w:szCs w:val="24"/>
        </w:rPr>
        <w:t>%</w:t>
      </w:r>
      <w:r w:rsidRPr="009B3987">
        <w:rPr>
          <w:rFonts w:ascii="Times New Roman" w:hAnsi="Times New Roman" w:cs="Times New Roman"/>
          <w:sz w:val="24"/>
          <w:szCs w:val="24"/>
        </w:rPr>
        <w:t>), as Figure 5 illustrates</w:t>
      </w:r>
      <w:r w:rsidR="003A40D8">
        <w:rPr>
          <w:rFonts w:ascii="Times New Roman" w:hAnsi="Times New Roman" w:cs="Times New Roman"/>
          <w:sz w:val="24"/>
          <w:szCs w:val="24"/>
        </w:rPr>
        <w:t>,</w:t>
      </w:r>
      <w:r w:rsidRPr="009B3987">
        <w:rPr>
          <w:rFonts w:ascii="Times New Roman" w:hAnsi="Times New Roman" w:cs="Times New Roman"/>
          <w:sz w:val="24"/>
          <w:szCs w:val="24"/>
        </w:rPr>
        <w:t xml:space="preserve"> the difference in terms of magnitude is actually quite small. This is further supported by Table 3.3, where the results for teachers are presented alongside selected occupational comparators. Interestingly, none of the occupations considered particularly stands out, with perhaps the exception that antidepressant use seems somewhat higher amongst nurses and graphic designers than other groups. Nevertheless, Figure 3.5 panel </w:t>
      </w:r>
      <w:r w:rsidR="00D339DA">
        <w:rPr>
          <w:rFonts w:ascii="Times New Roman" w:hAnsi="Times New Roman" w:cs="Times New Roman"/>
          <w:sz w:val="24"/>
          <w:szCs w:val="24"/>
        </w:rPr>
        <w:t>(</w:t>
      </w:r>
      <w:r w:rsidRPr="009B3987">
        <w:rPr>
          <w:rFonts w:ascii="Times New Roman" w:hAnsi="Times New Roman" w:cs="Times New Roman"/>
          <w:sz w:val="24"/>
          <w:szCs w:val="24"/>
        </w:rPr>
        <w:t xml:space="preserve">a) and Table 3.3 generally suggest that variation in depressive symptoms across workers in different professional occupations is reasonably small, with little evidence of a particularly pronounced problem within the teaching profession.  </w:t>
      </w:r>
    </w:p>
    <w:p w14:paraId="18FFAD17" w14:textId="77777777" w:rsidR="009B3987" w:rsidRDefault="009B3987" w:rsidP="009B3987">
      <w:pPr>
        <w:jc w:val="both"/>
        <w:rPr>
          <w:rFonts w:ascii="Times New Roman" w:hAnsi="Times New Roman" w:cs="Times New Roman"/>
        </w:rPr>
      </w:pPr>
    </w:p>
    <w:p w14:paraId="23A019E2" w14:textId="77777777" w:rsidR="009B3987" w:rsidRDefault="009B3987" w:rsidP="009B3987">
      <w:pPr>
        <w:jc w:val="both"/>
        <w:rPr>
          <w:rFonts w:ascii="Times New Roman" w:hAnsi="Times New Roman" w:cs="Times New Roman"/>
        </w:rPr>
      </w:pPr>
    </w:p>
    <w:p w14:paraId="500DB45D" w14:textId="77777777" w:rsidR="009B3987" w:rsidRDefault="009B3987" w:rsidP="009B3987">
      <w:pPr>
        <w:jc w:val="both"/>
        <w:rPr>
          <w:rFonts w:ascii="Times New Roman" w:hAnsi="Times New Roman" w:cs="Times New Roman"/>
        </w:rPr>
      </w:pPr>
    </w:p>
    <w:p w14:paraId="38CD35A4" w14:textId="77777777" w:rsidR="009B3987" w:rsidRDefault="009B3987" w:rsidP="009B3987">
      <w:pPr>
        <w:jc w:val="both"/>
        <w:rPr>
          <w:rFonts w:ascii="Times New Roman" w:hAnsi="Times New Roman" w:cs="Times New Roman"/>
        </w:rPr>
        <w:sectPr w:rsidR="009B3987">
          <w:pgSz w:w="11906" w:h="16838"/>
          <w:pgMar w:top="1440" w:right="1440" w:bottom="1440" w:left="1440" w:header="708" w:footer="708" w:gutter="0"/>
          <w:cols w:space="708"/>
          <w:docGrid w:linePitch="360"/>
        </w:sectPr>
      </w:pPr>
    </w:p>
    <w:p w14:paraId="338FB6F6" w14:textId="651E89E9" w:rsidR="009B3987" w:rsidRDefault="009B3987" w:rsidP="009B3987">
      <w:pPr>
        <w:spacing w:after="0"/>
        <w:jc w:val="center"/>
        <w:rPr>
          <w:rFonts w:ascii="Times New Roman" w:hAnsi="Times New Roman" w:cs="Times New Roman"/>
          <w:b/>
          <w:sz w:val="24"/>
          <w:szCs w:val="24"/>
        </w:rPr>
      </w:pPr>
      <w:r w:rsidRPr="009B3987">
        <w:rPr>
          <w:rFonts w:ascii="Times New Roman" w:hAnsi="Times New Roman" w:cs="Times New Roman"/>
          <w:b/>
          <w:sz w:val="24"/>
          <w:szCs w:val="24"/>
        </w:rPr>
        <w:lastRenderedPageBreak/>
        <w:t xml:space="preserve">Figure 3.5 </w:t>
      </w:r>
      <w:proofErr w:type="gramStart"/>
      <w:r w:rsidRPr="009B3987">
        <w:rPr>
          <w:rFonts w:ascii="Times New Roman" w:hAnsi="Times New Roman" w:cs="Times New Roman"/>
          <w:b/>
          <w:sz w:val="24"/>
          <w:szCs w:val="24"/>
        </w:rPr>
        <w:t>The</w:t>
      </w:r>
      <w:proofErr w:type="gramEnd"/>
      <w:r w:rsidRPr="009B3987">
        <w:rPr>
          <w:rFonts w:ascii="Times New Roman" w:hAnsi="Times New Roman" w:cs="Times New Roman"/>
          <w:b/>
          <w:sz w:val="24"/>
          <w:szCs w:val="24"/>
        </w:rPr>
        <w:t xml:space="preserve"> percent</w:t>
      </w:r>
      <w:r w:rsidR="00696E4D">
        <w:rPr>
          <w:rFonts w:ascii="Times New Roman" w:hAnsi="Times New Roman" w:cs="Times New Roman"/>
          <w:b/>
          <w:sz w:val="24"/>
          <w:szCs w:val="24"/>
        </w:rPr>
        <w:t>age</w:t>
      </w:r>
      <w:r w:rsidRPr="009B3987">
        <w:rPr>
          <w:rFonts w:ascii="Times New Roman" w:hAnsi="Times New Roman" w:cs="Times New Roman"/>
          <w:b/>
          <w:sz w:val="24"/>
          <w:szCs w:val="24"/>
        </w:rPr>
        <w:t xml:space="preserve"> of teachers who are unhappy or have depression compared to other occupations. Matched analysis using Biobank</w:t>
      </w:r>
      <w:r w:rsidR="00D21A18">
        <w:rPr>
          <w:rFonts w:ascii="Times New Roman" w:hAnsi="Times New Roman" w:cs="Times New Roman"/>
          <w:b/>
          <w:sz w:val="24"/>
          <w:szCs w:val="24"/>
        </w:rPr>
        <w:t>.</w:t>
      </w:r>
    </w:p>
    <w:p w14:paraId="15EA0957" w14:textId="77777777" w:rsidR="00214A9D" w:rsidRPr="009B3987" w:rsidRDefault="00214A9D" w:rsidP="009B3987">
      <w:pPr>
        <w:spacing w:after="0"/>
        <w:jc w:val="center"/>
        <w:rPr>
          <w:rFonts w:ascii="Times New Roman" w:hAnsi="Times New Roman" w:cs="Times New Roman"/>
          <w:b/>
          <w:sz w:val="24"/>
          <w:szCs w:val="24"/>
        </w:rPr>
      </w:pPr>
    </w:p>
    <w:p w14:paraId="2B6AC1CD" w14:textId="71B92873" w:rsidR="009B3987" w:rsidRPr="008210C8" w:rsidRDefault="009B3987" w:rsidP="00697230">
      <w:pPr>
        <w:pStyle w:val="ListParagraph"/>
        <w:numPr>
          <w:ilvl w:val="0"/>
          <w:numId w:val="11"/>
        </w:numPr>
        <w:spacing w:after="0" w:line="259" w:lineRule="auto"/>
        <w:rPr>
          <w:rFonts w:ascii="Times New Roman" w:hAnsi="Times New Roman" w:cs="Times New Roman"/>
          <w:szCs w:val="24"/>
        </w:rPr>
      </w:pPr>
      <w:r w:rsidRPr="008210C8">
        <w:rPr>
          <w:rFonts w:ascii="Times New Roman" w:hAnsi="Times New Roman" w:cs="Times New Roman"/>
          <w:szCs w:val="24"/>
        </w:rPr>
        <w:t>High depression scale vs antidepressant use</w:t>
      </w:r>
      <w:r w:rsidRPr="008210C8">
        <w:rPr>
          <w:rFonts w:ascii="Times New Roman" w:hAnsi="Times New Roman" w:cs="Times New Roman"/>
          <w:szCs w:val="24"/>
        </w:rPr>
        <w:tab/>
      </w:r>
      <w:r w:rsidRPr="008210C8">
        <w:rPr>
          <w:rFonts w:ascii="Times New Roman" w:hAnsi="Times New Roman" w:cs="Times New Roman"/>
          <w:szCs w:val="24"/>
        </w:rPr>
        <w:tab/>
      </w:r>
      <w:r w:rsidRPr="008210C8">
        <w:rPr>
          <w:rFonts w:ascii="Times New Roman" w:hAnsi="Times New Roman" w:cs="Times New Roman"/>
          <w:szCs w:val="24"/>
        </w:rPr>
        <w:tab/>
      </w:r>
      <w:r w:rsidRPr="008210C8">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t xml:space="preserve">(b) </w:t>
      </w:r>
      <w:r w:rsidRPr="008210C8">
        <w:rPr>
          <w:rFonts w:ascii="Times New Roman" w:hAnsi="Times New Roman" w:cs="Times New Roman"/>
          <w:szCs w:val="24"/>
        </w:rPr>
        <w:t>% unhappy vs % unhappy with work</w:t>
      </w:r>
    </w:p>
    <w:p w14:paraId="3999A56C" w14:textId="77777777" w:rsidR="009B3987" w:rsidRDefault="009B3987" w:rsidP="009B3987">
      <w:r w:rsidRPr="00E0171D">
        <w:rPr>
          <w:noProof/>
          <w:lang w:eastAsia="en-GB"/>
        </w:rPr>
        <w:drawing>
          <wp:inline distT="0" distB="0" distL="0" distR="0" wp14:anchorId="33EC00A4" wp14:editId="7FE16D7D">
            <wp:extent cx="4743450" cy="4743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743450" cy="4743450"/>
                    </a:xfrm>
                    <a:prstGeom prst="rect">
                      <a:avLst/>
                    </a:prstGeom>
                    <a:noFill/>
                    <a:ln>
                      <a:noFill/>
                    </a:ln>
                  </pic:spPr>
                </pic:pic>
              </a:graphicData>
            </a:graphic>
          </wp:inline>
        </w:drawing>
      </w:r>
      <w:r w:rsidRPr="00A622D2">
        <w:rPr>
          <w:noProof/>
          <w:lang w:eastAsia="en-GB"/>
        </w:rPr>
        <w:drawing>
          <wp:inline distT="0" distB="0" distL="0" distR="0" wp14:anchorId="0632536B" wp14:editId="53B6DEDA">
            <wp:extent cx="4724400" cy="4724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724400" cy="4724400"/>
                    </a:xfrm>
                    <a:prstGeom prst="rect">
                      <a:avLst/>
                    </a:prstGeom>
                    <a:noFill/>
                    <a:ln>
                      <a:noFill/>
                    </a:ln>
                  </pic:spPr>
                </pic:pic>
              </a:graphicData>
            </a:graphic>
          </wp:inline>
        </w:drawing>
      </w:r>
    </w:p>
    <w:p w14:paraId="566BF2CE" w14:textId="5F9D9FD0" w:rsidR="009B3987" w:rsidRDefault="009B3987" w:rsidP="009B3987">
      <w:pPr>
        <w:spacing w:line="240" w:lineRule="auto"/>
        <w:jc w:val="both"/>
        <w:rPr>
          <w:rFonts w:ascii="Times New Roman" w:hAnsi="Times New Roman" w:cs="Times New Roman"/>
        </w:rPr>
        <w:sectPr w:rsidR="009B3987" w:rsidSect="00141B6D">
          <w:pgSz w:w="16838" w:h="11906" w:orient="landscape"/>
          <w:pgMar w:top="720" w:right="720" w:bottom="720" w:left="720" w:header="708" w:footer="708" w:gutter="0"/>
          <w:cols w:space="708"/>
          <w:docGrid w:linePitch="360"/>
        </w:sectPr>
      </w:pPr>
      <w:r>
        <w:rPr>
          <w:rFonts w:ascii="Times New Roman" w:hAnsi="Times New Roman" w:cs="Times New Roman"/>
          <w:sz w:val="20"/>
          <w:szCs w:val="20"/>
        </w:rPr>
        <w:t>Notes: Each data</w:t>
      </w:r>
      <w:r w:rsidR="003A40D8">
        <w:rPr>
          <w:rFonts w:ascii="Times New Roman" w:hAnsi="Times New Roman" w:cs="Times New Roman"/>
          <w:sz w:val="20"/>
          <w:szCs w:val="20"/>
        </w:rPr>
        <w:t xml:space="preserve"> </w:t>
      </w:r>
      <w:r>
        <w:rPr>
          <w:rFonts w:ascii="Times New Roman" w:hAnsi="Times New Roman" w:cs="Times New Roman"/>
          <w:sz w:val="20"/>
          <w:szCs w:val="20"/>
        </w:rPr>
        <w:t>point represents one SOC occupation. Dashed lines illustrate the unweighted occupational average. Both graphs present the matching estimates, where comparators have been restricted to those working in professional jobs. The left-hand graph compares the percentage of workers in each occupation who have been prescribed antidepressants (horizontal axis) to the percentage of workers in the top quartile of the Biobank depression scale (vertical axis). The graph on the right presents analogous results for the percentage of workers in each occupation who say they are unhappy (vertical axis) and unhappy with work (horizontal axis). Results restricted to occupations where the sample size is above 250.</w:t>
      </w:r>
      <w:r>
        <w:rPr>
          <w:rFonts w:ascii="Times New Roman" w:hAnsi="Times New Roman" w:cs="Times New Roman"/>
        </w:rPr>
        <w:t xml:space="preserve"> </w:t>
      </w:r>
      <w:r w:rsidR="00C15BFD">
        <w:rPr>
          <w:rFonts w:ascii="Times New Roman" w:hAnsi="Times New Roman" w:cs="Times New Roman"/>
        </w:rPr>
        <w:t xml:space="preserve">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UK Biobank</w:t>
      </w:r>
      <w:r w:rsidR="00C15BFD" w:rsidRPr="00C15BFD">
        <w:rPr>
          <w:rFonts w:ascii="Times New Roman" w:hAnsi="Times New Roman" w:cs="Times New Roman"/>
          <w:sz w:val="20"/>
          <w:szCs w:val="20"/>
        </w:rPr>
        <w:t>.</w:t>
      </w:r>
    </w:p>
    <w:p w14:paraId="064EA91F" w14:textId="3FB32772" w:rsidR="009B3987" w:rsidRPr="009B3987" w:rsidRDefault="009B3987" w:rsidP="009B3987">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lastRenderedPageBreak/>
        <w:t xml:space="preserve">Panel (b) of Figure 3.5 provides analogous results with respect to whether teachers are unhappy in general (vertical axis) and unhappy specifically at work (horizontal axis). Broadly speaking, a similar finding emerges, with the proportion of unhappy SEN, primary and secondary teachers similar to the cross-profession average. This message </w:t>
      </w:r>
      <w:r w:rsidR="00C9614A" w:rsidRPr="009B3987">
        <w:rPr>
          <w:rFonts w:ascii="Times New Roman" w:hAnsi="Times New Roman" w:cs="Times New Roman"/>
          <w:sz w:val="24"/>
          <w:szCs w:val="24"/>
        </w:rPr>
        <w:t>i</w:t>
      </w:r>
      <w:r w:rsidR="00C9614A">
        <w:rPr>
          <w:rFonts w:ascii="Times New Roman" w:hAnsi="Times New Roman" w:cs="Times New Roman"/>
          <w:sz w:val="24"/>
          <w:szCs w:val="24"/>
        </w:rPr>
        <w:t>s</w:t>
      </w:r>
      <w:r w:rsidR="00C9614A" w:rsidRPr="009B3987">
        <w:rPr>
          <w:rFonts w:ascii="Times New Roman" w:hAnsi="Times New Roman" w:cs="Times New Roman"/>
          <w:sz w:val="24"/>
          <w:szCs w:val="24"/>
        </w:rPr>
        <w:t xml:space="preserve"> </w:t>
      </w:r>
      <w:r w:rsidRPr="009B3987">
        <w:rPr>
          <w:rFonts w:ascii="Times New Roman" w:hAnsi="Times New Roman" w:cs="Times New Roman"/>
          <w:sz w:val="24"/>
          <w:szCs w:val="24"/>
        </w:rPr>
        <w:t xml:space="preserve">again reinforced by Table 3.3, which illustrates how teachers do not generally stand out from most of our selected occupational comparators. The one potential exception is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with the data</w:t>
      </w:r>
      <w:r w:rsidR="003A40D8">
        <w:rPr>
          <w:rFonts w:ascii="Times New Roman" w:hAnsi="Times New Roman" w:cs="Times New Roman"/>
          <w:sz w:val="24"/>
          <w:szCs w:val="24"/>
        </w:rPr>
        <w:t xml:space="preserve"> </w:t>
      </w:r>
      <w:r w:rsidRPr="009B3987">
        <w:rPr>
          <w:rFonts w:ascii="Times New Roman" w:hAnsi="Times New Roman" w:cs="Times New Roman"/>
          <w:sz w:val="24"/>
          <w:szCs w:val="24"/>
        </w:rPr>
        <w:t>point for this group sitting in the bottom</w:t>
      </w:r>
      <w:r w:rsidR="00C9614A">
        <w:rPr>
          <w:rFonts w:ascii="Times New Roman" w:hAnsi="Times New Roman" w:cs="Times New Roman"/>
          <w:sz w:val="24"/>
          <w:szCs w:val="24"/>
        </w:rPr>
        <w:t xml:space="preserve"> </w:t>
      </w:r>
      <w:r w:rsidRPr="009B3987">
        <w:rPr>
          <w:rFonts w:ascii="Times New Roman" w:hAnsi="Times New Roman" w:cs="Times New Roman"/>
          <w:sz w:val="24"/>
          <w:szCs w:val="24"/>
        </w:rPr>
        <w:t>left</w:t>
      </w:r>
      <w:r w:rsidR="00C9614A">
        <w:rPr>
          <w:rFonts w:ascii="Times New Roman" w:hAnsi="Times New Roman" w:cs="Times New Roman"/>
          <w:sz w:val="24"/>
          <w:szCs w:val="24"/>
        </w:rPr>
        <w:t>-</w:t>
      </w:r>
      <w:r w:rsidRPr="009B3987">
        <w:rPr>
          <w:rFonts w:ascii="Times New Roman" w:hAnsi="Times New Roman" w:cs="Times New Roman"/>
          <w:sz w:val="24"/>
          <w:szCs w:val="24"/>
        </w:rPr>
        <w:t xml:space="preserve">hand corner of Figure 3.5 panel (b). In other words,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xml:space="preserve"> are somewhat less likely to be unhappy (both in general and while at work) than demographically similar individuals working in other professional jobs. This is consistent with our findings from the APS. </w:t>
      </w:r>
    </w:p>
    <w:p w14:paraId="12BACD67" w14:textId="56FD24E4" w:rsidR="009B3987" w:rsidRPr="009B3987" w:rsidRDefault="009B3987" w:rsidP="009B3987">
      <w:pPr>
        <w:spacing w:line="240" w:lineRule="auto"/>
        <w:jc w:val="center"/>
        <w:rPr>
          <w:rFonts w:ascii="Times New Roman" w:hAnsi="Times New Roman" w:cs="Times New Roman"/>
          <w:b/>
          <w:sz w:val="24"/>
          <w:szCs w:val="24"/>
        </w:rPr>
      </w:pPr>
      <w:r w:rsidRPr="009B3987">
        <w:rPr>
          <w:rFonts w:ascii="Times New Roman" w:hAnsi="Times New Roman" w:cs="Times New Roman"/>
          <w:b/>
          <w:sz w:val="24"/>
          <w:szCs w:val="24"/>
        </w:rPr>
        <w:t xml:space="preserve">Table 3.3 </w:t>
      </w:r>
      <w:proofErr w:type="gramStart"/>
      <w:r w:rsidRPr="009B3987">
        <w:rPr>
          <w:rFonts w:ascii="Times New Roman" w:hAnsi="Times New Roman" w:cs="Times New Roman"/>
          <w:b/>
          <w:sz w:val="24"/>
          <w:szCs w:val="24"/>
        </w:rPr>
        <w:t>The</w:t>
      </w:r>
      <w:proofErr w:type="gramEnd"/>
      <w:r w:rsidRPr="009B3987">
        <w:rPr>
          <w:rFonts w:ascii="Times New Roman" w:hAnsi="Times New Roman" w:cs="Times New Roman"/>
          <w:b/>
          <w:sz w:val="24"/>
          <w:szCs w:val="24"/>
        </w:rPr>
        <w:t xml:space="preserve"> wellbeing mental health of teachers compared to selected comparator professions. Matching results from the UK Biobank. </w:t>
      </w:r>
    </w:p>
    <w:tbl>
      <w:tblPr>
        <w:tblW w:w="8540" w:type="dxa"/>
        <w:tblLook w:val="04A0" w:firstRow="1" w:lastRow="0" w:firstColumn="1" w:lastColumn="0" w:noHBand="0" w:noVBand="1"/>
      </w:tblPr>
      <w:tblGrid>
        <w:gridCol w:w="3620"/>
        <w:gridCol w:w="1280"/>
        <w:gridCol w:w="1598"/>
        <w:gridCol w:w="1085"/>
        <w:gridCol w:w="1100"/>
      </w:tblGrid>
      <w:tr w:rsidR="003E23E1" w:rsidRPr="003E23E1" w14:paraId="01CD1F55" w14:textId="77777777" w:rsidTr="003E23E1">
        <w:trPr>
          <w:trHeight w:val="850"/>
        </w:trPr>
        <w:tc>
          <w:tcPr>
            <w:tcW w:w="3620" w:type="dxa"/>
            <w:tcBorders>
              <w:top w:val="single" w:sz="8" w:space="0" w:color="auto"/>
              <w:left w:val="nil"/>
              <w:bottom w:val="single" w:sz="8" w:space="0" w:color="auto"/>
              <w:right w:val="nil"/>
            </w:tcBorders>
            <w:shd w:val="clear" w:color="000000" w:fill="9BC2E6"/>
            <w:vAlign w:val="center"/>
            <w:hideMark/>
          </w:tcPr>
          <w:p w14:paraId="04048F36" w14:textId="77777777" w:rsidR="003E23E1" w:rsidRPr="003E23E1" w:rsidRDefault="003E23E1" w:rsidP="003E23E1">
            <w:pPr>
              <w:spacing w:after="0" w:line="240" w:lineRule="auto"/>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Occupation</w:t>
            </w:r>
          </w:p>
        </w:tc>
        <w:tc>
          <w:tcPr>
            <w:tcW w:w="1280" w:type="dxa"/>
            <w:tcBorders>
              <w:top w:val="single" w:sz="8" w:space="0" w:color="auto"/>
              <w:left w:val="nil"/>
              <w:bottom w:val="single" w:sz="8" w:space="0" w:color="auto"/>
              <w:right w:val="nil"/>
            </w:tcBorders>
            <w:shd w:val="clear" w:color="000000" w:fill="9BC2E6"/>
            <w:vAlign w:val="center"/>
            <w:hideMark/>
          </w:tcPr>
          <w:p w14:paraId="3DF6AE0F" w14:textId="77777777" w:rsidR="003E23E1" w:rsidRPr="003E23E1" w:rsidRDefault="003E23E1" w:rsidP="003E23E1">
            <w:pPr>
              <w:spacing w:after="0" w:line="240" w:lineRule="auto"/>
              <w:jc w:val="center"/>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Top quartile depression index</w:t>
            </w:r>
          </w:p>
        </w:tc>
        <w:tc>
          <w:tcPr>
            <w:tcW w:w="1580" w:type="dxa"/>
            <w:tcBorders>
              <w:top w:val="single" w:sz="8" w:space="0" w:color="auto"/>
              <w:left w:val="nil"/>
              <w:bottom w:val="single" w:sz="8" w:space="0" w:color="auto"/>
              <w:right w:val="nil"/>
            </w:tcBorders>
            <w:shd w:val="clear" w:color="000000" w:fill="9BC2E6"/>
            <w:vAlign w:val="center"/>
            <w:hideMark/>
          </w:tcPr>
          <w:p w14:paraId="3B804C11" w14:textId="77777777" w:rsidR="003E23E1" w:rsidRPr="003E23E1" w:rsidRDefault="003E23E1" w:rsidP="003E23E1">
            <w:pPr>
              <w:spacing w:after="0" w:line="240" w:lineRule="auto"/>
              <w:jc w:val="center"/>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Prescribed antidepressant</w:t>
            </w:r>
          </w:p>
        </w:tc>
        <w:tc>
          <w:tcPr>
            <w:tcW w:w="960" w:type="dxa"/>
            <w:tcBorders>
              <w:top w:val="single" w:sz="8" w:space="0" w:color="auto"/>
              <w:left w:val="nil"/>
              <w:bottom w:val="single" w:sz="8" w:space="0" w:color="auto"/>
              <w:right w:val="nil"/>
            </w:tcBorders>
            <w:shd w:val="clear" w:color="000000" w:fill="9BC2E6"/>
            <w:vAlign w:val="center"/>
            <w:hideMark/>
          </w:tcPr>
          <w:p w14:paraId="43F3011E" w14:textId="77777777" w:rsidR="003E23E1" w:rsidRPr="003E23E1" w:rsidRDefault="003E23E1" w:rsidP="003E23E1">
            <w:pPr>
              <w:spacing w:after="0" w:line="240" w:lineRule="auto"/>
              <w:jc w:val="center"/>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Unhappy</w:t>
            </w:r>
          </w:p>
        </w:tc>
        <w:tc>
          <w:tcPr>
            <w:tcW w:w="1100" w:type="dxa"/>
            <w:tcBorders>
              <w:top w:val="single" w:sz="8" w:space="0" w:color="auto"/>
              <w:left w:val="nil"/>
              <w:bottom w:val="single" w:sz="8" w:space="0" w:color="auto"/>
              <w:right w:val="nil"/>
            </w:tcBorders>
            <w:shd w:val="clear" w:color="000000" w:fill="9BC2E6"/>
            <w:vAlign w:val="center"/>
            <w:hideMark/>
          </w:tcPr>
          <w:p w14:paraId="5C7EA6AD" w14:textId="77777777" w:rsidR="003E23E1" w:rsidRPr="003E23E1" w:rsidRDefault="003E23E1" w:rsidP="003E23E1">
            <w:pPr>
              <w:spacing w:after="0" w:line="240" w:lineRule="auto"/>
              <w:jc w:val="center"/>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Unhappy with work</w:t>
            </w:r>
          </w:p>
        </w:tc>
      </w:tr>
      <w:tr w:rsidR="003E23E1" w:rsidRPr="003E23E1" w14:paraId="331FD19E" w14:textId="77777777" w:rsidTr="003E23E1">
        <w:trPr>
          <w:trHeight w:val="290"/>
        </w:trPr>
        <w:tc>
          <w:tcPr>
            <w:tcW w:w="3620" w:type="dxa"/>
            <w:tcBorders>
              <w:top w:val="nil"/>
              <w:left w:val="nil"/>
              <w:bottom w:val="nil"/>
              <w:right w:val="nil"/>
            </w:tcBorders>
            <w:shd w:val="clear" w:color="auto" w:fill="auto"/>
            <w:noWrap/>
            <w:vAlign w:val="center"/>
            <w:hideMark/>
          </w:tcPr>
          <w:p w14:paraId="3537A33F"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Finance and investment analysts</w:t>
            </w:r>
          </w:p>
        </w:tc>
        <w:tc>
          <w:tcPr>
            <w:tcW w:w="1280" w:type="dxa"/>
            <w:tcBorders>
              <w:top w:val="nil"/>
              <w:left w:val="nil"/>
              <w:bottom w:val="nil"/>
              <w:right w:val="nil"/>
            </w:tcBorders>
            <w:shd w:val="clear" w:color="000000" w:fill="F8696B"/>
            <w:noWrap/>
            <w:vAlign w:val="center"/>
            <w:hideMark/>
          </w:tcPr>
          <w:p w14:paraId="327E778A"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27.3</w:t>
            </w:r>
          </w:p>
        </w:tc>
        <w:tc>
          <w:tcPr>
            <w:tcW w:w="1580" w:type="dxa"/>
            <w:tcBorders>
              <w:top w:val="nil"/>
              <w:left w:val="nil"/>
              <w:bottom w:val="nil"/>
              <w:right w:val="nil"/>
            </w:tcBorders>
            <w:shd w:val="clear" w:color="000000" w:fill="FCF3F5"/>
            <w:noWrap/>
            <w:vAlign w:val="center"/>
            <w:hideMark/>
          </w:tcPr>
          <w:p w14:paraId="38BCB6D6"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2.4</w:t>
            </w:r>
          </w:p>
        </w:tc>
        <w:tc>
          <w:tcPr>
            <w:tcW w:w="960" w:type="dxa"/>
            <w:tcBorders>
              <w:top w:val="nil"/>
              <w:left w:val="nil"/>
              <w:bottom w:val="nil"/>
              <w:right w:val="nil"/>
            </w:tcBorders>
            <w:shd w:val="clear" w:color="000000" w:fill="FCF1F4"/>
            <w:noWrap/>
            <w:vAlign w:val="center"/>
            <w:hideMark/>
          </w:tcPr>
          <w:p w14:paraId="3ABEF115"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w:t>
            </w:r>
          </w:p>
        </w:tc>
        <w:tc>
          <w:tcPr>
            <w:tcW w:w="1100" w:type="dxa"/>
            <w:tcBorders>
              <w:top w:val="nil"/>
              <w:left w:val="nil"/>
              <w:bottom w:val="nil"/>
              <w:right w:val="nil"/>
            </w:tcBorders>
            <w:shd w:val="clear" w:color="000000" w:fill="FAA2A4"/>
            <w:noWrap/>
            <w:vAlign w:val="center"/>
            <w:hideMark/>
          </w:tcPr>
          <w:p w14:paraId="4A337517"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12.6</w:t>
            </w:r>
          </w:p>
        </w:tc>
      </w:tr>
      <w:tr w:rsidR="003E23E1" w:rsidRPr="003E23E1" w14:paraId="3FAF6522" w14:textId="77777777" w:rsidTr="003E23E1">
        <w:trPr>
          <w:trHeight w:val="290"/>
        </w:trPr>
        <w:tc>
          <w:tcPr>
            <w:tcW w:w="3620" w:type="dxa"/>
            <w:tcBorders>
              <w:top w:val="nil"/>
              <w:left w:val="nil"/>
              <w:bottom w:val="nil"/>
              <w:right w:val="nil"/>
            </w:tcBorders>
            <w:shd w:val="clear" w:color="auto" w:fill="auto"/>
            <w:noWrap/>
            <w:vAlign w:val="center"/>
            <w:hideMark/>
          </w:tcPr>
          <w:p w14:paraId="66B96134"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Authors, writers and translators</w:t>
            </w:r>
          </w:p>
        </w:tc>
        <w:tc>
          <w:tcPr>
            <w:tcW w:w="1280" w:type="dxa"/>
            <w:tcBorders>
              <w:top w:val="nil"/>
              <w:left w:val="nil"/>
              <w:bottom w:val="nil"/>
              <w:right w:val="nil"/>
            </w:tcBorders>
            <w:shd w:val="clear" w:color="000000" w:fill="F9898C"/>
            <w:noWrap/>
            <w:vAlign w:val="center"/>
            <w:hideMark/>
          </w:tcPr>
          <w:p w14:paraId="70D2FAAE"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24.5</w:t>
            </w:r>
          </w:p>
        </w:tc>
        <w:tc>
          <w:tcPr>
            <w:tcW w:w="1580" w:type="dxa"/>
            <w:tcBorders>
              <w:top w:val="nil"/>
              <w:left w:val="nil"/>
              <w:bottom w:val="nil"/>
              <w:right w:val="nil"/>
            </w:tcBorders>
            <w:shd w:val="clear" w:color="000000" w:fill="FBD2D5"/>
            <w:noWrap/>
            <w:vAlign w:val="center"/>
            <w:hideMark/>
          </w:tcPr>
          <w:p w14:paraId="68E7C98A"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3.7</w:t>
            </w:r>
          </w:p>
        </w:tc>
        <w:tc>
          <w:tcPr>
            <w:tcW w:w="960" w:type="dxa"/>
            <w:tcBorders>
              <w:top w:val="nil"/>
              <w:left w:val="nil"/>
              <w:bottom w:val="nil"/>
              <w:right w:val="nil"/>
            </w:tcBorders>
            <w:shd w:val="clear" w:color="000000" w:fill="FCE8EB"/>
            <w:noWrap/>
            <w:vAlign w:val="center"/>
            <w:hideMark/>
          </w:tcPr>
          <w:p w14:paraId="1F2B955E"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3.8</w:t>
            </w:r>
          </w:p>
        </w:tc>
        <w:tc>
          <w:tcPr>
            <w:tcW w:w="1100" w:type="dxa"/>
            <w:tcBorders>
              <w:top w:val="nil"/>
              <w:left w:val="nil"/>
              <w:bottom w:val="nil"/>
              <w:right w:val="nil"/>
            </w:tcBorders>
            <w:shd w:val="clear" w:color="000000" w:fill="FBD5D7"/>
            <w:noWrap/>
            <w:vAlign w:val="center"/>
            <w:hideMark/>
          </w:tcPr>
          <w:p w14:paraId="660DEFA4"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8</w:t>
            </w:r>
          </w:p>
        </w:tc>
      </w:tr>
      <w:tr w:rsidR="003E23E1" w:rsidRPr="003E23E1" w14:paraId="7625C207" w14:textId="77777777" w:rsidTr="003E23E1">
        <w:trPr>
          <w:trHeight w:val="290"/>
        </w:trPr>
        <w:tc>
          <w:tcPr>
            <w:tcW w:w="3620" w:type="dxa"/>
            <w:tcBorders>
              <w:top w:val="nil"/>
              <w:left w:val="nil"/>
              <w:bottom w:val="nil"/>
              <w:right w:val="nil"/>
            </w:tcBorders>
            <w:shd w:val="clear" w:color="auto" w:fill="auto"/>
            <w:noWrap/>
            <w:vAlign w:val="center"/>
            <w:hideMark/>
          </w:tcPr>
          <w:p w14:paraId="46C79B2C"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Graphic designers</w:t>
            </w:r>
          </w:p>
        </w:tc>
        <w:tc>
          <w:tcPr>
            <w:tcW w:w="1280" w:type="dxa"/>
            <w:tcBorders>
              <w:top w:val="nil"/>
              <w:left w:val="nil"/>
              <w:bottom w:val="nil"/>
              <w:right w:val="nil"/>
            </w:tcBorders>
            <w:shd w:val="clear" w:color="000000" w:fill="FA9093"/>
            <w:noWrap/>
            <w:vAlign w:val="center"/>
            <w:hideMark/>
          </w:tcPr>
          <w:p w14:paraId="7298CE4F"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23.9</w:t>
            </w:r>
          </w:p>
        </w:tc>
        <w:tc>
          <w:tcPr>
            <w:tcW w:w="1580" w:type="dxa"/>
            <w:tcBorders>
              <w:top w:val="nil"/>
              <w:left w:val="nil"/>
              <w:bottom w:val="nil"/>
              <w:right w:val="nil"/>
            </w:tcBorders>
            <w:shd w:val="clear" w:color="000000" w:fill="F8696B"/>
            <w:noWrap/>
            <w:vAlign w:val="center"/>
            <w:hideMark/>
          </w:tcPr>
          <w:p w14:paraId="6B2F990B"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7.9</w:t>
            </w:r>
          </w:p>
        </w:tc>
        <w:tc>
          <w:tcPr>
            <w:tcW w:w="960" w:type="dxa"/>
            <w:tcBorders>
              <w:top w:val="nil"/>
              <w:left w:val="nil"/>
              <w:bottom w:val="nil"/>
              <w:right w:val="nil"/>
            </w:tcBorders>
            <w:shd w:val="clear" w:color="000000" w:fill="F8696B"/>
            <w:noWrap/>
            <w:vAlign w:val="center"/>
            <w:hideMark/>
          </w:tcPr>
          <w:p w14:paraId="1C0F2E03"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14.9</w:t>
            </w:r>
          </w:p>
        </w:tc>
        <w:tc>
          <w:tcPr>
            <w:tcW w:w="1100" w:type="dxa"/>
            <w:tcBorders>
              <w:top w:val="nil"/>
              <w:left w:val="nil"/>
              <w:bottom w:val="nil"/>
              <w:right w:val="nil"/>
            </w:tcBorders>
            <w:shd w:val="clear" w:color="000000" w:fill="FCF3F5"/>
            <w:noWrap/>
            <w:vAlign w:val="center"/>
            <w:hideMark/>
          </w:tcPr>
          <w:p w14:paraId="0D64FC0A"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5.3</w:t>
            </w:r>
          </w:p>
        </w:tc>
      </w:tr>
      <w:tr w:rsidR="003E23E1" w:rsidRPr="003E23E1" w14:paraId="41226F3E" w14:textId="77777777" w:rsidTr="003E23E1">
        <w:trPr>
          <w:trHeight w:val="290"/>
        </w:trPr>
        <w:tc>
          <w:tcPr>
            <w:tcW w:w="3620" w:type="dxa"/>
            <w:tcBorders>
              <w:top w:val="nil"/>
              <w:left w:val="nil"/>
              <w:bottom w:val="nil"/>
              <w:right w:val="nil"/>
            </w:tcBorders>
            <w:shd w:val="clear" w:color="auto" w:fill="auto"/>
            <w:noWrap/>
            <w:vAlign w:val="center"/>
            <w:hideMark/>
          </w:tcPr>
          <w:p w14:paraId="219181CD" w14:textId="229AABB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Public services (e.g. civil servant</w:t>
            </w:r>
            <w:r w:rsidR="00F61A2B">
              <w:rPr>
                <w:rFonts w:ascii="Times New Roman" w:eastAsia="Times New Roman" w:hAnsi="Times New Roman" w:cs="Times New Roman"/>
                <w:color w:val="000000"/>
                <w:lang w:eastAsia="en-GB"/>
              </w:rPr>
              <w:t>s</w:t>
            </w:r>
            <w:r w:rsidRPr="003E23E1">
              <w:rPr>
                <w:rFonts w:ascii="Times New Roman" w:eastAsia="Times New Roman" w:hAnsi="Times New Roman" w:cs="Times New Roman"/>
                <w:color w:val="000000"/>
                <w:lang w:eastAsia="en-GB"/>
              </w:rPr>
              <w:t>)</w:t>
            </w:r>
          </w:p>
        </w:tc>
        <w:tc>
          <w:tcPr>
            <w:tcW w:w="1280" w:type="dxa"/>
            <w:tcBorders>
              <w:top w:val="nil"/>
              <w:left w:val="nil"/>
              <w:bottom w:val="nil"/>
              <w:right w:val="nil"/>
            </w:tcBorders>
            <w:shd w:val="clear" w:color="000000" w:fill="FAA8AB"/>
            <w:noWrap/>
            <w:vAlign w:val="center"/>
            <w:hideMark/>
          </w:tcPr>
          <w:p w14:paraId="662D67AB"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21.8</w:t>
            </w:r>
          </w:p>
        </w:tc>
        <w:tc>
          <w:tcPr>
            <w:tcW w:w="1580" w:type="dxa"/>
            <w:tcBorders>
              <w:top w:val="nil"/>
              <w:left w:val="nil"/>
              <w:bottom w:val="nil"/>
              <w:right w:val="nil"/>
            </w:tcBorders>
            <w:shd w:val="clear" w:color="000000" w:fill="FAADAF"/>
            <w:noWrap/>
            <w:vAlign w:val="center"/>
            <w:hideMark/>
          </w:tcPr>
          <w:p w14:paraId="76EEEEEC"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5.2</w:t>
            </w:r>
          </w:p>
        </w:tc>
        <w:tc>
          <w:tcPr>
            <w:tcW w:w="960" w:type="dxa"/>
            <w:tcBorders>
              <w:top w:val="nil"/>
              <w:left w:val="nil"/>
              <w:bottom w:val="nil"/>
              <w:right w:val="nil"/>
            </w:tcBorders>
            <w:shd w:val="clear" w:color="000000" w:fill="FBC0C3"/>
            <w:noWrap/>
            <w:vAlign w:val="center"/>
            <w:hideMark/>
          </w:tcPr>
          <w:p w14:paraId="4750D1D7"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7.3</w:t>
            </w:r>
          </w:p>
        </w:tc>
        <w:tc>
          <w:tcPr>
            <w:tcW w:w="1100" w:type="dxa"/>
            <w:tcBorders>
              <w:top w:val="nil"/>
              <w:left w:val="nil"/>
              <w:bottom w:val="nil"/>
              <w:right w:val="nil"/>
            </w:tcBorders>
            <w:shd w:val="clear" w:color="000000" w:fill="F8696B"/>
            <w:noWrap/>
            <w:vAlign w:val="center"/>
            <w:hideMark/>
          </w:tcPr>
          <w:p w14:paraId="028EF38F"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17.7</w:t>
            </w:r>
          </w:p>
        </w:tc>
      </w:tr>
      <w:tr w:rsidR="003E23E1" w:rsidRPr="003E23E1" w14:paraId="4CEB5F3A" w14:textId="77777777" w:rsidTr="003E23E1">
        <w:trPr>
          <w:trHeight w:val="290"/>
        </w:trPr>
        <w:tc>
          <w:tcPr>
            <w:tcW w:w="3620" w:type="dxa"/>
            <w:tcBorders>
              <w:top w:val="dotted" w:sz="4" w:space="0" w:color="auto"/>
              <w:left w:val="dotted" w:sz="4" w:space="0" w:color="auto"/>
              <w:bottom w:val="dotted" w:sz="4" w:space="0" w:color="auto"/>
              <w:right w:val="nil"/>
            </w:tcBorders>
            <w:shd w:val="clear" w:color="auto" w:fill="auto"/>
            <w:noWrap/>
            <w:vAlign w:val="center"/>
            <w:hideMark/>
          </w:tcPr>
          <w:p w14:paraId="61128380" w14:textId="22BA6014"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SEN teacher</w:t>
            </w:r>
            <w:r w:rsidR="00F61A2B">
              <w:rPr>
                <w:rFonts w:ascii="Times New Roman" w:eastAsia="Times New Roman" w:hAnsi="Times New Roman" w:cs="Times New Roman"/>
                <w:color w:val="000000"/>
                <w:lang w:eastAsia="en-GB"/>
              </w:rPr>
              <w:t>s</w:t>
            </w:r>
          </w:p>
        </w:tc>
        <w:tc>
          <w:tcPr>
            <w:tcW w:w="1280" w:type="dxa"/>
            <w:tcBorders>
              <w:top w:val="dotted" w:sz="4" w:space="0" w:color="auto"/>
              <w:left w:val="nil"/>
              <w:bottom w:val="dotted" w:sz="4" w:space="0" w:color="auto"/>
              <w:right w:val="nil"/>
            </w:tcBorders>
            <w:shd w:val="clear" w:color="000000" w:fill="FAADAF"/>
            <w:noWrap/>
            <w:vAlign w:val="center"/>
            <w:hideMark/>
          </w:tcPr>
          <w:p w14:paraId="1E4BBE83"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21.4</w:t>
            </w:r>
          </w:p>
        </w:tc>
        <w:tc>
          <w:tcPr>
            <w:tcW w:w="1580" w:type="dxa"/>
            <w:tcBorders>
              <w:top w:val="dotted" w:sz="4" w:space="0" w:color="auto"/>
              <w:left w:val="nil"/>
              <w:bottom w:val="dotted" w:sz="4" w:space="0" w:color="auto"/>
              <w:right w:val="nil"/>
            </w:tcBorders>
            <w:shd w:val="clear" w:color="000000" w:fill="FBBCBE"/>
            <w:noWrap/>
            <w:vAlign w:val="center"/>
            <w:hideMark/>
          </w:tcPr>
          <w:p w14:paraId="5AD8687A"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4.6</w:t>
            </w:r>
          </w:p>
        </w:tc>
        <w:tc>
          <w:tcPr>
            <w:tcW w:w="960" w:type="dxa"/>
            <w:tcBorders>
              <w:top w:val="dotted" w:sz="4" w:space="0" w:color="auto"/>
              <w:left w:val="nil"/>
              <w:bottom w:val="dotted" w:sz="4" w:space="0" w:color="auto"/>
              <w:right w:val="nil"/>
            </w:tcBorders>
            <w:shd w:val="clear" w:color="000000" w:fill="FBD2D5"/>
            <w:noWrap/>
            <w:vAlign w:val="center"/>
            <w:hideMark/>
          </w:tcPr>
          <w:p w14:paraId="3B2CF5B3"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5.7</w:t>
            </w:r>
          </w:p>
        </w:tc>
        <w:tc>
          <w:tcPr>
            <w:tcW w:w="1100" w:type="dxa"/>
            <w:tcBorders>
              <w:top w:val="dotted" w:sz="4" w:space="0" w:color="auto"/>
              <w:left w:val="nil"/>
              <w:bottom w:val="dotted" w:sz="4" w:space="0" w:color="auto"/>
              <w:right w:val="dotted" w:sz="4" w:space="0" w:color="auto"/>
            </w:tcBorders>
            <w:shd w:val="clear" w:color="000000" w:fill="FCEAED"/>
            <w:noWrap/>
            <w:vAlign w:val="center"/>
            <w:hideMark/>
          </w:tcPr>
          <w:p w14:paraId="46DAA4A6"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6.1</w:t>
            </w:r>
          </w:p>
        </w:tc>
      </w:tr>
      <w:tr w:rsidR="003E23E1" w:rsidRPr="003E23E1" w14:paraId="154C2D48" w14:textId="77777777" w:rsidTr="003E23E1">
        <w:trPr>
          <w:trHeight w:val="290"/>
        </w:trPr>
        <w:tc>
          <w:tcPr>
            <w:tcW w:w="3620" w:type="dxa"/>
            <w:tcBorders>
              <w:top w:val="nil"/>
              <w:left w:val="nil"/>
              <w:bottom w:val="nil"/>
              <w:right w:val="nil"/>
            </w:tcBorders>
            <w:shd w:val="clear" w:color="auto" w:fill="auto"/>
            <w:noWrap/>
            <w:vAlign w:val="center"/>
            <w:hideMark/>
          </w:tcPr>
          <w:p w14:paraId="7CB115A0"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Social workers</w:t>
            </w:r>
          </w:p>
        </w:tc>
        <w:tc>
          <w:tcPr>
            <w:tcW w:w="1280" w:type="dxa"/>
            <w:tcBorders>
              <w:top w:val="nil"/>
              <w:left w:val="nil"/>
              <w:bottom w:val="nil"/>
              <w:right w:val="nil"/>
            </w:tcBorders>
            <w:shd w:val="clear" w:color="000000" w:fill="FAB1B4"/>
            <w:noWrap/>
            <w:vAlign w:val="center"/>
            <w:hideMark/>
          </w:tcPr>
          <w:p w14:paraId="309787FF"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21</w:t>
            </w:r>
          </w:p>
        </w:tc>
        <w:tc>
          <w:tcPr>
            <w:tcW w:w="1580" w:type="dxa"/>
            <w:tcBorders>
              <w:top w:val="nil"/>
              <w:left w:val="nil"/>
              <w:bottom w:val="nil"/>
              <w:right w:val="nil"/>
            </w:tcBorders>
            <w:shd w:val="clear" w:color="000000" w:fill="FAAFB2"/>
            <w:noWrap/>
            <w:vAlign w:val="center"/>
            <w:hideMark/>
          </w:tcPr>
          <w:p w14:paraId="404918A1"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5.1</w:t>
            </w:r>
          </w:p>
        </w:tc>
        <w:tc>
          <w:tcPr>
            <w:tcW w:w="960" w:type="dxa"/>
            <w:tcBorders>
              <w:top w:val="nil"/>
              <w:left w:val="nil"/>
              <w:bottom w:val="nil"/>
              <w:right w:val="nil"/>
            </w:tcBorders>
            <w:shd w:val="clear" w:color="000000" w:fill="FBB5B7"/>
            <w:noWrap/>
            <w:vAlign w:val="center"/>
            <w:hideMark/>
          </w:tcPr>
          <w:p w14:paraId="4F42ADE8"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8.3</w:t>
            </w:r>
          </w:p>
        </w:tc>
        <w:tc>
          <w:tcPr>
            <w:tcW w:w="1100" w:type="dxa"/>
            <w:tcBorders>
              <w:top w:val="nil"/>
              <w:left w:val="nil"/>
              <w:bottom w:val="nil"/>
              <w:right w:val="nil"/>
            </w:tcBorders>
            <w:shd w:val="clear" w:color="000000" w:fill="FA8F91"/>
            <w:noWrap/>
            <w:vAlign w:val="center"/>
            <w:hideMark/>
          </w:tcPr>
          <w:p w14:paraId="4C1679D1"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14.3</w:t>
            </w:r>
          </w:p>
        </w:tc>
      </w:tr>
      <w:tr w:rsidR="003E23E1" w:rsidRPr="003E23E1" w14:paraId="09853F13" w14:textId="77777777" w:rsidTr="003E23E1">
        <w:trPr>
          <w:trHeight w:val="290"/>
        </w:trPr>
        <w:tc>
          <w:tcPr>
            <w:tcW w:w="3620" w:type="dxa"/>
            <w:tcBorders>
              <w:top w:val="nil"/>
              <w:left w:val="nil"/>
              <w:bottom w:val="nil"/>
              <w:right w:val="nil"/>
            </w:tcBorders>
            <w:shd w:val="clear" w:color="auto" w:fill="auto"/>
            <w:noWrap/>
            <w:vAlign w:val="center"/>
            <w:hideMark/>
          </w:tcPr>
          <w:p w14:paraId="2671DB48"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Journalists</w:t>
            </w:r>
          </w:p>
        </w:tc>
        <w:tc>
          <w:tcPr>
            <w:tcW w:w="1280" w:type="dxa"/>
            <w:tcBorders>
              <w:top w:val="nil"/>
              <w:left w:val="nil"/>
              <w:bottom w:val="nil"/>
              <w:right w:val="nil"/>
            </w:tcBorders>
            <w:shd w:val="clear" w:color="000000" w:fill="FAB2B5"/>
            <w:noWrap/>
            <w:vAlign w:val="center"/>
            <w:hideMark/>
          </w:tcPr>
          <w:p w14:paraId="78F60E81"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20.9</w:t>
            </w:r>
          </w:p>
        </w:tc>
        <w:tc>
          <w:tcPr>
            <w:tcW w:w="1580" w:type="dxa"/>
            <w:tcBorders>
              <w:top w:val="nil"/>
              <w:left w:val="nil"/>
              <w:bottom w:val="nil"/>
              <w:right w:val="nil"/>
            </w:tcBorders>
            <w:shd w:val="clear" w:color="000000" w:fill="FBC1C3"/>
            <w:noWrap/>
            <w:vAlign w:val="center"/>
            <w:hideMark/>
          </w:tcPr>
          <w:p w14:paraId="1297514B"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4.4</w:t>
            </w:r>
          </w:p>
        </w:tc>
        <w:tc>
          <w:tcPr>
            <w:tcW w:w="960" w:type="dxa"/>
            <w:tcBorders>
              <w:top w:val="nil"/>
              <w:left w:val="nil"/>
              <w:bottom w:val="nil"/>
              <w:right w:val="nil"/>
            </w:tcBorders>
            <w:shd w:val="clear" w:color="000000" w:fill="FCDBDE"/>
            <w:noWrap/>
            <w:vAlign w:val="center"/>
            <w:hideMark/>
          </w:tcPr>
          <w:p w14:paraId="52166969"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4.9</w:t>
            </w:r>
          </w:p>
        </w:tc>
        <w:tc>
          <w:tcPr>
            <w:tcW w:w="1100" w:type="dxa"/>
            <w:tcBorders>
              <w:top w:val="nil"/>
              <w:left w:val="nil"/>
              <w:bottom w:val="nil"/>
              <w:right w:val="nil"/>
            </w:tcBorders>
            <w:shd w:val="clear" w:color="000000" w:fill="FBC3C6"/>
            <w:noWrap/>
            <w:vAlign w:val="center"/>
            <w:hideMark/>
          </w:tcPr>
          <w:p w14:paraId="40D6BFB4"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9.6</w:t>
            </w:r>
          </w:p>
        </w:tc>
      </w:tr>
      <w:tr w:rsidR="003E23E1" w:rsidRPr="003E23E1" w14:paraId="421CD63C" w14:textId="77777777" w:rsidTr="003E23E1">
        <w:trPr>
          <w:trHeight w:val="290"/>
        </w:trPr>
        <w:tc>
          <w:tcPr>
            <w:tcW w:w="3620" w:type="dxa"/>
            <w:tcBorders>
              <w:top w:val="nil"/>
              <w:left w:val="nil"/>
              <w:bottom w:val="nil"/>
              <w:right w:val="nil"/>
            </w:tcBorders>
            <w:shd w:val="clear" w:color="auto" w:fill="auto"/>
            <w:noWrap/>
            <w:vAlign w:val="center"/>
            <w:hideMark/>
          </w:tcPr>
          <w:p w14:paraId="57D177D8"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HR officers</w:t>
            </w:r>
          </w:p>
        </w:tc>
        <w:tc>
          <w:tcPr>
            <w:tcW w:w="1280" w:type="dxa"/>
            <w:tcBorders>
              <w:top w:val="nil"/>
              <w:left w:val="nil"/>
              <w:bottom w:val="nil"/>
              <w:right w:val="nil"/>
            </w:tcBorders>
            <w:shd w:val="clear" w:color="000000" w:fill="FBBEC0"/>
            <w:noWrap/>
            <w:vAlign w:val="center"/>
            <w:hideMark/>
          </w:tcPr>
          <w:p w14:paraId="19EF7F4D"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19.9</w:t>
            </w:r>
          </w:p>
        </w:tc>
        <w:tc>
          <w:tcPr>
            <w:tcW w:w="1580" w:type="dxa"/>
            <w:tcBorders>
              <w:top w:val="nil"/>
              <w:left w:val="nil"/>
              <w:bottom w:val="nil"/>
              <w:right w:val="nil"/>
            </w:tcBorders>
            <w:shd w:val="clear" w:color="000000" w:fill="FCDCDF"/>
            <w:noWrap/>
            <w:vAlign w:val="center"/>
            <w:hideMark/>
          </w:tcPr>
          <w:p w14:paraId="13F35AAF"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3.3</w:t>
            </w:r>
          </w:p>
        </w:tc>
        <w:tc>
          <w:tcPr>
            <w:tcW w:w="960" w:type="dxa"/>
            <w:tcBorders>
              <w:top w:val="nil"/>
              <w:left w:val="nil"/>
              <w:bottom w:val="nil"/>
              <w:right w:val="nil"/>
            </w:tcBorders>
            <w:shd w:val="clear" w:color="000000" w:fill="FCFCFF"/>
            <w:noWrap/>
            <w:vAlign w:val="center"/>
            <w:hideMark/>
          </w:tcPr>
          <w:p w14:paraId="79EA9767"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w:t>
            </w:r>
          </w:p>
        </w:tc>
        <w:tc>
          <w:tcPr>
            <w:tcW w:w="1100" w:type="dxa"/>
            <w:tcBorders>
              <w:top w:val="nil"/>
              <w:left w:val="nil"/>
              <w:bottom w:val="nil"/>
              <w:right w:val="nil"/>
            </w:tcBorders>
            <w:shd w:val="clear" w:color="000000" w:fill="FA9DA0"/>
            <w:noWrap/>
            <w:vAlign w:val="center"/>
            <w:hideMark/>
          </w:tcPr>
          <w:p w14:paraId="37BF5496"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13</w:t>
            </w:r>
          </w:p>
        </w:tc>
      </w:tr>
      <w:tr w:rsidR="003E23E1" w:rsidRPr="003E23E1" w14:paraId="3A4D3439" w14:textId="77777777" w:rsidTr="003E23E1">
        <w:trPr>
          <w:trHeight w:val="290"/>
        </w:trPr>
        <w:tc>
          <w:tcPr>
            <w:tcW w:w="3620" w:type="dxa"/>
            <w:tcBorders>
              <w:top w:val="nil"/>
              <w:left w:val="nil"/>
              <w:bottom w:val="nil"/>
              <w:right w:val="nil"/>
            </w:tcBorders>
            <w:shd w:val="clear" w:color="auto" w:fill="auto"/>
            <w:noWrap/>
            <w:vAlign w:val="center"/>
            <w:hideMark/>
          </w:tcPr>
          <w:p w14:paraId="67538A2B"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IT professionals</w:t>
            </w:r>
          </w:p>
        </w:tc>
        <w:tc>
          <w:tcPr>
            <w:tcW w:w="1280" w:type="dxa"/>
            <w:tcBorders>
              <w:top w:val="nil"/>
              <w:left w:val="nil"/>
              <w:bottom w:val="nil"/>
              <w:right w:val="nil"/>
            </w:tcBorders>
            <w:shd w:val="clear" w:color="000000" w:fill="FBC1C4"/>
            <w:noWrap/>
            <w:vAlign w:val="center"/>
            <w:hideMark/>
          </w:tcPr>
          <w:p w14:paraId="0AE893AD"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19.6</w:t>
            </w:r>
          </w:p>
        </w:tc>
        <w:tc>
          <w:tcPr>
            <w:tcW w:w="1580" w:type="dxa"/>
            <w:tcBorders>
              <w:top w:val="nil"/>
              <w:left w:val="nil"/>
              <w:bottom w:val="nil"/>
              <w:right w:val="nil"/>
            </w:tcBorders>
            <w:shd w:val="clear" w:color="000000" w:fill="FCFCFF"/>
            <w:noWrap/>
            <w:vAlign w:val="center"/>
            <w:hideMark/>
          </w:tcPr>
          <w:p w14:paraId="17761796"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w:t>
            </w:r>
          </w:p>
        </w:tc>
        <w:tc>
          <w:tcPr>
            <w:tcW w:w="960" w:type="dxa"/>
            <w:tcBorders>
              <w:top w:val="nil"/>
              <w:left w:val="nil"/>
              <w:bottom w:val="nil"/>
              <w:right w:val="nil"/>
            </w:tcBorders>
            <w:shd w:val="clear" w:color="000000" w:fill="FAAFB1"/>
            <w:noWrap/>
            <w:vAlign w:val="center"/>
            <w:hideMark/>
          </w:tcPr>
          <w:p w14:paraId="287390C3"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8.8</w:t>
            </w:r>
          </w:p>
        </w:tc>
        <w:tc>
          <w:tcPr>
            <w:tcW w:w="1100" w:type="dxa"/>
            <w:tcBorders>
              <w:top w:val="nil"/>
              <w:left w:val="nil"/>
              <w:bottom w:val="nil"/>
              <w:right w:val="nil"/>
            </w:tcBorders>
            <w:shd w:val="clear" w:color="000000" w:fill="F97D80"/>
            <w:noWrap/>
            <w:vAlign w:val="center"/>
            <w:hideMark/>
          </w:tcPr>
          <w:p w14:paraId="74855650"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15.9</w:t>
            </w:r>
          </w:p>
        </w:tc>
      </w:tr>
      <w:tr w:rsidR="003E23E1" w:rsidRPr="003E23E1" w14:paraId="2EA0C646" w14:textId="77777777" w:rsidTr="003E23E1">
        <w:trPr>
          <w:trHeight w:val="290"/>
        </w:trPr>
        <w:tc>
          <w:tcPr>
            <w:tcW w:w="3620" w:type="dxa"/>
            <w:tcBorders>
              <w:top w:val="dotted" w:sz="4" w:space="0" w:color="auto"/>
              <w:left w:val="dotted" w:sz="4" w:space="0" w:color="auto"/>
              <w:bottom w:val="dotted" w:sz="4" w:space="0" w:color="auto"/>
              <w:right w:val="nil"/>
            </w:tcBorders>
            <w:shd w:val="clear" w:color="auto" w:fill="auto"/>
            <w:noWrap/>
            <w:vAlign w:val="center"/>
            <w:hideMark/>
          </w:tcPr>
          <w:p w14:paraId="3ED93D9B" w14:textId="63049583"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Primary teacher</w:t>
            </w:r>
            <w:r w:rsidR="00F61A2B">
              <w:rPr>
                <w:rFonts w:ascii="Times New Roman" w:eastAsia="Times New Roman" w:hAnsi="Times New Roman" w:cs="Times New Roman"/>
                <w:color w:val="000000"/>
                <w:lang w:eastAsia="en-GB"/>
              </w:rPr>
              <w:t>s</w:t>
            </w:r>
          </w:p>
        </w:tc>
        <w:tc>
          <w:tcPr>
            <w:tcW w:w="1280" w:type="dxa"/>
            <w:tcBorders>
              <w:top w:val="dotted" w:sz="4" w:space="0" w:color="auto"/>
              <w:left w:val="nil"/>
              <w:bottom w:val="dotted" w:sz="4" w:space="0" w:color="auto"/>
              <w:right w:val="nil"/>
            </w:tcBorders>
            <w:shd w:val="clear" w:color="000000" w:fill="FBC4C6"/>
            <w:noWrap/>
            <w:vAlign w:val="center"/>
            <w:hideMark/>
          </w:tcPr>
          <w:p w14:paraId="2F1D476A"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19.4</w:t>
            </w:r>
          </w:p>
        </w:tc>
        <w:tc>
          <w:tcPr>
            <w:tcW w:w="1580" w:type="dxa"/>
            <w:tcBorders>
              <w:top w:val="dotted" w:sz="4" w:space="0" w:color="auto"/>
              <w:left w:val="nil"/>
              <w:bottom w:val="dotted" w:sz="4" w:space="0" w:color="auto"/>
              <w:right w:val="nil"/>
            </w:tcBorders>
            <w:shd w:val="clear" w:color="000000" w:fill="FBB9BC"/>
            <w:noWrap/>
            <w:vAlign w:val="center"/>
            <w:hideMark/>
          </w:tcPr>
          <w:p w14:paraId="11497AC3"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4.7</w:t>
            </w:r>
          </w:p>
        </w:tc>
        <w:tc>
          <w:tcPr>
            <w:tcW w:w="960" w:type="dxa"/>
            <w:tcBorders>
              <w:top w:val="dotted" w:sz="4" w:space="0" w:color="auto"/>
              <w:left w:val="nil"/>
              <w:bottom w:val="dotted" w:sz="4" w:space="0" w:color="auto"/>
              <w:right w:val="nil"/>
            </w:tcBorders>
            <w:shd w:val="clear" w:color="000000" w:fill="FCE6E9"/>
            <w:noWrap/>
            <w:vAlign w:val="center"/>
            <w:hideMark/>
          </w:tcPr>
          <w:p w14:paraId="4AF748BB"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4</w:t>
            </w:r>
          </w:p>
        </w:tc>
        <w:tc>
          <w:tcPr>
            <w:tcW w:w="1100" w:type="dxa"/>
            <w:tcBorders>
              <w:top w:val="dotted" w:sz="4" w:space="0" w:color="auto"/>
              <w:left w:val="nil"/>
              <w:bottom w:val="dotted" w:sz="4" w:space="0" w:color="auto"/>
              <w:right w:val="dotted" w:sz="4" w:space="0" w:color="auto"/>
            </w:tcBorders>
            <w:shd w:val="clear" w:color="000000" w:fill="FBCCCF"/>
            <w:noWrap/>
            <w:vAlign w:val="center"/>
            <w:hideMark/>
          </w:tcPr>
          <w:p w14:paraId="0BAE0920"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8.8</w:t>
            </w:r>
          </w:p>
        </w:tc>
      </w:tr>
      <w:tr w:rsidR="003E23E1" w:rsidRPr="003E23E1" w14:paraId="51FD7D27" w14:textId="77777777" w:rsidTr="003E23E1">
        <w:trPr>
          <w:trHeight w:val="290"/>
        </w:trPr>
        <w:tc>
          <w:tcPr>
            <w:tcW w:w="3620" w:type="dxa"/>
            <w:tcBorders>
              <w:top w:val="nil"/>
              <w:left w:val="nil"/>
              <w:bottom w:val="nil"/>
              <w:right w:val="nil"/>
            </w:tcBorders>
            <w:shd w:val="clear" w:color="auto" w:fill="auto"/>
            <w:noWrap/>
            <w:vAlign w:val="center"/>
            <w:hideMark/>
          </w:tcPr>
          <w:p w14:paraId="68E3475D"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Academics in higher education</w:t>
            </w:r>
          </w:p>
        </w:tc>
        <w:tc>
          <w:tcPr>
            <w:tcW w:w="1280" w:type="dxa"/>
            <w:tcBorders>
              <w:top w:val="nil"/>
              <w:left w:val="nil"/>
              <w:bottom w:val="nil"/>
              <w:right w:val="nil"/>
            </w:tcBorders>
            <w:shd w:val="clear" w:color="000000" w:fill="FBC6C8"/>
            <w:noWrap/>
            <w:vAlign w:val="center"/>
            <w:hideMark/>
          </w:tcPr>
          <w:p w14:paraId="7235B61D"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19.2</w:t>
            </w:r>
          </w:p>
        </w:tc>
        <w:tc>
          <w:tcPr>
            <w:tcW w:w="1580" w:type="dxa"/>
            <w:tcBorders>
              <w:top w:val="nil"/>
              <w:left w:val="nil"/>
              <w:bottom w:val="nil"/>
              <w:right w:val="nil"/>
            </w:tcBorders>
            <w:shd w:val="clear" w:color="000000" w:fill="FCE1E4"/>
            <w:noWrap/>
            <w:vAlign w:val="center"/>
            <w:hideMark/>
          </w:tcPr>
          <w:p w14:paraId="119875FE"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3.1</w:t>
            </w:r>
          </w:p>
        </w:tc>
        <w:tc>
          <w:tcPr>
            <w:tcW w:w="960" w:type="dxa"/>
            <w:tcBorders>
              <w:top w:val="nil"/>
              <w:left w:val="nil"/>
              <w:bottom w:val="nil"/>
              <w:right w:val="nil"/>
            </w:tcBorders>
            <w:shd w:val="clear" w:color="000000" w:fill="FBD3D6"/>
            <w:noWrap/>
            <w:vAlign w:val="center"/>
            <w:hideMark/>
          </w:tcPr>
          <w:p w14:paraId="20F343B4"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5.6</w:t>
            </w:r>
          </w:p>
        </w:tc>
        <w:tc>
          <w:tcPr>
            <w:tcW w:w="1100" w:type="dxa"/>
            <w:tcBorders>
              <w:top w:val="nil"/>
              <w:left w:val="nil"/>
              <w:bottom w:val="nil"/>
              <w:right w:val="nil"/>
            </w:tcBorders>
            <w:shd w:val="clear" w:color="000000" w:fill="FBD7DA"/>
            <w:noWrap/>
            <w:vAlign w:val="center"/>
            <w:hideMark/>
          </w:tcPr>
          <w:p w14:paraId="2F790D3C"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7.8</w:t>
            </w:r>
          </w:p>
        </w:tc>
      </w:tr>
      <w:tr w:rsidR="003E23E1" w:rsidRPr="003E23E1" w14:paraId="3E288C51" w14:textId="77777777" w:rsidTr="003E23E1">
        <w:trPr>
          <w:trHeight w:val="290"/>
        </w:trPr>
        <w:tc>
          <w:tcPr>
            <w:tcW w:w="3620" w:type="dxa"/>
            <w:tcBorders>
              <w:top w:val="dotted" w:sz="4" w:space="0" w:color="auto"/>
              <w:left w:val="dotted" w:sz="4" w:space="0" w:color="auto"/>
              <w:bottom w:val="dotted" w:sz="4" w:space="0" w:color="auto"/>
              <w:right w:val="nil"/>
            </w:tcBorders>
            <w:shd w:val="clear" w:color="auto" w:fill="auto"/>
            <w:noWrap/>
            <w:vAlign w:val="center"/>
            <w:hideMark/>
          </w:tcPr>
          <w:p w14:paraId="04B73084" w14:textId="41E8AFE9"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Secondary teacher</w:t>
            </w:r>
            <w:r w:rsidR="00F61A2B">
              <w:rPr>
                <w:rFonts w:ascii="Times New Roman" w:eastAsia="Times New Roman" w:hAnsi="Times New Roman" w:cs="Times New Roman"/>
                <w:color w:val="000000"/>
                <w:lang w:eastAsia="en-GB"/>
              </w:rPr>
              <w:t>s</w:t>
            </w:r>
          </w:p>
        </w:tc>
        <w:tc>
          <w:tcPr>
            <w:tcW w:w="1280" w:type="dxa"/>
            <w:tcBorders>
              <w:top w:val="dotted" w:sz="4" w:space="0" w:color="auto"/>
              <w:left w:val="nil"/>
              <w:bottom w:val="dotted" w:sz="4" w:space="0" w:color="auto"/>
              <w:right w:val="nil"/>
            </w:tcBorders>
            <w:shd w:val="clear" w:color="000000" w:fill="FBC6C8"/>
            <w:noWrap/>
            <w:vAlign w:val="center"/>
            <w:hideMark/>
          </w:tcPr>
          <w:p w14:paraId="02CCE849"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19.2</w:t>
            </w:r>
          </w:p>
        </w:tc>
        <w:tc>
          <w:tcPr>
            <w:tcW w:w="1580" w:type="dxa"/>
            <w:tcBorders>
              <w:top w:val="dotted" w:sz="4" w:space="0" w:color="auto"/>
              <w:left w:val="nil"/>
              <w:bottom w:val="dotted" w:sz="4" w:space="0" w:color="auto"/>
              <w:right w:val="nil"/>
            </w:tcBorders>
            <w:shd w:val="clear" w:color="000000" w:fill="FBCDD0"/>
            <w:noWrap/>
            <w:vAlign w:val="center"/>
            <w:hideMark/>
          </w:tcPr>
          <w:p w14:paraId="09F7F211"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3.9</w:t>
            </w:r>
          </w:p>
        </w:tc>
        <w:tc>
          <w:tcPr>
            <w:tcW w:w="960" w:type="dxa"/>
            <w:tcBorders>
              <w:top w:val="dotted" w:sz="4" w:space="0" w:color="auto"/>
              <w:left w:val="nil"/>
              <w:bottom w:val="dotted" w:sz="4" w:space="0" w:color="auto"/>
              <w:right w:val="nil"/>
            </w:tcBorders>
            <w:shd w:val="clear" w:color="000000" w:fill="FCDFE2"/>
            <w:noWrap/>
            <w:vAlign w:val="center"/>
            <w:hideMark/>
          </w:tcPr>
          <w:p w14:paraId="080E3CD7"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4.6</w:t>
            </w:r>
          </w:p>
        </w:tc>
        <w:tc>
          <w:tcPr>
            <w:tcW w:w="1100" w:type="dxa"/>
            <w:tcBorders>
              <w:top w:val="dotted" w:sz="4" w:space="0" w:color="auto"/>
              <w:left w:val="nil"/>
              <w:bottom w:val="dotted" w:sz="4" w:space="0" w:color="auto"/>
              <w:right w:val="dotted" w:sz="4" w:space="0" w:color="auto"/>
            </w:tcBorders>
            <w:shd w:val="clear" w:color="000000" w:fill="FBB5B7"/>
            <w:noWrap/>
            <w:vAlign w:val="center"/>
            <w:hideMark/>
          </w:tcPr>
          <w:p w14:paraId="2540B33A"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10.9</w:t>
            </w:r>
          </w:p>
        </w:tc>
      </w:tr>
      <w:tr w:rsidR="003E23E1" w:rsidRPr="003E23E1" w14:paraId="3686BCB5" w14:textId="77777777" w:rsidTr="003E23E1">
        <w:trPr>
          <w:trHeight w:val="290"/>
        </w:trPr>
        <w:tc>
          <w:tcPr>
            <w:tcW w:w="3620" w:type="dxa"/>
            <w:tcBorders>
              <w:top w:val="nil"/>
              <w:left w:val="nil"/>
              <w:bottom w:val="nil"/>
              <w:right w:val="nil"/>
            </w:tcBorders>
            <w:shd w:val="clear" w:color="auto" w:fill="auto"/>
            <w:noWrap/>
            <w:vAlign w:val="center"/>
            <w:hideMark/>
          </w:tcPr>
          <w:p w14:paraId="349BE6FA"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Marketing associate professionals</w:t>
            </w:r>
          </w:p>
        </w:tc>
        <w:tc>
          <w:tcPr>
            <w:tcW w:w="1280" w:type="dxa"/>
            <w:tcBorders>
              <w:top w:val="nil"/>
              <w:left w:val="nil"/>
              <w:bottom w:val="nil"/>
              <w:right w:val="nil"/>
            </w:tcBorders>
            <w:shd w:val="clear" w:color="000000" w:fill="FBCFD2"/>
            <w:noWrap/>
            <w:vAlign w:val="center"/>
            <w:hideMark/>
          </w:tcPr>
          <w:p w14:paraId="5BF8DFB5"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18.4</w:t>
            </w:r>
          </w:p>
        </w:tc>
        <w:tc>
          <w:tcPr>
            <w:tcW w:w="1580" w:type="dxa"/>
            <w:tcBorders>
              <w:top w:val="nil"/>
              <w:left w:val="nil"/>
              <w:bottom w:val="nil"/>
              <w:right w:val="nil"/>
            </w:tcBorders>
            <w:shd w:val="clear" w:color="000000" w:fill="FCE4E6"/>
            <w:noWrap/>
            <w:vAlign w:val="center"/>
            <w:hideMark/>
          </w:tcPr>
          <w:p w14:paraId="75AB0941"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w:t>
            </w:r>
          </w:p>
        </w:tc>
        <w:tc>
          <w:tcPr>
            <w:tcW w:w="960" w:type="dxa"/>
            <w:tcBorders>
              <w:top w:val="nil"/>
              <w:left w:val="nil"/>
              <w:bottom w:val="nil"/>
              <w:right w:val="nil"/>
            </w:tcBorders>
            <w:shd w:val="clear" w:color="000000" w:fill="FA999C"/>
            <w:noWrap/>
            <w:vAlign w:val="center"/>
            <w:hideMark/>
          </w:tcPr>
          <w:p w14:paraId="3D8EEF09"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10.7</w:t>
            </w:r>
          </w:p>
        </w:tc>
        <w:tc>
          <w:tcPr>
            <w:tcW w:w="1100" w:type="dxa"/>
            <w:tcBorders>
              <w:top w:val="nil"/>
              <w:left w:val="nil"/>
              <w:bottom w:val="nil"/>
              <w:right w:val="nil"/>
            </w:tcBorders>
            <w:shd w:val="clear" w:color="000000" w:fill="FBC0C2"/>
            <w:noWrap/>
            <w:vAlign w:val="center"/>
            <w:hideMark/>
          </w:tcPr>
          <w:p w14:paraId="2F74FFD1"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9.9</w:t>
            </w:r>
          </w:p>
        </w:tc>
      </w:tr>
      <w:tr w:rsidR="003E23E1" w:rsidRPr="003E23E1" w14:paraId="328DFE0E" w14:textId="77777777" w:rsidTr="003E23E1">
        <w:trPr>
          <w:trHeight w:val="290"/>
        </w:trPr>
        <w:tc>
          <w:tcPr>
            <w:tcW w:w="3620" w:type="dxa"/>
            <w:tcBorders>
              <w:top w:val="nil"/>
              <w:left w:val="nil"/>
              <w:bottom w:val="nil"/>
              <w:right w:val="nil"/>
            </w:tcBorders>
            <w:shd w:val="clear" w:color="auto" w:fill="auto"/>
            <w:noWrap/>
            <w:vAlign w:val="center"/>
            <w:hideMark/>
          </w:tcPr>
          <w:p w14:paraId="6A02460A"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Management consultants</w:t>
            </w:r>
          </w:p>
        </w:tc>
        <w:tc>
          <w:tcPr>
            <w:tcW w:w="1280" w:type="dxa"/>
            <w:tcBorders>
              <w:top w:val="nil"/>
              <w:left w:val="nil"/>
              <w:bottom w:val="nil"/>
              <w:right w:val="nil"/>
            </w:tcBorders>
            <w:shd w:val="clear" w:color="000000" w:fill="FBD3D6"/>
            <w:noWrap/>
            <w:vAlign w:val="center"/>
            <w:hideMark/>
          </w:tcPr>
          <w:p w14:paraId="7445E91D"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18</w:t>
            </w:r>
          </w:p>
        </w:tc>
        <w:tc>
          <w:tcPr>
            <w:tcW w:w="1580" w:type="dxa"/>
            <w:tcBorders>
              <w:top w:val="nil"/>
              <w:left w:val="nil"/>
              <w:bottom w:val="nil"/>
              <w:right w:val="nil"/>
            </w:tcBorders>
            <w:shd w:val="clear" w:color="000000" w:fill="FCEEF0"/>
            <w:noWrap/>
            <w:vAlign w:val="center"/>
            <w:hideMark/>
          </w:tcPr>
          <w:p w14:paraId="390CE490"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2.6</w:t>
            </w:r>
          </w:p>
        </w:tc>
        <w:tc>
          <w:tcPr>
            <w:tcW w:w="960" w:type="dxa"/>
            <w:tcBorders>
              <w:top w:val="nil"/>
              <w:left w:val="nil"/>
              <w:bottom w:val="nil"/>
              <w:right w:val="nil"/>
            </w:tcBorders>
            <w:shd w:val="clear" w:color="000000" w:fill="FBCACD"/>
            <w:noWrap/>
            <w:vAlign w:val="center"/>
            <w:hideMark/>
          </w:tcPr>
          <w:p w14:paraId="3EA938DC"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6.4</w:t>
            </w:r>
          </w:p>
        </w:tc>
        <w:tc>
          <w:tcPr>
            <w:tcW w:w="1100" w:type="dxa"/>
            <w:tcBorders>
              <w:top w:val="nil"/>
              <w:left w:val="nil"/>
              <w:bottom w:val="nil"/>
              <w:right w:val="nil"/>
            </w:tcBorders>
            <w:shd w:val="clear" w:color="000000" w:fill="FBB7B9"/>
            <w:noWrap/>
            <w:vAlign w:val="center"/>
            <w:hideMark/>
          </w:tcPr>
          <w:p w14:paraId="7CF733DF"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10.7</w:t>
            </w:r>
          </w:p>
        </w:tc>
      </w:tr>
      <w:tr w:rsidR="003E23E1" w:rsidRPr="003E23E1" w14:paraId="5A443AED" w14:textId="77777777" w:rsidTr="003E23E1">
        <w:trPr>
          <w:trHeight w:val="290"/>
        </w:trPr>
        <w:tc>
          <w:tcPr>
            <w:tcW w:w="3620" w:type="dxa"/>
            <w:tcBorders>
              <w:top w:val="nil"/>
              <w:left w:val="nil"/>
              <w:bottom w:val="nil"/>
              <w:right w:val="nil"/>
            </w:tcBorders>
            <w:shd w:val="clear" w:color="auto" w:fill="auto"/>
            <w:noWrap/>
            <w:vAlign w:val="center"/>
            <w:hideMark/>
          </w:tcPr>
          <w:p w14:paraId="0C58254C"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solicitors</w:t>
            </w:r>
          </w:p>
        </w:tc>
        <w:tc>
          <w:tcPr>
            <w:tcW w:w="1280" w:type="dxa"/>
            <w:tcBorders>
              <w:top w:val="nil"/>
              <w:left w:val="nil"/>
              <w:bottom w:val="nil"/>
              <w:right w:val="nil"/>
            </w:tcBorders>
            <w:shd w:val="clear" w:color="000000" w:fill="FBD3D6"/>
            <w:noWrap/>
            <w:vAlign w:val="center"/>
            <w:hideMark/>
          </w:tcPr>
          <w:p w14:paraId="2C9B8FA8"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18</w:t>
            </w:r>
          </w:p>
        </w:tc>
        <w:tc>
          <w:tcPr>
            <w:tcW w:w="1580" w:type="dxa"/>
            <w:tcBorders>
              <w:top w:val="nil"/>
              <w:left w:val="nil"/>
              <w:bottom w:val="nil"/>
              <w:right w:val="nil"/>
            </w:tcBorders>
            <w:shd w:val="clear" w:color="000000" w:fill="FBD2D5"/>
            <w:noWrap/>
            <w:vAlign w:val="center"/>
            <w:hideMark/>
          </w:tcPr>
          <w:p w14:paraId="66E2D89A"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3.7</w:t>
            </w:r>
          </w:p>
        </w:tc>
        <w:tc>
          <w:tcPr>
            <w:tcW w:w="960" w:type="dxa"/>
            <w:tcBorders>
              <w:top w:val="nil"/>
              <w:left w:val="nil"/>
              <w:bottom w:val="nil"/>
              <w:right w:val="nil"/>
            </w:tcBorders>
            <w:shd w:val="clear" w:color="000000" w:fill="FBD2D5"/>
            <w:noWrap/>
            <w:vAlign w:val="center"/>
            <w:hideMark/>
          </w:tcPr>
          <w:p w14:paraId="279C6B1B"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5.7</w:t>
            </w:r>
          </w:p>
        </w:tc>
        <w:tc>
          <w:tcPr>
            <w:tcW w:w="1100" w:type="dxa"/>
            <w:tcBorders>
              <w:top w:val="nil"/>
              <w:left w:val="nil"/>
              <w:bottom w:val="nil"/>
              <w:right w:val="nil"/>
            </w:tcBorders>
            <w:shd w:val="clear" w:color="000000" w:fill="FBB6B8"/>
            <w:noWrap/>
            <w:vAlign w:val="center"/>
            <w:hideMark/>
          </w:tcPr>
          <w:p w14:paraId="36C5B883"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10.8</w:t>
            </w:r>
          </w:p>
        </w:tc>
      </w:tr>
      <w:tr w:rsidR="003E23E1" w:rsidRPr="003E23E1" w14:paraId="48ED1B7B" w14:textId="77777777" w:rsidTr="003E23E1">
        <w:trPr>
          <w:trHeight w:val="290"/>
        </w:trPr>
        <w:tc>
          <w:tcPr>
            <w:tcW w:w="3620" w:type="dxa"/>
            <w:tcBorders>
              <w:top w:val="nil"/>
              <w:left w:val="nil"/>
              <w:bottom w:val="nil"/>
              <w:right w:val="nil"/>
            </w:tcBorders>
            <w:shd w:val="clear" w:color="auto" w:fill="auto"/>
            <w:noWrap/>
            <w:vAlign w:val="center"/>
            <w:hideMark/>
          </w:tcPr>
          <w:p w14:paraId="06957EED" w14:textId="77777777"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Nurses</w:t>
            </w:r>
          </w:p>
        </w:tc>
        <w:tc>
          <w:tcPr>
            <w:tcW w:w="1280" w:type="dxa"/>
            <w:tcBorders>
              <w:top w:val="nil"/>
              <w:left w:val="nil"/>
              <w:bottom w:val="nil"/>
              <w:right w:val="nil"/>
            </w:tcBorders>
            <w:shd w:val="clear" w:color="000000" w:fill="FCD8DB"/>
            <w:noWrap/>
            <w:vAlign w:val="center"/>
            <w:hideMark/>
          </w:tcPr>
          <w:p w14:paraId="303301FF"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17.6</w:t>
            </w:r>
          </w:p>
        </w:tc>
        <w:tc>
          <w:tcPr>
            <w:tcW w:w="1580" w:type="dxa"/>
            <w:tcBorders>
              <w:top w:val="nil"/>
              <w:left w:val="nil"/>
              <w:bottom w:val="nil"/>
              <w:right w:val="nil"/>
            </w:tcBorders>
            <w:shd w:val="clear" w:color="000000" w:fill="FA9699"/>
            <w:noWrap/>
            <w:vAlign w:val="center"/>
            <w:hideMark/>
          </w:tcPr>
          <w:p w14:paraId="2FE05A72"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6.1</w:t>
            </w:r>
          </w:p>
        </w:tc>
        <w:tc>
          <w:tcPr>
            <w:tcW w:w="960" w:type="dxa"/>
            <w:tcBorders>
              <w:top w:val="nil"/>
              <w:left w:val="nil"/>
              <w:bottom w:val="nil"/>
              <w:right w:val="nil"/>
            </w:tcBorders>
            <w:shd w:val="clear" w:color="000000" w:fill="FCE7EA"/>
            <w:noWrap/>
            <w:vAlign w:val="center"/>
            <w:hideMark/>
          </w:tcPr>
          <w:p w14:paraId="4CFA93D7"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3.9</w:t>
            </w:r>
          </w:p>
        </w:tc>
        <w:tc>
          <w:tcPr>
            <w:tcW w:w="1100" w:type="dxa"/>
            <w:tcBorders>
              <w:top w:val="nil"/>
              <w:left w:val="nil"/>
              <w:bottom w:val="nil"/>
              <w:right w:val="nil"/>
            </w:tcBorders>
            <w:shd w:val="clear" w:color="000000" w:fill="FBC3C6"/>
            <w:noWrap/>
            <w:vAlign w:val="center"/>
            <w:hideMark/>
          </w:tcPr>
          <w:p w14:paraId="4406836F"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9.6</w:t>
            </w:r>
          </w:p>
        </w:tc>
      </w:tr>
      <w:tr w:rsidR="003E23E1" w:rsidRPr="003E23E1" w14:paraId="355D587E" w14:textId="77777777" w:rsidTr="003E23E1">
        <w:trPr>
          <w:trHeight w:val="290"/>
        </w:trPr>
        <w:tc>
          <w:tcPr>
            <w:tcW w:w="3620" w:type="dxa"/>
            <w:tcBorders>
              <w:top w:val="nil"/>
              <w:left w:val="nil"/>
              <w:bottom w:val="nil"/>
              <w:right w:val="nil"/>
            </w:tcBorders>
            <w:shd w:val="clear" w:color="auto" w:fill="auto"/>
            <w:noWrap/>
            <w:vAlign w:val="center"/>
            <w:hideMark/>
          </w:tcPr>
          <w:p w14:paraId="4B441593" w14:textId="16B15803" w:rsidR="003E23E1" w:rsidRPr="003E23E1" w:rsidRDefault="003E23E1" w:rsidP="003E23E1">
            <w:pPr>
              <w:spacing w:after="0" w:line="240" w:lineRule="auto"/>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Accountant</w:t>
            </w:r>
            <w:r w:rsidR="00F61A2B">
              <w:rPr>
                <w:rFonts w:ascii="Times New Roman" w:eastAsia="Times New Roman" w:hAnsi="Times New Roman" w:cs="Times New Roman"/>
                <w:color w:val="000000"/>
                <w:lang w:eastAsia="en-GB"/>
              </w:rPr>
              <w:t>s</w:t>
            </w:r>
          </w:p>
        </w:tc>
        <w:tc>
          <w:tcPr>
            <w:tcW w:w="1280" w:type="dxa"/>
            <w:tcBorders>
              <w:top w:val="nil"/>
              <w:left w:val="nil"/>
              <w:bottom w:val="nil"/>
              <w:right w:val="nil"/>
            </w:tcBorders>
            <w:shd w:val="clear" w:color="000000" w:fill="FCDEE1"/>
            <w:noWrap/>
            <w:vAlign w:val="center"/>
            <w:hideMark/>
          </w:tcPr>
          <w:p w14:paraId="0DFC84B8"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17.1</w:t>
            </w:r>
          </w:p>
        </w:tc>
        <w:tc>
          <w:tcPr>
            <w:tcW w:w="1580" w:type="dxa"/>
            <w:tcBorders>
              <w:top w:val="nil"/>
              <w:left w:val="nil"/>
              <w:bottom w:val="nil"/>
              <w:right w:val="nil"/>
            </w:tcBorders>
            <w:shd w:val="clear" w:color="000000" w:fill="FCDCDF"/>
            <w:noWrap/>
            <w:vAlign w:val="center"/>
            <w:hideMark/>
          </w:tcPr>
          <w:p w14:paraId="2B7C31EE"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3.3</w:t>
            </w:r>
          </w:p>
        </w:tc>
        <w:tc>
          <w:tcPr>
            <w:tcW w:w="960" w:type="dxa"/>
            <w:tcBorders>
              <w:top w:val="nil"/>
              <w:left w:val="nil"/>
              <w:bottom w:val="nil"/>
              <w:right w:val="nil"/>
            </w:tcBorders>
            <w:shd w:val="clear" w:color="000000" w:fill="FCE0E3"/>
            <w:noWrap/>
            <w:vAlign w:val="center"/>
            <w:hideMark/>
          </w:tcPr>
          <w:p w14:paraId="56943BF2"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4.5</w:t>
            </w:r>
          </w:p>
        </w:tc>
        <w:tc>
          <w:tcPr>
            <w:tcW w:w="1100" w:type="dxa"/>
            <w:tcBorders>
              <w:top w:val="nil"/>
              <w:left w:val="nil"/>
              <w:bottom w:val="nil"/>
              <w:right w:val="nil"/>
            </w:tcBorders>
            <w:shd w:val="clear" w:color="000000" w:fill="FBC5C8"/>
            <w:noWrap/>
            <w:vAlign w:val="center"/>
            <w:hideMark/>
          </w:tcPr>
          <w:p w14:paraId="0FCC8D81"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9.4</w:t>
            </w:r>
          </w:p>
        </w:tc>
      </w:tr>
      <w:tr w:rsidR="003E23E1" w:rsidRPr="003E23E1" w14:paraId="7D440977" w14:textId="77777777" w:rsidTr="003E23E1">
        <w:trPr>
          <w:trHeight w:val="300"/>
        </w:trPr>
        <w:tc>
          <w:tcPr>
            <w:tcW w:w="3620" w:type="dxa"/>
            <w:tcBorders>
              <w:top w:val="dotted" w:sz="4" w:space="0" w:color="auto"/>
              <w:left w:val="dotted" w:sz="4" w:space="0" w:color="auto"/>
              <w:bottom w:val="single" w:sz="8" w:space="0" w:color="auto"/>
              <w:right w:val="nil"/>
            </w:tcBorders>
            <w:shd w:val="clear" w:color="auto" w:fill="auto"/>
            <w:noWrap/>
            <w:vAlign w:val="center"/>
            <w:hideMark/>
          </w:tcPr>
          <w:p w14:paraId="5918B050" w14:textId="2C8A20D1" w:rsidR="003E23E1" w:rsidRPr="003E23E1" w:rsidRDefault="003E23E1" w:rsidP="003E23E1">
            <w:pPr>
              <w:spacing w:after="0" w:line="240" w:lineRule="auto"/>
              <w:rPr>
                <w:rFonts w:ascii="Times New Roman" w:eastAsia="Times New Roman" w:hAnsi="Times New Roman" w:cs="Times New Roman"/>
                <w:color w:val="000000"/>
                <w:lang w:eastAsia="en-GB"/>
              </w:rPr>
            </w:pPr>
            <w:proofErr w:type="spellStart"/>
            <w:r w:rsidRPr="003E23E1">
              <w:rPr>
                <w:rFonts w:ascii="Times New Roman" w:eastAsia="Times New Roman" w:hAnsi="Times New Roman" w:cs="Times New Roman"/>
                <w:color w:val="000000"/>
                <w:lang w:eastAsia="en-GB"/>
              </w:rPr>
              <w:t>Headteacher</w:t>
            </w:r>
            <w:r w:rsidR="00F61A2B">
              <w:rPr>
                <w:rFonts w:ascii="Times New Roman" w:eastAsia="Times New Roman" w:hAnsi="Times New Roman" w:cs="Times New Roman"/>
                <w:color w:val="000000"/>
                <w:lang w:eastAsia="en-GB"/>
              </w:rPr>
              <w:t>s</w:t>
            </w:r>
            <w:proofErr w:type="spellEnd"/>
          </w:p>
        </w:tc>
        <w:tc>
          <w:tcPr>
            <w:tcW w:w="1280" w:type="dxa"/>
            <w:tcBorders>
              <w:top w:val="dotted" w:sz="4" w:space="0" w:color="auto"/>
              <w:left w:val="nil"/>
              <w:bottom w:val="single" w:sz="8" w:space="0" w:color="auto"/>
              <w:right w:val="nil"/>
            </w:tcBorders>
            <w:shd w:val="clear" w:color="000000" w:fill="FCFCFF"/>
            <w:noWrap/>
            <w:vAlign w:val="center"/>
            <w:hideMark/>
          </w:tcPr>
          <w:p w14:paraId="2330E566"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14.4</w:t>
            </w:r>
          </w:p>
        </w:tc>
        <w:tc>
          <w:tcPr>
            <w:tcW w:w="1580" w:type="dxa"/>
            <w:tcBorders>
              <w:top w:val="dotted" w:sz="4" w:space="0" w:color="auto"/>
              <w:left w:val="nil"/>
              <w:bottom w:val="single" w:sz="8" w:space="0" w:color="auto"/>
              <w:right w:val="nil"/>
            </w:tcBorders>
            <w:shd w:val="clear" w:color="000000" w:fill="FCE4E6"/>
            <w:noWrap/>
            <w:vAlign w:val="center"/>
            <w:hideMark/>
          </w:tcPr>
          <w:p w14:paraId="25DD48F5"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3</w:t>
            </w:r>
          </w:p>
        </w:tc>
        <w:tc>
          <w:tcPr>
            <w:tcW w:w="960" w:type="dxa"/>
            <w:tcBorders>
              <w:top w:val="dotted" w:sz="4" w:space="0" w:color="auto"/>
              <w:left w:val="nil"/>
              <w:bottom w:val="single" w:sz="8" w:space="0" w:color="auto"/>
              <w:right w:val="nil"/>
            </w:tcBorders>
            <w:shd w:val="clear" w:color="000000" w:fill="FCFCFF"/>
            <w:noWrap/>
            <w:vAlign w:val="center"/>
            <w:hideMark/>
          </w:tcPr>
          <w:p w14:paraId="35449CBF"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2</w:t>
            </w:r>
          </w:p>
        </w:tc>
        <w:tc>
          <w:tcPr>
            <w:tcW w:w="1100" w:type="dxa"/>
            <w:tcBorders>
              <w:top w:val="dotted" w:sz="4" w:space="0" w:color="auto"/>
              <w:left w:val="nil"/>
              <w:bottom w:val="single" w:sz="8" w:space="0" w:color="auto"/>
              <w:right w:val="dotted" w:sz="4" w:space="0" w:color="auto"/>
            </w:tcBorders>
            <w:shd w:val="clear" w:color="000000" w:fill="FCFCFF"/>
            <w:noWrap/>
            <w:vAlign w:val="center"/>
            <w:hideMark/>
          </w:tcPr>
          <w:p w14:paraId="243E18A4" w14:textId="77777777" w:rsidR="003E23E1" w:rsidRPr="003E23E1" w:rsidRDefault="003E23E1" w:rsidP="003E23E1">
            <w:pPr>
              <w:spacing w:after="0" w:line="240" w:lineRule="auto"/>
              <w:jc w:val="center"/>
              <w:rPr>
                <w:rFonts w:ascii="Times New Roman" w:eastAsia="Times New Roman" w:hAnsi="Times New Roman" w:cs="Times New Roman"/>
                <w:color w:val="000000"/>
                <w:lang w:eastAsia="en-GB"/>
              </w:rPr>
            </w:pPr>
            <w:r w:rsidRPr="003E23E1">
              <w:rPr>
                <w:rFonts w:ascii="Times New Roman" w:eastAsia="Times New Roman" w:hAnsi="Times New Roman" w:cs="Times New Roman"/>
                <w:color w:val="000000"/>
                <w:lang w:eastAsia="en-GB"/>
              </w:rPr>
              <w:t>4.4</w:t>
            </w:r>
          </w:p>
        </w:tc>
      </w:tr>
      <w:tr w:rsidR="003E23E1" w:rsidRPr="003E23E1" w14:paraId="2BDD7D74" w14:textId="77777777" w:rsidTr="003E23E1">
        <w:trPr>
          <w:trHeight w:val="300"/>
        </w:trPr>
        <w:tc>
          <w:tcPr>
            <w:tcW w:w="3620" w:type="dxa"/>
            <w:tcBorders>
              <w:top w:val="nil"/>
              <w:left w:val="nil"/>
              <w:bottom w:val="single" w:sz="8" w:space="0" w:color="auto"/>
              <w:right w:val="nil"/>
            </w:tcBorders>
            <w:shd w:val="clear" w:color="auto" w:fill="auto"/>
            <w:noWrap/>
            <w:vAlign w:val="center"/>
            <w:hideMark/>
          </w:tcPr>
          <w:p w14:paraId="362C1BC8" w14:textId="057DE363" w:rsidR="003E23E1" w:rsidRPr="003E23E1" w:rsidRDefault="003E23E1" w:rsidP="003E23E1">
            <w:pPr>
              <w:spacing w:after="0" w:line="240" w:lineRule="auto"/>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All</w:t>
            </w:r>
            <w:r w:rsidR="00311F5E">
              <w:rPr>
                <w:rFonts w:ascii="Times New Roman" w:eastAsia="Times New Roman" w:hAnsi="Times New Roman" w:cs="Times New Roman"/>
                <w:b/>
                <w:bCs/>
                <w:color w:val="000000"/>
                <w:lang w:eastAsia="en-GB"/>
              </w:rPr>
              <w:t xml:space="preserve"> </w:t>
            </w:r>
            <w:r w:rsidRPr="003E23E1">
              <w:rPr>
                <w:rFonts w:ascii="Times New Roman" w:eastAsia="Times New Roman" w:hAnsi="Times New Roman" w:cs="Times New Roman"/>
                <w:b/>
                <w:bCs/>
                <w:color w:val="000000"/>
                <w:lang w:eastAsia="en-GB"/>
              </w:rPr>
              <w:t>profession</w:t>
            </w:r>
            <w:r w:rsidR="00311F5E">
              <w:rPr>
                <w:rFonts w:ascii="Times New Roman" w:eastAsia="Times New Roman" w:hAnsi="Times New Roman" w:cs="Times New Roman"/>
                <w:b/>
                <w:bCs/>
                <w:color w:val="000000"/>
                <w:lang w:eastAsia="en-GB"/>
              </w:rPr>
              <w:t>s</w:t>
            </w:r>
            <w:r w:rsidRPr="003E23E1">
              <w:rPr>
                <w:rFonts w:ascii="Times New Roman" w:eastAsia="Times New Roman" w:hAnsi="Times New Roman" w:cs="Times New Roman"/>
                <w:b/>
                <w:bCs/>
                <w:color w:val="000000"/>
                <w:lang w:eastAsia="en-GB"/>
              </w:rPr>
              <w:t xml:space="preserve"> average</w:t>
            </w:r>
          </w:p>
        </w:tc>
        <w:tc>
          <w:tcPr>
            <w:tcW w:w="1280" w:type="dxa"/>
            <w:tcBorders>
              <w:top w:val="nil"/>
              <w:left w:val="nil"/>
              <w:bottom w:val="single" w:sz="8" w:space="0" w:color="auto"/>
              <w:right w:val="nil"/>
            </w:tcBorders>
            <w:shd w:val="clear" w:color="auto" w:fill="auto"/>
            <w:noWrap/>
            <w:vAlign w:val="center"/>
            <w:hideMark/>
          </w:tcPr>
          <w:p w14:paraId="5532A3BE" w14:textId="77777777" w:rsidR="003E23E1" w:rsidRPr="003E23E1" w:rsidRDefault="003E23E1" w:rsidP="003E23E1">
            <w:pPr>
              <w:spacing w:after="0" w:line="240" w:lineRule="auto"/>
              <w:jc w:val="center"/>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20.0%</w:t>
            </w:r>
          </w:p>
        </w:tc>
        <w:tc>
          <w:tcPr>
            <w:tcW w:w="1580" w:type="dxa"/>
            <w:tcBorders>
              <w:top w:val="nil"/>
              <w:left w:val="nil"/>
              <w:bottom w:val="single" w:sz="8" w:space="0" w:color="auto"/>
              <w:right w:val="nil"/>
            </w:tcBorders>
            <w:shd w:val="clear" w:color="auto" w:fill="auto"/>
            <w:noWrap/>
            <w:vAlign w:val="center"/>
            <w:hideMark/>
          </w:tcPr>
          <w:p w14:paraId="12C092EF" w14:textId="77777777" w:rsidR="003E23E1" w:rsidRPr="003E23E1" w:rsidRDefault="003E23E1" w:rsidP="003E23E1">
            <w:pPr>
              <w:spacing w:after="0" w:line="240" w:lineRule="auto"/>
              <w:jc w:val="center"/>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3.3%</w:t>
            </w:r>
          </w:p>
        </w:tc>
        <w:tc>
          <w:tcPr>
            <w:tcW w:w="960" w:type="dxa"/>
            <w:tcBorders>
              <w:top w:val="nil"/>
              <w:left w:val="nil"/>
              <w:bottom w:val="single" w:sz="8" w:space="0" w:color="auto"/>
              <w:right w:val="nil"/>
            </w:tcBorders>
            <w:shd w:val="clear" w:color="auto" w:fill="auto"/>
            <w:noWrap/>
            <w:vAlign w:val="center"/>
            <w:hideMark/>
          </w:tcPr>
          <w:p w14:paraId="00D18550" w14:textId="77777777" w:rsidR="003E23E1" w:rsidRPr="003E23E1" w:rsidRDefault="003E23E1" w:rsidP="003E23E1">
            <w:pPr>
              <w:spacing w:after="0" w:line="240" w:lineRule="auto"/>
              <w:jc w:val="center"/>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5.0%</w:t>
            </w:r>
          </w:p>
        </w:tc>
        <w:tc>
          <w:tcPr>
            <w:tcW w:w="1100" w:type="dxa"/>
            <w:tcBorders>
              <w:top w:val="nil"/>
              <w:left w:val="nil"/>
              <w:bottom w:val="single" w:sz="8" w:space="0" w:color="auto"/>
              <w:right w:val="nil"/>
            </w:tcBorders>
            <w:shd w:val="clear" w:color="auto" w:fill="auto"/>
            <w:noWrap/>
            <w:vAlign w:val="center"/>
            <w:hideMark/>
          </w:tcPr>
          <w:p w14:paraId="00F4012B" w14:textId="77777777" w:rsidR="003E23E1" w:rsidRPr="003E23E1" w:rsidRDefault="003E23E1" w:rsidP="003E23E1">
            <w:pPr>
              <w:spacing w:after="0" w:line="240" w:lineRule="auto"/>
              <w:jc w:val="center"/>
              <w:rPr>
                <w:rFonts w:ascii="Times New Roman" w:eastAsia="Times New Roman" w:hAnsi="Times New Roman" w:cs="Times New Roman"/>
                <w:b/>
                <w:bCs/>
                <w:color w:val="000000"/>
                <w:lang w:eastAsia="en-GB"/>
              </w:rPr>
            </w:pPr>
            <w:r w:rsidRPr="003E23E1">
              <w:rPr>
                <w:rFonts w:ascii="Times New Roman" w:eastAsia="Times New Roman" w:hAnsi="Times New Roman" w:cs="Times New Roman"/>
                <w:b/>
                <w:bCs/>
                <w:color w:val="000000"/>
                <w:lang w:eastAsia="en-GB"/>
              </w:rPr>
              <w:t>9.8%</w:t>
            </w:r>
          </w:p>
        </w:tc>
      </w:tr>
    </w:tbl>
    <w:p w14:paraId="748A0E21" w14:textId="5566B126" w:rsidR="009B3987" w:rsidRDefault="009B3987" w:rsidP="009B3987">
      <w:pPr>
        <w:spacing w:line="240" w:lineRule="auto"/>
        <w:jc w:val="both"/>
        <w:rPr>
          <w:rFonts w:ascii="Times New Roman" w:hAnsi="Times New Roman" w:cs="Times New Roman"/>
          <w:sz w:val="20"/>
          <w:szCs w:val="20"/>
        </w:rPr>
      </w:pPr>
      <w:r w:rsidRPr="007F384F">
        <w:rPr>
          <w:rFonts w:ascii="Times New Roman" w:hAnsi="Times New Roman" w:cs="Times New Roman"/>
          <w:sz w:val="20"/>
          <w:szCs w:val="20"/>
        </w:rPr>
        <w:t>Notes: Figures refer to the percent</w:t>
      </w:r>
      <w:r w:rsidR="00311F5E">
        <w:rPr>
          <w:rFonts w:ascii="Times New Roman" w:hAnsi="Times New Roman" w:cs="Times New Roman"/>
          <w:sz w:val="20"/>
          <w:szCs w:val="20"/>
        </w:rPr>
        <w:t>age</w:t>
      </w:r>
      <w:r w:rsidRPr="007F384F">
        <w:rPr>
          <w:rFonts w:ascii="Times New Roman" w:hAnsi="Times New Roman" w:cs="Times New Roman"/>
          <w:sz w:val="20"/>
          <w:szCs w:val="20"/>
        </w:rPr>
        <w:t xml:space="preserve"> of workers in the occupation with the stated health problem. The sample for each occupation has been obtained by matching the secondary teachers in the data to a demographically similar group, based upon age, gender, whether born in the UK, whether has a partner in the household, whether there are children in the household, whether hold</w:t>
      </w:r>
      <w:r w:rsidR="001E5DA9">
        <w:rPr>
          <w:rFonts w:ascii="Times New Roman" w:hAnsi="Times New Roman" w:cs="Times New Roman"/>
          <w:sz w:val="20"/>
          <w:szCs w:val="20"/>
        </w:rPr>
        <w:t>s</w:t>
      </w:r>
      <w:r w:rsidRPr="007F384F">
        <w:rPr>
          <w:rFonts w:ascii="Times New Roman" w:hAnsi="Times New Roman" w:cs="Times New Roman"/>
          <w:sz w:val="20"/>
          <w:szCs w:val="20"/>
        </w:rPr>
        <w:t xml:space="preserve"> a degree, whether parent or a sibling has depression and whether a relative died in the two years before the interview. Final row provides the unweighted average across all professional occupations. Darker shading (read vertically) indicates a lower level of wellbeing for that group.</w:t>
      </w:r>
      <w:r w:rsidR="00C15BFD">
        <w:rPr>
          <w:rFonts w:ascii="Times New Roman" w:hAnsi="Times New Roman" w:cs="Times New Roman"/>
          <w:sz w:val="20"/>
          <w:szCs w:val="20"/>
        </w:rPr>
        <w:t xml:space="preserve">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UK Biobank</w:t>
      </w:r>
      <w:r w:rsidR="00C15BFD" w:rsidRPr="00C15BFD">
        <w:rPr>
          <w:rFonts w:ascii="Times New Roman" w:hAnsi="Times New Roman" w:cs="Times New Roman"/>
          <w:sz w:val="20"/>
          <w:szCs w:val="20"/>
        </w:rPr>
        <w:t>.</w:t>
      </w:r>
    </w:p>
    <w:p w14:paraId="698E03EB" w14:textId="7B6AC9A2" w:rsidR="003E23E1" w:rsidRPr="007F384F" w:rsidRDefault="003E23E1" w:rsidP="009B3987">
      <w:pPr>
        <w:spacing w:line="240" w:lineRule="auto"/>
        <w:jc w:val="both"/>
        <w:rPr>
          <w:rFonts w:ascii="Times New Roman" w:hAnsi="Times New Roman" w:cs="Times New Roman"/>
          <w:sz w:val="20"/>
          <w:szCs w:val="20"/>
        </w:rPr>
      </w:pPr>
    </w:p>
    <w:p w14:paraId="08702D67" w14:textId="77777777" w:rsidR="009B3987" w:rsidRPr="009B3987" w:rsidRDefault="009B3987" w:rsidP="00697230">
      <w:pPr>
        <w:pStyle w:val="ListParagraph"/>
        <w:numPr>
          <w:ilvl w:val="1"/>
          <w:numId w:val="17"/>
        </w:numPr>
        <w:spacing w:after="0" w:line="360" w:lineRule="auto"/>
        <w:rPr>
          <w:rFonts w:ascii="Times New Roman" w:hAnsi="Times New Roman" w:cs="Times New Roman"/>
          <w:b/>
          <w:sz w:val="24"/>
          <w:szCs w:val="24"/>
        </w:rPr>
      </w:pPr>
      <w:r w:rsidRPr="009B3987">
        <w:rPr>
          <w:rFonts w:ascii="Times New Roman" w:hAnsi="Times New Roman" w:cs="Times New Roman"/>
          <w:b/>
          <w:sz w:val="24"/>
          <w:szCs w:val="24"/>
        </w:rPr>
        <w:lastRenderedPageBreak/>
        <w:t>Summary</w:t>
      </w:r>
    </w:p>
    <w:p w14:paraId="6D5A26BE" w14:textId="43FF4ED2" w:rsidR="004529CA" w:rsidRPr="009B3987" w:rsidRDefault="009B3987" w:rsidP="008B4E20">
      <w:pPr>
        <w:spacing w:line="360" w:lineRule="auto"/>
        <w:jc w:val="both"/>
        <w:rPr>
          <w:rFonts w:ascii="Times New Roman" w:hAnsi="Times New Roman" w:cs="Times New Roman"/>
          <w:sz w:val="24"/>
          <w:szCs w:val="24"/>
        </w:rPr>
      </w:pPr>
      <w:r w:rsidRPr="009B3987">
        <w:rPr>
          <w:rFonts w:ascii="Times New Roman" w:hAnsi="Times New Roman" w:cs="Times New Roman"/>
          <w:sz w:val="24"/>
          <w:szCs w:val="24"/>
        </w:rPr>
        <w:t>Our headline conclusion is that teachers seem to have very similar mental health and wellbeing outcomes to other workers in other professional jobs. Against conventional wisdom, and in contrast to much of the existing literature, we find little robust evidence to suggest that teachers are particularly anxious, depressed, have lower</w:t>
      </w:r>
      <w:r w:rsidR="001E5DA9">
        <w:rPr>
          <w:rFonts w:ascii="Times New Roman" w:hAnsi="Times New Roman" w:cs="Times New Roman"/>
          <w:sz w:val="24"/>
          <w:szCs w:val="24"/>
        </w:rPr>
        <w:t xml:space="preserve"> </w:t>
      </w:r>
      <w:r w:rsidRPr="009B3987">
        <w:rPr>
          <w:rFonts w:ascii="Times New Roman" w:hAnsi="Times New Roman" w:cs="Times New Roman"/>
          <w:sz w:val="24"/>
          <w:szCs w:val="24"/>
        </w:rPr>
        <w:t>levels of life</w:t>
      </w:r>
      <w:r w:rsidR="001E5DA9">
        <w:rPr>
          <w:rFonts w:ascii="Times New Roman" w:hAnsi="Times New Roman" w:cs="Times New Roman"/>
          <w:sz w:val="24"/>
          <w:szCs w:val="24"/>
        </w:rPr>
        <w:t xml:space="preserve"> </w:t>
      </w:r>
      <w:r w:rsidRPr="009B3987">
        <w:rPr>
          <w:rFonts w:ascii="Times New Roman" w:hAnsi="Times New Roman" w:cs="Times New Roman"/>
          <w:sz w:val="24"/>
          <w:szCs w:val="24"/>
        </w:rPr>
        <w:t xml:space="preserve">satisfaction or have poorer wellbeing outcomes than demographically similar individuals in other forms of professional employment. Although there are some exceptions amongst certain subgroups (e.g. SEN teachers tend to have somewhat lower levels of mental wellbeing while the wellbeing of </w:t>
      </w:r>
      <w:proofErr w:type="spellStart"/>
      <w:r w:rsidRPr="009B3987">
        <w:rPr>
          <w:rFonts w:ascii="Times New Roman" w:hAnsi="Times New Roman" w:cs="Times New Roman"/>
          <w:sz w:val="24"/>
          <w:szCs w:val="24"/>
        </w:rPr>
        <w:t>headteachers</w:t>
      </w:r>
      <w:proofErr w:type="spellEnd"/>
      <w:r w:rsidRPr="009B3987">
        <w:rPr>
          <w:rFonts w:ascii="Times New Roman" w:hAnsi="Times New Roman" w:cs="Times New Roman"/>
          <w:sz w:val="24"/>
          <w:szCs w:val="24"/>
        </w:rPr>
        <w:t>, on certain measures, is somewhat higher) and for certain outcomes (e.g. comparatively few teachers suffer from feelings of low self-worth)</w:t>
      </w:r>
      <w:r w:rsidR="00A2189B">
        <w:rPr>
          <w:rFonts w:ascii="Times New Roman" w:hAnsi="Times New Roman" w:cs="Times New Roman"/>
          <w:sz w:val="24"/>
          <w:szCs w:val="24"/>
        </w:rPr>
        <w:t>,</w:t>
      </w:r>
      <w:r w:rsidRPr="009B3987">
        <w:rPr>
          <w:rFonts w:ascii="Times New Roman" w:hAnsi="Times New Roman" w:cs="Times New Roman"/>
          <w:sz w:val="24"/>
          <w:szCs w:val="24"/>
        </w:rPr>
        <w:t xml:space="preserve"> differences between teachers and other professionals are</w:t>
      </w:r>
      <w:r w:rsidR="00A2189B">
        <w:rPr>
          <w:rFonts w:ascii="Times New Roman" w:hAnsi="Times New Roman" w:cs="Times New Roman"/>
          <w:sz w:val="24"/>
          <w:szCs w:val="24"/>
        </w:rPr>
        <w:t>,</w:t>
      </w:r>
      <w:r w:rsidRPr="009B3987">
        <w:rPr>
          <w:rFonts w:ascii="Times New Roman" w:hAnsi="Times New Roman" w:cs="Times New Roman"/>
          <w:sz w:val="24"/>
          <w:szCs w:val="24"/>
        </w:rPr>
        <w:t xml:space="preserve"> on the whole</w:t>
      </w:r>
      <w:r w:rsidR="00A2189B">
        <w:rPr>
          <w:rFonts w:ascii="Times New Roman" w:hAnsi="Times New Roman" w:cs="Times New Roman"/>
          <w:sz w:val="24"/>
          <w:szCs w:val="24"/>
        </w:rPr>
        <w:t>,</w:t>
      </w:r>
      <w:r w:rsidRPr="009B3987">
        <w:rPr>
          <w:rFonts w:ascii="Times New Roman" w:hAnsi="Times New Roman" w:cs="Times New Roman"/>
          <w:sz w:val="24"/>
          <w:szCs w:val="24"/>
        </w:rPr>
        <w:t xml:space="preserve"> relatively small. </w:t>
      </w:r>
    </w:p>
    <w:p w14:paraId="24640184" w14:textId="558DC6DD" w:rsidR="009B3987" w:rsidRPr="009B3987" w:rsidRDefault="009B3987" w:rsidP="008B4E20">
      <w:pPr>
        <w:spacing w:after="0" w:line="360" w:lineRule="auto"/>
        <w:jc w:val="both"/>
        <w:rPr>
          <w:rFonts w:ascii="Times New Roman" w:hAnsi="Times New Roman" w:cs="Times New Roman"/>
          <w:sz w:val="24"/>
          <w:szCs w:val="24"/>
        </w:rPr>
      </w:pPr>
      <w:r w:rsidRPr="009B3987">
        <w:rPr>
          <w:rFonts w:ascii="Times New Roman" w:hAnsi="Times New Roman" w:cs="Times New Roman"/>
          <w:sz w:val="24"/>
          <w:szCs w:val="24"/>
        </w:rPr>
        <w:t xml:space="preserve">What then are the key directions for future work in this area? In our view, the evidence presented here makes it very hard to sustain the position that wellbeing and mental health outcomes of teachers are worse than for other occupational groups. For researchers in this area, the focus should now shift to better understanding the drivers of poor mental health outcomes amongst teachers, including whether these are indeed mainly work-related, or are actually mainly due to issues outside of their job (e.g. their personal life). Relatedly, we need better evidence on what school leaders can do to support their staff. There are, after all, a non-trivial number of school staff facing mental health issues, some of which may be caused or aggravated by their work. Understanding what can be done to help these individuals through this difficult period is key to teaching becoming a happier and healthier profession. </w:t>
      </w:r>
    </w:p>
    <w:p w14:paraId="6596DAEA" w14:textId="5C75A598" w:rsidR="006524ED" w:rsidRDefault="006524ED">
      <w:pPr>
        <w:spacing w:line="259" w:lineRule="auto"/>
        <w:rPr>
          <w:rFonts w:ascii="Times New Roman" w:eastAsiaTheme="majorEastAsia" w:hAnsi="Times New Roman" w:cs="Times New Roman"/>
          <w:b/>
          <w:color w:val="262626" w:themeColor="text1" w:themeTint="D9"/>
          <w:spacing w:val="-15"/>
          <w:sz w:val="40"/>
          <w:szCs w:val="96"/>
          <w:lang w:eastAsia="en-GB"/>
        </w:rPr>
      </w:pPr>
      <w:r>
        <w:rPr>
          <w:rFonts w:ascii="Times New Roman" w:hAnsi="Times New Roman" w:cs="Times New Roman"/>
          <w:lang w:eastAsia="en-GB"/>
        </w:rPr>
        <w:br w:type="page"/>
      </w:r>
    </w:p>
    <w:p w14:paraId="61DA83CC" w14:textId="3BB7502B" w:rsidR="00D5024D" w:rsidRPr="001E0132" w:rsidRDefault="00141B6D" w:rsidP="008B4E20">
      <w:pPr>
        <w:pStyle w:val="Heading1UCL"/>
        <w:rPr>
          <w:lang w:eastAsia="en-GB"/>
        </w:rPr>
      </w:pPr>
      <w:bookmarkStart w:id="7" w:name="_Toc67406003"/>
      <w:r>
        <w:rPr>
          <w:lang w:eastAsia="en-GB"/>
        </w:rPr>
        <w:lastRenderedPageBreak/>
        <w:t>Chapter 4 Evidence of teacher health using biomarker data</w:t>
      </w:r>
      <w:bookmarkEnd w:id="7"/>
    </w:p>
    <w:p w14:paraId="2E0F2B84" w14:textId="77777777" w:rsidR="00141B6D" w:rsidRDefault="00141B6D" w:rsidP="008B4E20">
      <w:pPr>
        <w:pStyle w:val="Heading1UCL"/>
        <w:rPr>
          <w:rFonts w:cs="Times New Roman"/>
          <w:szCs w:val="24"/>
        </w:rPr>
      </w:pPr>
    </w:p>
    <w:p w14:paraId="17054152" w14:textId="77777777" w:rsidR="00141B6D" w:rsidRPr="00C91693" w:rsidRDefault="00141B6D" w:rsidP="008B4E20">
      <w:pPr>
        <w:pStyle w:val="Heading1"/>
        <w:numPr>
          <w:ilvl w:val="1"/>
          <w:numId w:val="18"/>
        </w:numPr>
        <w:spacing w:before="0" w:after="160"/>
        <w:rPr>
          <w:rFonts w:ascii="Times New Roman" w:hAnsi="Times New Roman" w:cs="Times New Roman"/>
          <w:b/>
          <w:bCs/>
          <w:color w:val="auto"/>
          <w:sz w:val="24"/>
          <w:szCs w:val="24"/>
        </w:rPr>
      </w:pPr>
      <w:bookmarkStart w:id="8" w:name="_Toc67406004"/>
      <w:r w:rsidRPr="00C91693">
        <w:rPr>
          <w:rFonts w:ascii="Times New Roman" w:hAnsi="Times New Roman" w:cs="Times New Roman"/>
          <w:b/>
          <w:bCs/>
          <w:color w:val="auto"/>
          <w:sz w:val="24"/>
          <w:szCs w:val="24"/>
        </w:rPr>
        <w:t>Introduction</w:t>
      </w:r>
      <w:bookmarkEnd w:id="8"/>
    </w:p>
    <w:p w14:paraId="6BA53EB9" w14:textId="736EA5D8" w:rsidR="00A43F1A" w:rsidRPr="00C91693" w:rsidRDefault="00141B6D" w:rsidP="008B4E20">
      <w:pPr>
        <w:spacing w:line="360" w:lineRule="auto"/>
        <w:jc w:val="both"/>
        <w:rPr>
          <w:rFonts w:ascii="Times New Roman" w:hAnsi="Times New Roman" w:cs="Times New Roman"/>
          <w:sz w:val="24"/>
          <w:szCs w:val="24"/>
        </w:rPr>
      </w:pPr>
      <w:r w:rsidRPr="00C91693">
        <w:rPr>
          <w:rFonts w:ascii="Times New Roman" w:hAnsi="Times New Roman" w:cs="Times New Roman"/>
          <w:sz w:val="24"/>
          <w:szCs w:val="24"/>
        </w:rPr>
        <w:t xml:space="preserve">The previous chapter compared teachers to other occupational groups in terms of their mental health. Overall, little evidence was found that the mental health and wellbeing of teachers in England stood out as particularly poor, relative to those employed in other professional jobs. Yet, as the literature discussed in Chapter 1 illustrated, there is some empirical evidence that teachers experience </w:t>
      </w:r>
      <w:r w:rsidR="001A1F46">
        <w:rPr>
          <w:rFonts w:ascii="Times New Roman" w:hAnsi="Times New Roman" w:cs="Times New Roman"/>
          <w:sz w:val="24"/>
          <w:szCs w:val="24"/>
        </w:rPr>
        <w:t>m</w:t>
      </w:r>
      <w:r w:rsidR="001A1F46" w:rsidRPr="00C91693">
        <w:rPr>
          <w:rFonts w:ascii="Times New Roman" w:hAnsi="Times New Roman" w:cs="Times New Roman"/>
          <w:sz w:val="24"/>
          <w:szCs w:val="24"/>
        </w:rPr>
        <w:t xml:space="preserve">ore </w:t>
      </w:r>
      <w:r w:rsidRPr="00C91693">
        <w:rPr>
          <w:rFonts w:ascii="Times New Roman" w:hAnsi="Times New Roman" w:cs="Times New Roman"/>
          <w:sz w:val="24"/>
          <w:szCs w:val="24"/>
        </w:rPr>
        <w:t xml:space="preserve">general physical health </w:t>
      </w:r>
      <w:r w:rsidR="00B10DF3">
        <w:rPr>
          <w:rFonts w:ascii="Times New Roman" w:hAnsi="Times New Roman" w:cs="Times New Roman"/>
          <w:sz w:val="24"/>
          <w:szCs w:val="24"/>
        </w:rPr>
        <w:t xml:space="preserve">problems </w:t>
      </w:r>
      <w:r w:rsidRPr="00C91693">
        <w:rPr>
          <w:rFonts w:ascii="Times New Roman" w:hAnsi="Times New Roman" w:cs="Times New Roman"/>
          <w:sz w:val="24"/>
          <w:szCs w:val="24"/>
        </w:rPr>
        <w:t>than non-teachers. An important limitation of the existing literature on this topic, however, is that it is very dependent upon self-report measures, either of perceived/subjective health or self-reports of diagnosed conditions. By contrast, few empirical studies have investigated the health of teachers using objective biomarker</w:t>
      </w:r>
      <w:r w:rsidR="00F14950">
        <w:rPr>
          <w:rFonts w:ascii="Times New Roman" w:hAnsi="Times New Roman" w:cs="Times New Roman"/>
          <w:sz w:val="24"/>
          <w:szCs w:val="24"/>
        </w:rPr>
        <w:t xml:space="preserve"> </w:t>
      </w:r>
      <w:r w:rsidR="00892E2A">
        <w:rPr>
          <w:rFonts w:ascii="Times New Roman" w:hAnsi="Times New Roman" w:cs="Times New Roman"/>
          <w:sz w:val="24"/>
          <w:szCs w:val="24"/>
        </w:rPr>
        <w:t xml:space="preserve">data </w:t>
      </w:r>
      <w:r w:rsidR="00F14950">
        <w:rPr>
          <w:rFonts w:ascii="Times New Roman" w:hAnsi="Times New Roman" w:cs="Times New Roman"/>
          <w:sz w:val="24"/>
          <w:szCs w:val="24"/>
        </w:rPr>
        <w:t>(e.g. measurements such as blood pressure</w:t>
      </w:r>
      <w:r w:rsidR="00892E2A">
        <w:rPr>
          <w:rFonts w:ascii="Times New Roman" w:hAnsi="Times New Roman" w:cs="Times New Roman"/>
          <w:sz w:val="24"/>
          <w:szCs w:val="24"/>
        </w:rPr>
        <w:t xml:space="preserve"> and </w:t>
      </w:r>
      <w:r w:rsidR="00892E2A" w:rsidRPr="00C91693">
        <w:rPr>
          <w:rFonts w:ascii="Times New Roman" w:hAnsi="Times New Roman" w:cs="Times New Roman"/>
          <w:sz w:val="24"/>
          <w:szCs w:val="24"/>
        </w:rPr>
        <w:t>cortisol</w:t>
      </w:r>
      <w:r w:rsidR="00892E2A">
        <w:rPr>
          <w:rFonts w:ascii="Times New Roman" w:hAnsi="Times New Roman" w:cs="Times New Roman"/>
          <w:sz w:val="24"/>
          <w:szCs w:val="24"/>
        </w:rPr>
        <w:t>)</w:t>
      </w:r>
      <w:r w:rsidRPr="00C91693">
        <w:rPr>
          <w:rFonts w:ascii="Times New Roman" w:hAnsi="Times New Roman" w:cs="Times New Roman"/>
          <w:sz w:val="24"/>
          <w:szCs w:val="24"/>
        </w:rPr>
        <w:t>, despite a related literature suggesting that workplace stressors would predict higher concentrations of stress biomarkers among teachers (</w:t>
      </w:r>
      <w:proofErr w:type="spellStart"/>
      <w:r w:rsidRPr="00C91693">
        <w:rPr>
          <w:rFonts w:ascii="Times New Roman" w:hAnsi="Times New Roman" w:cs="Times New Roman"/>
          <w:sz w:val="24"/>
          <w:szCs w:val="24"/>
        </w:rPr>
        <w:t>Bellingrath</w:t>
      </w:r>
      <w:proofErr w:type="spellEnd"/>
      <w:r w:rsidRPr="00C91693">
        <w:rPr>
          <w:rFonts w:ascii="Times New Roman" w:hAnsi="Times New Roman" w:cs="Times New Roman"/>
          <w:sz w:val="24"/>
          <w:szCs w:val="24"/>
        </w:rPr>
        <w:t xml:space="preserve">, </w:t>
      </w:r>
      <w:proofErr w:type="spellStart"/>
      <w:r w:rsidRPr="00C91693">
        <w:rPr>
          <w:rFonts w:ascii="Times New Roman" w:hAnsi="Times New Roman" w:cs="Times New Roman"/>
          <w:sz w:val="24"/>
          <w:szCs w:val="24"/>
        </w:rPr>
        <w:t>Weigl</w:t>
      </w:r>
      <w:proofErr w:type="spellEnd"/>
      <w:r w:rsidRPr="00C91693">
        <w:rPr>
          <w:rFonts w:ascii="Times New Roman" w:hAnsi="Times New Roman" w:cs="Times New Roman"/>
          <w:sz w:val="24"/>
          <w:szCs w:val="24"/>
        </w:rPr>
        <w:t xml:space="preserve"> </w:t>
      </w:r>
      <w:r w:rsidR="00284366">
        <w:rPr>
          <w:rFonts w:ascii="Times New Roman" w:hAnsi="Times New Roman" w:cs="Times New Roman"/>
          <w:sz w:val="24"/>
          <w:szCs w:val="24"/>
        </w:rPr>
        <w:t>&amp;</w:t>
      </w:r>
      <w:r w:rsidR="00284366" w:rsidRPr="00C91693">
        <w:rPr>
          <w:rFonts w:ascii="Times New Roman" w:hAnsi="Times New Roman" w:cs="Times New Roman"/>
          <w:sz w:val="24"/>
          <w:szCs w:val="24"/>
        </w:rPr>
        <w:t xml:space="preserve"> </w:t>
      </w:r>
      <w:proofErr w:type="spellStart"/>
      <w:r w:rsidRPr="00C91693">
        <w:rPr>
          <w:rFonts w:ascii="Times New Roman" w:hAnsi="Times New Roman" w:cs="Times New Roman"/>
          <w:sz w:val="24"/>
          <w:szCs w:val="24"/>
        </w:rPr>
        <w:t>Kudielka</w:t>
      </w:r>
      <w:proofErr w:type="spellEnd"/>
      <w:r w:rsidR="0061050E">
        <w:rPr>
          <w:rFonts w:ascii="Times New Roman" w:hAnsi="Times New Roman" w:cs="Times New Roman"/>
          <w:sz w:val="24"/>
          <w:szCs w:val="24"/>
        </w:rPr>
        <w:t>,</w:t>
      </w:r>
      <w:r w:rsidR="00284366">
        <w:rPr>
          <w:rFonts w:ascii="Times New Roman" w:hAnsi="Times New Roman" w:cs="Times New Roman"/>
          <w:sz w:val="24"/>
          <w:szCs w:val="24"/>
        </w:rPr>
        <w:t xml:space="preserve"> </w:t>
      </w:r>
      <w:r w:rsidRPr="00C91693">
        <w:rPr>
          <w:rFonts w:ascii="Times New Roman" w:hAnsi="Times New Roman" w:cs="Times New Roman"/>
          <w:sz w:val="24"/>
          <w:szCs w:val="24"/>
        </w:rPr>
        <w:t xml:space="preserve">2009; </w:t>
      </w:r>
      <w:proofErr w:type="spellStart"/>
      <w:r w:rsidRPr="00C91693">
        <w:rPr>
          <w:rFonts w:ascii="Times New Roman" w:hAnsi="Times New Roman" w:cs="Times New Roman"/>
          <w:sz w:val="24"/>
          <w:szCs w:val="24"/>
        </w:rPr>
        <w:t>Masilamani</w:t>
      </w:r>
      <w:proofErr w:type="spellEnd"/>
      <w:r w:rsidRPr="00C91693">
        <w:rPr>
          <w:rFonts w:ascii="Times New Roman" w:hAnsi="Times New Roman" w:cs="Times New Roman"/>
          <w:sz w:val="24"/>
          <w:szCs w:val="24"/>
        </w:rPr>
        <w:t xml:space="preserve"> et al.</w:t>
      </w:r>
      <w:r w:rsidR="0061050E">
        <w:rPr>
          <w:rFonts w:ascii="Times New Roman" w:hAnsi="Times New Roman" w:cs="Times New Roman"/>
          <w:sz w:val="24"/>
          <w:szCs w:val="24"/>
        </w:rPr>
        <w:t>,</w:t>
      </w:r>
      <w:r w:rsidRPr="00C91693">
        <w:rPr>
          <w:rFonts w:ascii="Times New Roman" w:hAnsi="Times New Roman" w:cs="Times New Roman"/>
          <w:sz w:val="24"/>
          <w:szCs w:val="24"/>
        </w:rPr>
        <w:t xml:space="preserve"> 2012; Qi et al.</w:t>
      </w:r>
      <w:r w:rsidR="0061050E">
        <w:rPr>
          <w:rFonts w:ascii="Times New Roman" w:hAnsi="Times New Roman" w:cs="Times New Roman"/>
          <w:sz w:val="24"/>
          <w:szCs w:val="24"/>
        </w:rPr>
        <w:t>,</w:t>
      </w:r>
      <w:r w:rsidRPr="00C91693">
        <w:rPr>
          <w:rFonts w:ascii="Times New Roman" w:hAnsi="Times New Roman" w:cs="Times New Roman"/>
          <w:sz w:val="24"/>
          <w:szCs w:val="24"/>
        </w:rPr>
        <w:t xml:space="preserve"> 2014; Wolfram</w:t>
      </w:r>
      <w:r w:rsidR="00634B3E">
        <w:rPr>
          <w:rFonts w:ascii="Times New Roman" w:hAnsi="Times New Roman" w:cs="Times New Roman"/>
          <w:sz w:val="24"/>
          <w:szCs w:val="24"/>
        </w:rPr>
        <w:t xml:space="preserve"> et al.</w:t>
      </w:r>
      <w:r w:rsidR="0061050E">
        <w:rPr>
          <w:rFonts w:ascii="Times New Roman" w:hAnsi="Times New Roman" w:cs="Times New Roman"/>
          <w:sz w:val="24"/>
          <w:szCs w:val="24"/>
        </w:rPr>
        <w:t>,</w:t>
      </w:r>
      <w:r w:rsidR="00634B3E">
        <w:rPr>
          <w:rFonts w:ascii="Times New Roman" w:hAnsi="Times New Roman" w:cs="Times New Roman"/>
          <w:sz w:val="24"/>
          <w:szCs w:val="24"/>
        </w:rPr>
        <w:t xml:space="preserve"> </w:t>
      </w:r>
      <w:r w:rsidRPr="00C91693">
        <w:rPr>
          <w:rFonts w:ascii="Times New Roman" w:hAnsi="Times New Roman" w:cs="Times New Roman"/>
          <w:sz w:val="24"/>
          <w:szCs w:val="24"/>
        </w:rPr>
        <w:t xml:space="preserve">2013). Indeed, to our knowledge, no previous research has used objective biomarker data to compare health across different occupational groups. </w:t>
      </w:r>
    </w:p>
    <w:p w14:paraId="65F6C61C" w14:textId="76DD5164" w:rsidR="00C91693" w:rsidRPr="00C91693" w:rsidRDefault="00141B6D" w:rsidP="008B4E20">
      <w:pPr>
        <w:spacing w:line="360" w:lineRule="auto"/>
        <w:jc w:val="both"/>
        <w:rPr>
          <w:rFonts w:ascii="Times New Roman" w:hAnsi="Times New Roman" w:cs="Times New Roman"/>
          <w:sz w:val="24"/>
          <w:szCs w:val="24"/>
        </w:rPr>
      </w:pPr>
      <w:r w:rsidRPr="00C91693">
        <w:rPr>
          <w:rFonts w:ascii="Times New Roman" w:hAnsi="Times New Roman" w:cs="Times New Roman"/>
          <w:sz w:val="24"/>
          <w:szCs w:val="24"/>
        </w:rPr>
        <w:t>This chapter fills this gap in the literature to provide new empirical evidence as to whether teaching is associated with poor health outcomes. In particular, it investigates whether teachers have lower levels and faster deterioration in health relative to otherwise similar individuals in other occupations. Uniquely, rather than using self-reported measures to subjective questions captured within questionnaires (as per the two preceding chapters), we investigate occupational differences in health in terms of objective biomarker data.</w:t>
      </w:r>
    </w:p>
    <w:p w14:paraId="5AE1C77A" w14:textId="77777777" w:rsidR="00141B6D" w:rsidRPr="00C91693" w:rsidRDefault="00141B6D" w:rsidP="008B4E20">
      <w:pPr>
        <w:spacing w:line="360" w:lineRule="auto"/>
        <w:jc w:val="both"/>
        <w:rPr>
          <w:rFonts w:ascii="Times New Roman" w:hAnsi="Times New Roman" w:cs="Times New Roman"/>
          <w:b/>
          <w:sz w:val="24"/>
          <w:szCs w:val="24"/>
        </w:rPr>
      </w:pPr>
      <w:r w:rsidRPr="00C91693">
        <w:rPr>
          <w:rFonts w:ascii="Times New Roman" w:hAnsi="Times New Roman" w:cs="Times New Roman"/>
          <w:b/>
          <w:sz w:val="24"/>
          <w:szCs w:val="24"/>
        </w:rPr>
        <w:t>4.2 Data and methodology</w:t>
      </w:r>
    </w:p>
    <w:p w14:paraId="22AE8357" w14:textId="7D7E3A8C" w:rsidR="00141B6D" w:rsidRPr="00C91693" w:rsidRDefault="00141B6D" w:rsidP="008B4E20">
      <w:pPr>
        <w:spacing w:line="360" w:lineRule="auto"/>
        <w:jc w:val="both"/>
        <w:rPr>
          <w:rFonts w:ascii="Times New Roman" w:hAnsi="Times New Roman" w:cs="Times New Roman"/>
          <w:color w:val="000000" w:themeColor="text1"/>
          <w:sz w:val="24"/>
          <w:szCs w:val="24"/>
          <w:shd w:val="clear" w:color="auto" w:fill="FFFFFF"/>
        </w:rPr>
      </w:pPr>
      <w:r w:rsidRPr="00C91693">
        <w:rPr>
          <w:rFonts w:ascii="Times New Roman" w:hAnsi="Times New Roman" w:cs="Times New Roman"/>
          <w:color w:val="000000" w:themeColor="text1"/>
          <w:sz w:val="24"/>
          <w:szCs w:val="24"/>
        </w:rPr>
        <w:t>Throughout this chapter, we refer to the notion of ‘</w:t>
      </w:r>
      <w:proofErr w:type="spellStart"/>
      <w:r w:rsidRPr="00C91693">
        <w:rPr>
          <w:rFonts w:ascii="Times New Roman" w:hAnsi="Times New Roman" w:cs="Times New Roman"/>
          <w:color w:val="000000" w:themeColor="text1"/>
          <w:sz w:val="24"/>
          <w:szCs w:val="24"/>
        </w:rPr>
        <w:t>allostatic</w:t>
      </w:r>
      <w:proofErr w:type="spellEnd"/>
      <w:r w:rsidRPr="00C91693">
        <w:rPr>
          <w:rFonts w:ascii="Times New Roman" w:hAnsi="Times New Roman" w:cs="Times New Roman"/>
          <w:color w:val="000000" w:themeColor="text1"/>
          <w:sz w:val="24"/>
          <w:szCs w:val="24"/>
        </w:rPr>
        <w:t xml:space="preserve"> load’</w:t>
      </w:r>
      <w:r w:rsidR="00892E2A">
        <w:rPr>
          <w:rFonts w:ascii="Times New Roman" w:hAnsi="Times New Roman" w:cs="Times New Roman"/>
          <w:color w:val="000000" w:themeColor="text1"/>
          <w:sz w:val="24"/>
          <w:szCs w:val="24"/>
        </w:rPr>
        <w:t>.</w:t>
      </w:r>
      <w:r w:rsidRPr="00C91693">
        <w:rPr>
          <w:rFonts w:ascii="Times New Roman" w:hAnsi="Times New Roman" w:cs="Times New Roman"/>
          <w:color w:val="000000" w:themeColor="text1"/>
          <w:sz w:val="24"/>
          <w:szCs w:val="24"/>
        </w:rPr>
        <w:t xml:space="preserve"> This has been defined as </w:t>
      </w:r>
      <w:r w:rsidR="002B05DA">
        <w:rPr>
          <w:rFonts w:ascii="Times New Roman" w:hAnsi="Times New Roman" w:cs="Times New Roman"/>
          <w:color w:val="000000" w:themeColor="text1"/>
          <w:sz w:val="24"/>
          <w:szCs w:val="24"/>
          <w:shd w:val="clear" w:color="auto" w:fill="FFFFFF"/>
        </w:rPr>
        <w:t>‘</w:t>
      </w:r>
      <w:r w:rsidRPr="00C91693">
        <w:rPr>
          <w:rFonts w:ascii="Times New Roman" w:hAnsi="Times New Roman" w:cs="Times New Roman"/>
          <w:i/>
          <w:color w:val="000000" w:themeColor="text1"/>
          <w:sz w:val="24"/>
          <w:szCs w:val="24"/>
          <w:shd w:val="clear" w:color="auto" w:fill="FFFFFF"/>
        </w:rPr>
        <w:t xml:space="preserve">the wear and tear on the body and brain resulting from chronic </w:t>
      </w:r>
      <w:proofErr w:type="spellStart"/>
      <w:r w:rsidRPr="00C91693">
        <w:rPr>
          <w:rFonts w:ascii="Times New Roman" w:hAnsi="Times New Roman" w:cs="Times New Roman"/>
          <w:i/>
          <w:color w:val="000000" w:themeColor="text1"/>
          <w:sz w:val="24"/>
          <w:szCs w:val="24"/>
          <w:shd w:val="clear" w:color="auto" w:fill="FFFFFF"/>
        </w:rPr>
        <w:t>overactivity</w:t>
      </w:r>
      <w:proofErr w:type="spellEnd"/>
      <w:r w:rsidRPr="00C91693">
        <w:rPr>
          <w:rFonts w:ascii="Times New Roman" w:hAnsi="Times New Roman" w:cs="Times New Roman"/>
          <w:i/>
          <w:color w:val="000000" w:themeColor="text1"/>
          <w:sz w:val="24"/>
          <w:szCs w:val="24"/>
          <w:shd w:val="clear" w:color="auto" w:fill="FFFFFF"/>
        </w:rPr>
        <w:t xml:space="preserve"> or inactivity of physiological systems that are normally involved in adaptation to environmental challenge</w:t>
      </w:r>
      <w:r w:rsidR="002B05DA">
        <w:rPr>
          <w:rFonts w:ascii="Times New Roman" w:hAnsi="Times New Roman" w:cs="Times New Roman"/>
          <w:color w:val="000000" w:themeColor="text1"/>
          <w:sz w:val="24"/>
          <w:szCs w:val="24"/>
          <w:shd w:val="clear" w:color="auto" w:fill="FFFFFF"/>
        </w:rPr>
        <w:t>’</w:t>
      </w:r>
      <w:r w:rsidRPr="00C91693">
        <w:rPr>
          <w:rFonts w:ascii="Times New Roman" w:hAnsi="Times New Roman" w:cs="Times New Roman"/>
          <w:color w:val="000000" w:themeColor="text1"/>
          <w:sz w:val="24"/>
          <w:szCs w:val="24"/>
          <w:shd w:val="clear" w:color="auto" w:fill="FFFFFF"/>
        </w:rPr>
        <w:t xml:space="preserve"> (McEwen, 1998). This was </w:t>
      </w:r>
      <w:r w:rsidRPr="00C91693">
        <w:rPr>
          <w:rFonts w:ascii="Times New Roman" w:hAnsi="Times New Roman" w:cs="Times New Roman"/>
          <w:color w:val="000000" w:themeColor="text1"/>
          <w:sz w:val="24"/>
          <w:szCs w:val="24"/>
        </w:rPr>
        <w:t xml:space="preserve">first measured via an </w:t>
      </w:r>
      <w:proofErr w:type="spellStart"/>
      <w:r w:rsidRPr="00C91693">
        <w:rPr>
          <w:rFonts w:ascii="Times New Roman" w:hAnsi="Times New Roman" w:cs="Times New Roman"/>
          <w:color w:val="000000" w:themeColor="text1"/>
          <w:sz w:val="24"/>
          <w:szCs w:val="24"/>
        </w:rPr>
        <w:t>Allostatic</w:t>
      </w:r>
      <w:proofErr w:type="spellEnd"/>
      <w:r w:rsidRPr="00C91693">
        <w:rPr>
          <w:rFonts w:ascii="Times New Roman" w:hAnsi="Times New Roman" w:cs="Times New Roman"/>
          <w:color w:val="000000" w:themeColor="text1"/>
          <w:sz w:val="24"/>
          <w:szCs w:val="24"/>
        </w:rPr>
        <w:t xml:space="preserve"> Load Index (ALI) based upon ten biomarkers (</w:t>
      </w:r>
      <w:proofErr w:type="spellStart"/>
      <w:r w:rsidRPr="00C91693">
        <w:rPr>
          <w:rFonts w:ascii="Times New Roman" w:hAnsi="Times New Roman" w:cs="Times New Roman"/>
          <w:color w:val="000000" w:themeColor="text1"/>
          <w:sz w:val="24"/>
          <w:szCs w:val="24"/>
        </w:rPr>
        <w:t>Seeman</w:t>
      </w:r>
      <w:proofErr w:type="spellEnd"/>
      <w:r w:rsidRPr="00C91693">
        <w:rPr>
          <w:rFonts w:ascii="Times New Roman" w:hAnsi="Times New Roman" w:cs="Times New Roman"/>
          <w:color w:val="000000" w:themeColor="text1"/>
          <w:sz w:val="24"/>
          <w:szCs w:val="24"/>
        </w:rPr>
        <w:t xml:space="preserve"> et al., 20</w:t>
      </w:r>
      <w:r w:rsidR="008B4E20">
        <w:rPr>
          <w:rFonts w:ascii="Times New Roman" w:hAnsi="Times New Roman" w:cs="Times New Roman"/>
          <w:color w:val="000000" w:themeColor="text1"/>
          <w:sz w:val="24"/>
          <w:szCs w:val="24"/>
        </w:rPr>
        <w:t>01</w:t>
      </w:r>
      <w:r w:rsidRPr="00C91693">
        <w:rPr>
          <w:rFonts w:ascii="Times New Roman" w:hAnsi="Times New Roman" w:cs="Times New Roman"/>
          <w:color w:val="000000" w:themeColor="text1"/>
          <w:sz w:val="24"/>
          <w:szCs w:val="24"/>
        </w:rPr>
        <w:t>). It has since been shown how higher ALI scores have been associated with increased risk of mortality in ageing studies in Taiwan, Sweden, the UK and a separate general population survey in the USA (</w:t>
      </w:r>
      <w:proofErr w:type="spellStart"/>
      <w:r w:rsidRPr="00C91693">
        <w:rPr>
          <w:rFonts w:ascii="Times New Roman" w:hAnsi="Times New Roman" w:cs="Times New Roman"/>
          <w:color w:val="000000" w:themeColor="text1"/>
          <w:sz w:val="24"/>
          <w:szCs w:val="24"/>
        </w:rPr>
        <w:t>Beckie</w:t>
      </w:r>
      <w:proofErr w:type="spellEnd"/>
      <w:r w:rsidRPr="00C91693">
        <w:rPr>
          <w:rFonts w:ascii="Times New Roman" w:hAnsi="Times New Roman" w:cs="Times New Roman"/>
          <w:color w:val="000000" w:themeColor="text1"/>
          <w:sz w:val="24"/>
          <w:szCs w:val="24"/>
        </w:rPr>
        <w:t xml:space="preserve">, 2012). Empirically, </w:t>
      </w:r>
      <w:proofErr w:type="spellStart"/>
      <w:r w:rsidRPr="00C91693">
        <w:rPr>
          <w:rFonts w:ascii="Times New Roman" w:hAnsi="Times New Roman" w:cs="Times New Roman"/>
          <w:color w:val="000000" w:themeColor="text1"/>
          <w:sz w:val="24"/>
          <w:szCs w:val="24"/>
        </w:rPr>
        <w:t>Allostatic</w:t>
      </w:r>
      <w:proofErr w:type="spellEnd"/>
      <w:r w:rsidRPr="00C91693">
        <w:rPr>
          <w:rFonts w:ascii="Times New Roman" w:hAnsi="Times New Roman" w:cs="Times New Roman"/>
          <w:color w:val="000000" w:themeColor="text1"/>
          <w:sz w:val="24"/>
          <w:szCs w:val="24"/>
        </w:rPr>
        <w:t xml:space="preserve"> Load has been measured by a set of indicators such as the Body Mass Index (BMI), heart rate and </w:t>
      </w:r>
      <w:r w:rsidRPr="00C91693">
        <w:rPr>
          <w:rFonts w:ascii="Times New Roman" w:hAnsi="Times New Roman" w:cs="Times New Roman"/>
          <w:color w:val="000000" w:themeColor="text1"/>
          <w:sz w:val="24"/>
          <w:szCs w:val="24"/>
        </w:rPr>
        <w:lastRenderedPageBreak/>
        <w:t xml:space="preserve">blood pressure. It is hence meant to capture an objective, overall summary of whether an individual is in poor physical health. </w:t>
      </w:r>
    </w:p>
    <w:p w14:paraId="0F00E0BB" w14:textId="1B7C04AC" w:rsidR="00C91693" w:rsidRPr="00892E2A" w:rsidRDefault="00141B6D" w:rsidP="008B4E20">
      <w:pPr>
        <w:spacing w:line="360" w:lineRule="auto"/>
        <w:jc w:val="both"/>
        <w:rPr>
          <w:rFonts w:ascii="Times New Roman" w:hAnsi="Times New Roman" w:cs="Times New Roman"/>
          <w:color w:val="222222"/>
          <w:sz w:val="24"/>
          <w:szCs w:val="24"/>
          <w:shd w:val="clear" w:color="auto" w:fill="FFFFFF"/>
        </w:rPr>
      </w:pPr>
      <w:r w:rsidRPr="00C91693">
        <w:rPr>
          <w:rFonts w:ascii="Times New Roman" w:hAnsi="Times New Roman" w:cs="Times New Roman"/>
          <w:color w:val="222222"/>
          <w:sz w:val="24"/>
          <w:szCs w:val="24"/>
          <w:shd w:val="clear" w:color="auto" w:fill="FFFFFF"/>
        </w:rPr>
        <w:t xml:space="preserve">We measure </w:t>
      </w:r>
      <w:proofErr w:type="spellStart"/>
      <w:r w:rsidRPr="00C91693">
        <w:rPr>
          <w:rFonts w:ascii="Times New Roman" w:hAnsi="Times New Roman" w:cs="Times New Roman"/>
          <w:color w:val="222222"/>
          <w:sz w:val="24"/>
          <w:szCs w:val="24"/>
          <w:shd w:val="clear" w:color="auto" w:fill="FFFFFF"/>
        </w:rPr>
        <w:t>allostatic</w:t>
      </w:r>
      <w:proofErr w:type="spellEnd"/>
      <w:r w:rsidRPr="00C91693">
        <w:rPr>
          <w:rFonts w:ascii="Times New Roman" w:hAnsi="Times New Roman" w:cs="Times New Roman"/>
          <w:color w:val="222222"/>
          <w:sz w:val="24"/>
          <w:szCs w:val="24"/>
          <w:shd w:val="clear" w:color="auto" w:fill="FFFFFF"/>
        </w:rPr>
        <w:t xml:space="preserve"> load – and compare it across occupations – using two datasets.</w:t>
      </w:r>
      <w:r w:rsidR="00C63413">
        <w:rPr>
          <w:rFonts w:ascii="Times New Roman" w:hAnsi="Times New Roman" w:cs="Times New Roman"/>
          <w:color w:val="222222"/>
          <w:sz w:val="24"/>
          <w:szCs w:val="24"/>
          <w:shd w:val="clear" w:color="auto" w:fill="FFFFFF"/>
        </w:rPr>
        <w:t xml:space="preserve"> Both datasets use a broad definition of teachers, including both primary and secondary staff and </w:t>
      </w:r>
      <w:proofErr w:type="spellStart"/>
      <w:r w:rsidR="00C63413">
        <w:rPr>
          <w:rFonts w:ascii="Times New Roman" w:hAnsi="Times New Roman" w:cs="Times New Roman"/>
          <w:color w:val="222222"/>
          <w:sz w:val="24"/>
          <w:szCs w:val="24"/>
          <w:shd w:val="clear" w:color="auto" w:fill="FFFFFF"/>
        </w:rPr>
        <w:t>headteachers</w:t>
      </w:r>
      <w:proofErr w:type="spellEnd"/>
      <w:r w:rsidR="00C63413">
        <w:rPr>
          <w:rFonts w:ascii="Times New Roman" w:hAnsi="Times New Roman" w:cs="Times New Roman"/>
          <w:color w:val="222222"/>
          <w:sz w:val="24"/>
          <w:szCs w:val="24"/>
          <w:shd w:val="clear" w:color="auto" w:fill="FFFFFF"/>
        </w:rPr>
        <w:t>.</w:t>
      </w:r>
      <w:r w:rsidRPr="00C91693">
        <w:rPr>
          <w:rFonts w:ascii="Times New Roman" w:hAnsi="Times New Roman" w:cs="Times New Roman"/>
          <w:color w:val="222222"/>
          <w:sz w:val="24"/>
          <w:szCs w:val="24"/>
          <w:shd w:val="clear" w:color="auto" w:fill="FFFFFF"/>
        </w:rPr>
        <w:t xml:space="preserve"> The first is a sample of </w:t>
      </w:r>
      <w:r w:rsidRPr="00C91693">
        <w:rPr>
          <w:rFonts w:ascii="Times New Roman" w:hAnsi="Times New Roman" w:cs="Times New Roman"/>
          <w:sz w:val="24"/>
          <w:szCs w:val="24"/>
        </w:rPr>
        <w:t>21</w:t>
      </w:r>
      <w:r w:rsidR="00944FAC" w:rsidRPr="00C91693">
        <w:rPr>
          <w:rFonts w:ascii="Times New Roman" w:hAnsi="Times New Roman" w:cs="Times New Roman"/>
          <w:color w:val="222222"/>
          <w:sz w:val="24"/>
          <w:szCs w:val="24"/>
          <w:shd w:val="clear" w:color="auto" w:fill="FFFFFF"/>
        </w:rPr>
        <w:t>–</w:t>
      </w:r>
      <w:r w:rsidRPr="00C91693">
        <w:rPr>
          <w:rFonts w:ascii="Times New Roman" w:hAnsi="Times New Roman" w:cs="Times New Roman"/>
          <w:sz w:val="24"/>
          <w:szCs w:val="24"/>
        </w:rPr>
        <w:t>60</w:t>
      </w:r>
      <w:r w:rsidR="00944FAC">
        <w:rPr>
          <w:rFonts w:ascii="Times New Roman" w:hAnsi="Times New Roman" w:cs="Times New Roman"/>
          <w:sz w:val="24"/>
          <w:szCs w:val="24"/>
        </w:rPr>
        <w:t>-</w:t>
      </w:r>
      <w:r w:rsidRPr="00C91693">
        <w:rPr>
          <w:rFonts w:ascii="Times New Roman" w:hAnsi="Times New Roman" w:cs="Times New Roman"/>
          <w:sz w:val="24"/>
          <w:szCs w:val="24"/>
        </w:rPr>
        <w:t>year</w:t>
      </w:r>
      <w:r w:rsidR="00944FAC">
        <w:rPr>
          <w:rFonts w:ascii="Times New Roman" w:hAnsi="Times New Roman" w:cs="Times New Roman"/>
          <w:sz w:val="24"/>
          <w:szCs w:val="24"/>
        </w:rPr>
        <w:t>-</w:t>
      </w:r>
      <w:r w:rsidRPr="00C91693">
        <w:rPr>
          <w:rFonts w:ascii="Times New Roman" w:hAnsi="Times New Roman" w:cs="Times New Roman"/>
          <w:sz w:val="24"/>
          <w:szCs w:val="24"/>
        </w:rPr>
        <w:t>old individuals (including 270</w:t>
      </w:r>
      <w:r w:rsidR="00C63413">
        <w:rPr>
          <w:rFonts w:ascii="Times New Roman" w:hAnsi="Times New Roman" w:cs="Times New Roman"/>
          <w:sz w:val="24"/>
          <w:szCs w:val="24"/>
        </w:rPr>
        <w:t xml:space="preserve"> primary, secondary or head</w:t>
      </w:r>
      <w:r w:rsidRPr="00C91693">
        <w:rPr>
          <w:rFonts w:ascii="Times New Roman" w:hAnsi="Times New Roman" w:cs="Times New Roman"/>
          <w:sz w:val="24"/>
          <w:szCs w:val="24"/>
        </w:rPr>
        <w:t xml:space="preserve"> teachers) from the</w:t>
      </w:r>
      <w:r w:rsidRPr="00C91693">
        <w:rPr>
          <w:rFonts w:ascii="Times New Roman" w:hAnsi="Times New Roman" w:cs="Times New Roman"/>
          <w:color w:val="222222"/>
          <w:sz w:val="24"/>
          <w:szCs w:val="24"/>
          <w:shd w:val="clear" w:color="auto" w:fill="FFFFFF"/>
        </w:rPr>
        <w:t xml:space="preserve"> </w:t>
      </w:r>
      <w:r w:rsidRPr="00C91693">
        <w:rPr>
          <w:rFonts w:ascii="Times New Roman" w:hAnsi="Times New Roman" w:cs="Times New Roman"/>
          <w:sz w:val="24"/>
          <w:szCs w:val="24"/>
        </w:rPr>
        <w:t>Understanding Society dataset. The second is a sample of 230,455 volunteers aged between 40 and 60 (including 14,651</w:t>
      </w:r>
      <w:r w:rsidR="00C63413">
        <w:rPr>
          <w:rFonts w:ascii="Times New Roman" w:hAnsi="Times New Roman" w:cs="Times New Roman"/>
          <w:sz w:val="24"/>
          <w:szCs w:val="24"/>
        </w:rPr>
        <w:t xml:space="preserve"> primary, secondary or head</w:t>
      </w:r>
      <w:r w:rsidRPr="00C91693">
        <w:rPr>
          <w:rFonts w:ascii="Times New Roman" w:hAnsi="Times New Roman" w:cs="Times New Roman"/>
          <w:sz w:val="24"/>
          <w:szCs w:val="24"/>
        </w:rPr>
        <w:t xml:space="preserve"> teachers) from the UK Biobank (UKB). This includes a subset of 79,616 individuals (11,542</w:t>
      </w:r>
      <w:r w:rsidR="00C63413">
        <w:rPr>
          <w:rFonts w:ascii="Times New Roman" w:hAnsi="Times New Roman" w:cs="Times New Roman"/>
          <w:sz w:val="24"/>
          <w:szCs w:val="24"/>
        </w:rPr>
        <w:t xml:space="preserve"> primary, secondary or </w:t>
      </w:r>
      <w:proofErr w:type="spellStart"/>
      <w:r w:rsidR="00C63413">
        <w:rPr>
          <w:rFonts w:ascii="Times New Roman" w:hAnsi="Times New Roman" w:cs="Times New Roman"/>
          <w:sz w:val="24"/>
          <w:szCs w:val="24"/>
        </w:rPr>
        <w:t>head</w:t>
      </w:r>
      <w:r w:rsidRPr="00C91693">
        <w:rPr>
          <w:rFonts w:ascii="Times New Roman" w:hAnsi="Times New Roman" w:cs="Times New Roman"/>
          <w:sz w:val="24"/>
          <w:szCs w:val="24"/>
        </w:rPr>
        <w:t>teachers</w:t>
      </w:r>
      <w:proofErr w:type="spellEnd"/>
      <w:r w:rsidRPr="00C91693">
        <w:rPr>
          <w:rFonts w:ascii="Times New Roman" w:hAnsi="Times New Roman" w:cs="Times New Roman"/>
          <w:sz w:val="24"/>
          <w:szCs w:val="24"/>
        </w:rPr>
        <w:t>) for whom occupational histories have been gathered and 5,887 individuals (280</w:t>
      </w:r>
      <w:r w:rsidR="00C63413">
        <w:rPr>
          <w:rFonts w:ascii="Times New Roman" w:hAnsi="Times New Roman" w:cs="Times New Roman"/>
          <w:sz w:val="24"/>
          <w:szCs w:val="24"/>
        </w:rPr>
        <w:t xml:space="preserve"> primary, secondary or </w:t>
      </w:r>
      <w:proofErr w:type="spellStart"/>
      <w:r w:rsidR="00C63413">
        <w:rPr>
          <w:rFonts w:ascii="Times New Roman" w:hAnsi="Times New Roman" w:cs="Times New Roman"/>
          <w:sz w:val="24"/>
          <w:szCs w:val="24"/>
        </w:rPr>
        <w:t>head</w:t>
      </w:r>
      <w:r w:rsidRPr="00C91693">
        <w:rPr>
          <w:rFonts w:ascii="Times New Roman" w:hAnsi="Times New Roman" w:cs="Times New Roman"/>
          <w:sz w:val="24"/>
          <w:szCs w:val="24"/>
        </w:rPr>
        <w:t>teachers</w:t>
      </w:r>
      <w:proofErr w:type="spellEnd"/>
      <w:r w:rsidRPr="00C91693">
        <w:rPr>
          <w:rFonts w:ascii="Times New Roman" w:hAnsi="Times New Roman" w:cs="Times New Roman"/>
          <w:sz w:val="24"/>
          <w:szCs w:val="24"/>
        </w:rPr>
        <w:t xml:space="preserve">) where there has been a longitudinal follow-up. </w:t>
      </w:r>
      <w:r w:rsidR="00892E2A">
        <w:rPr>
          <w:rFonts w:ascii="Times New Roman" w:hAnsi="Times New Roman" w:cs="Times New Roman"/>
          <w:sz w:val="24"/>
          <w:szCs w:val="24"/>
        </w:rPr>
        <w:t>D</w:t>
      </w:r>
      <w:r w:rsidRPr="00C91693">
        <w:rPr>
          <w:rFonts w:ascii="Times New Roman" w:hAnsi="Times New Roman" w:cs="Times New Roman"/>
          <w:sz w:val="24"/>
          <w:szCs w:val="24"/>
        </w:rPr>
        <w:t xml:space="preserve">etails on the biomarkers used in this chapter can be found in </w:t>
      </w:r>
      <w:r w:rsidR="00892E2A">
        <w:rPr>
          <w:rFonts w:ascii="Times New Roman" w:hAnsi="Times New Roman" w:cs="Times New Roman"/>
          <w:sz w:val="24"/>
          <w:szCs w:val="24"/>
        </w:rPr>
        <w:t>Appendix C</w:t>
      </w:r>
      <w:r w:rsidRPr="00C91693">
        <w:rPr>
          <w:rFonts w:ascii="Times New Roman" w:hAnsi="Times New Roman" w:cs="Times New Roman"/>
          <w:sz w:val="24"/>
          <w:szCs w:val="24"/>
        </w:rPr>
        <w:t>. For each biomarker, an individual was given a score of 1 if they were located in the highest-risk quartile and these scores where then summed to give an overall health score, following the established convention in this literature (</w:t>
      </w:r>
      <w:proofErr w:type="spellStart"/>
      <w:r w:rsidRPr="00C91693">
        <w:rPr>
          <w:rFonts w:ascii="Times New Roman" w:hAnsi="Times New Roman" w:cs="Times New Roman"/>
          <w:sz w:val="24"/>
          <w:szCs w:val="24"/>
        </w:rPr>
        <w:t>Beckie</w:t>
      </w:r>
      <w:proofErr w:type="spellEnd"/>
      <w:r w:rsidRPr="00C91693">
        <w:rPr>
          <w:rFonts w:ascii="Times New Roman" w:hAnsi="Times New Roman" w:cs="Times New Roman"/>
          <w:sz w:val="24"/>
          <w:szCs w:val="24"/>
        </w:rPr>
        <w:t xml:space="preserve">, 2012; </w:t>
      </w:r>
      <w:proofErr w:type="spellStart"/>
      <w:r w:rsidRPr="00C91693">
        <w:rPr>
          <w:rFonts w:ascii="Times New Roman" w:hAnsi="Times New Roman" w:cs="Times New Roman"/>
          <w:sz w:val="24"/>
          <w:szCs w:val="24"/>
        </w:rPr>
        <w:t>Mauss</w:t>
      </w:r>
      <w:proofErr w:type="spellEnd"/>
      <w:r w:rsidRPr="00C91693">
        <w:rPr>
          <w:rFonts w:ascii="Times New Roman" w:hAnsi="Times New Roman" w:cs="Times New Roman"/>
          <w:sz w:val="24"/>
          <w:szCs w:val="24"/>
        </w:rPr>
        <w:t xml:space="preserve"> et al., 2015).</w:t>
      </w:r>
      <w:r w:rsidRPr="00C91693">
        <w:rPr>
          <w:rFonts w:ascii="Times New Roman" w:hAnsi="Times New Roman" w:cs="Times New Roman"/>
          <w:color w:val="222222"/>
          <w:sz w:val="24"/>
          <w:szCs w:val="24"/>
          <w:shd w:val="clear" w:color="auto" w:fill="FFFFFF"/>
        </w:rPr>
        <w:t xml:space="preserve"> See Sims et al</w:t>
      </w:r>
      <w:r w:rsidR="000F4864">
        <w:rPr>
          <w:rFonts w:ascii="Times New Roman" w:hAnsi="Times New Roman" w:cs="Times New Roman"/>
          <w:color w:val="222222"/>
          <w:sz w:val="24"/>
          <w:szCs w:val="24"/>
          <w:shd w:val="clear" w:color="auto" w:fill="FFFFFF"/>
        </w:rPr>
        <w:t>.</w:t>
      </w:r>
      <w:r w:rsidRPr="00C91693">
        <w:rPr>
          <w:rFonts w:ascii="Times New Roman" w:hAnsi="Times New Roman" w:cs="Times New Roman"/>
          <w:color w:val="222222"/>
          <w:sz w:val="24"/>
          <w:szCs w:val="24"/>
          <w:shd w:val="clear" w:color="auto" w:fill="FFFFFF"/>
        </w:rPr>
        <w:t xml:space="preserve"> (2020a) for further details, including evidence of the </w:t>
      </w:r>
      <w:r w:rsidRPr="00C91693">
        <w:rPr>
          <w:rFonts w:ascii="Times New Roman" w:hAnsi="Times New Roman" w:cs="Times New Roman"/>
          <w:sz w:val="24"/>
          <w:szCs w:val="24"/>
        </w:rPr>
        <w:t>convergent validity of this global health measure.</w:t>
      </w:r>
    </w:p>
    <w:p w14:paraId="100E844C" w14:textId="2040FD2F" w:rsidR="00141B6D" w:rsidRPr="00C91693" w:rsidRDefault="00141B6D" w:rsidP="008B4E20">
      <w:pPr>
        <w:spacing w:line="360" w:lineRule="auto"/>
        <w:jc w:val="both"/>
        <w:rPr>
          <w:rFonts w:ascii="Times New Roman" w:hAnsi="Times New Roman" w:cs="Times New Roman"/>
          <w:sz w:val="24"/>
          <w:szCs w:val="24"/>
        </w:rPr>
      </w:pPr>
      <w:r w:rsidRPr="00C91693">
        <w:rPr>
          <w:rFonts w:ascii="Times New Roman" w:hAnsi="Times New Roman" w:cs="Times New Roman"/>
          <w:sz w:val="24"/>
          <w:szCs w:val="24"/>
        </w:rPr>
        <w:t xml:space="preserve">These </w:t>
      </w:r>
      <w:proofErr w:type="spellStart"/>
      <w:r w:rsidRPr="00C91693">
        <w:rPr>
          <w:rFonts w:ascii="Times New Roman" w:hAnsi="Times New Roman" w:cs="Times New Roman"/>
          <w:sz w:val="24"/>
          <w:szCs w:val="24"/>
        </w:rPr>
        <w:t>allostatic</w:t>
      </w:r>
      <w:proofErr w:type="spellEnd"/>
      <w:r w:rsidRPr="00C91693">
        <w:rPr>
          <w:rFonts w:ascii="Times New Roman" w:hAnsi="Times New Roman" w:cs="Times New Roman"/>
          <w:sz w:val="24"/>
          <w:szCs w:val="24"/>
        </w:rPr>
        <w:t xml:space="preserve"> load indices then serve as our outcome measures of interest. </w:t>
      </w:r>
      <w:r w:rsidR="00892E2A">
        <w:rPr>
          <w:rFonts w:ascii="Times New Roman" w:hAnsi="Times New Roman" w:cs="Times New Roman"/>
          <w:sz w:val="24"/>
          <w:szCs w:val="24"/>
        </w:rPr>
        <w:t>R</w:t>
      </w:r>
      <w:r w:rsidRPr="00C91693">
        <w:rPr>
          <w:rFonts w:ascii="Times New Roman" w:hAnsi="Times New Roman" w:cs="Times New Roman"/>
          <w:sz w:val="24"/>
          <w:szCs w:val="24"/>
        </w:rPr>
        <w:t>egression</w:t>
      </w:r>
      <w:r w:rsidR="00892E2A">
        <w:rPr>
          <w:rFonts w:ascii="Times New Roman" w:hAnsi="Times New Roman" w:cs="Times New Roman"/>
          <w:sz w:val="24"/>
          <w:szCs w:val="24"/>
        </w:rPr>
        <w:t xml:space="preserve"> analysis</w:t>
      </w:r>
      <w:r w:rsidRPr="00C91693">
        <w:rPr>
          <w:rFonts w:ascii="Times New Roman" w:hAnsi="Times New Roman" w:cs="Times New Roman"/>
          <w:sz w:val="24"/>
          <w:szCs w:val="24"/>
        </w:rPr>
        <w:t xml:space="preserve"> is then used to compare global health outcomes (as measured by the </w:t>
      </w:r>
      <w:proofErr w:type="spellStart"/>
      <w:r w:rsidRPr="00C91693">
        <w:rPr>
          <w:rFonts w:ascii="Times New Roman" w:hAnsi="Times New Roman" w:cs="Times New Roman"/>
          <w:sz w:val="24"/>
          <w:szCs w:val="24"/>
        </w:rPr>
        <w:t>allostatic</w:t>
      </w:r>
      <w:proofErr w:type="spellEnd"/>
      <w:r w:rsidRPr="00C91693">
        <w:rPr>
          <w:rFonts w:ascii="Times New Roman" w:hAnsi="Times New Roman" w:cs="Times New Roman"/>
          <w:sz w:val="24"/>
          <w:szCs w:val="24"/>
        </w:rPr>
        <w:t xml:space="preserve"> load indices) between demographically similar teachers, non-teachers and those individuals working in a specific set of comparator occupations of interest (accountants/consultants, health professionals, planners/surveyors, protective officers, research professionals and welfare professionals). All estimates are presented as ‘incidence rate ratios’, where values equal to </w:t>
      </w:r>
      <w:r w:rsidR="003632B5">
        <w:rPr>
          <w:rFonts w:ascii="Times New Roman" w:hAnsi="Times New Roman" w:cs="Times New Roman"/>
          <w:sz w:val="24"/>
          <w:szCs w:val="24"/>
        </w:rPr>
        <w:t>1</w:t>
      </w:r>
      <w:r w:rsidR="003632B5" w:rsidRPr="00C91693">
        <w:rPr>
          <w:rFonts w:ascii="Times New Roman" w:hAnsi="Times New Roman" w:cs="Times New Roman"/>
          <w:sz w:val="24"/>
          <w:szCs w:val="24"/>
        </w:rPr>
        <w:t xml:space="preserve"> </w:t>
      </w:r>
      <w:r w:rsidR="00E07EA2" w:rsidRPr="00C91693">
        <w:rPr>
          <w:rFonts w:ascii="Times New Roman" w:hAnsi="Times New Roman" w:cs="Times New Roman"/>
          <w:sz w:val="24"/>
          <w:szCs w:val="24"/>
        </w:rPr>
        <w:t>indicat</w:t>
      </w:r>
      <w:r w:rsidR="00E07EA2">
        <w:rPr>
          <w:rFonts w:ascii="Times New Roman" w:hAnsi="Times New Roman" w:cs="Times New Roman"/>
          <w:sz w:val="24"/>
          <w:szCs w:val="24"/>
        </w:rPr>
        <w:t>e</w:t>
      </w:r>
      <w:r w:rsidR="00E07EA2" w:rsidRPr="00C91693">
        <w:rPr>
          <w:rFonts w:ascii="Times New Roman" w:hAnsi="Times New Roman" w:cs="Times New Roman"/>
          <w:sz w:val="24"/>
          <w:szCs w:val="24"/>
        </w:rPr>
        <w:t xml:space="preserve"> </w:t>
      </w:r>
      <w:r w:rsidRPr="00C91693">
        <w:rPr>
          <w:rFonts w:ascii="Times New Roman" w:hAnsi="Times New Roman" w:cs="Times New Roman"/>
          <w:sz w:val="24"/>
          <w:szCs w:val="24"/>
        </w:rPr>
        <w:t>that there is no difference in global health outcomes between teachers and other occupational groups.</w:t>
      </w:r>
    </w:p>
    <w:p w14:paraId="17F61E6B" w14:textId="77777777" w:rsidR="00141B6D" w:rsidRPr="00C91693" w:rsidRDefault="00141B6D" w:rsidP="008B4E20">
      <w:pPr>
        <w:spacing w:line="360" w:lineRule="auto"/>
        <w:jc w:val="both"/>
        <w:rPr>
          <w:rFonts w:ascii="Times New Roman" w:hAnsi="Times New Roman" w:cs="Times New Roman"/>
          <w:b/>
          <w:bCs/>
          <w:sz w:val="24"/>
          <w:szCs w:val="24"/>
        </w:rPr>
      </w:pPr>
      <w:r w:rsidRPr="00C91693">
        <w:rPr>
          <w:rFonts w:ascii="Times New Roman" w:hAnsi="Times New Roman" w:cs="Times New Roman"/>
          <w:b/>
          <w:bCs/>
          <w:sz w:val="24"/>
          <w:szCs w:val="24"/>
        </w:rPr>
        <w:t>4.3 Results</w:t>
      </w:r>
    </w:p>
    <w:p w14:paraId="04AF7759" w14:textId="30B2E0EC" w:rsidR="00141B6D" w:rsidRPr="00C91693" w:rsidRDefault="00892E2A" w:rsidP="008B4E20">
      <w:pPr>
        <w:spacing w:line="360" w:lineRule="auto"/>
        <w:jc w:val="both"/>
        <w:rPr>
          <w:rFonts w:ascii="Times New Roman" w:hAnsi="Times New Roman" w:cs="Times New Roman"/>
          <w:sz w:val="24"/>
          <w:szCs w:val="24"/>
        </w:rPr>
      </w:pPr>
      <w:r>
        <w:rPr>
          <w:rFonts w:ascii="Times New Roman" w:hAnsi="Times New Roman" w:cs="Times New Roman"/>
          <w:sz w:val="24"/>
          <w:szCs w:val="24"/>
        </w:rPr>
        <w:t>Table 4.1</w:t>
      </w:r>
      <w:r w:rsidR="00141B6D" w:rsidRPr="00C91693">
        <w:rPr>
          <w:rFonts w:ascii="Times New Roman" w:hAnsi="Times New Roman" w:cs="Times New Roman"/>
          <w:sz w:val="24"/>
          <w:szCs w:val="24"/>
        </w:rPr>
        <w:t xml:space="preserve"> presents the results from our regression models. In the Understa</w:t>
      </w:r>
      <w:r>
        <w:rPr>
          <w:rFonts w:ascii="Times New Roman" w:hAnsi="Times New Roman" w:cs="Times New Roman"/>
          <w:sz w:val="24"/>
          <w:szCs w:val="24"/>
        </w:rPr>
        <w:t>nding Society dataset, Table 4.1</w:t>
      </w:r>
      <w:r w:rsidR="00141B6D" w:rsidRPr="00C91693">
        <w:rPr>
          <w:rFonts w:ascii="Times New Roman" w:hAnsi="Times New Roman" w:cs="Times New Roman"/>
          <w:sz w:val="24"/>
          <w:szCs w:val="24"/>
        </w:rPr>
        <w:t xml:space="preserve"> suggests that working as a teacher is associated with a small decrease in the ALI (i.e. that teachers are in slightly </w:t>
      </w:r>
      <w:r w:rsidR="00141B6D" w:rsidRPr="00C91693">
        <w:rPr>
          <w:rFonts w:ascii="Times New Roman" w:hAnsi="Times New Roman" w:cs="Times New Roman"/>
          <w:i/>
          <w:sz w:val="24"/>
          <w:szCs w:val="24"/>
        </w:rPr>
        <w:t>better</w:t>
      </w:r>
      <w:r w:rsidR="00141B6D" w:rsidRPr="00C91693">
        <w:rPr>
          <w:rFonts w:ascii="Times New Roman" w:hAnsi="Times New Roman" w:cs="Times New Roman"/>
          <w:sz w:val="24"/>
          <w:szCs w:val="24"/>
        </w:rPr>
        <w:t xml:space="preserve"> health than demographically and educationally similar individuals from across the population). Specifically, t</w:t>
      </w:r>
      <w:r>
        <w:rPr>
          <w:rFonts w:ascii="Times New Roman" w:hAnsi="Times New Roman" w:cs="Times New Roman"/>
          <w:sz w:val="24"/>
          <w:szCs w:val="24"/>
        </w:rPr>
        <w:t>he incidence rate ratio of 0.94</w:t>
      </w:r>
      <w:r w:rsidR="00141B6D" w:rsidRPr="00C91693">
        <w:rPr>
          <w:rFonts w:ascii="Times New Roman" w:hAnsi="Times New Roman" w:cs="Times New Roman"/>
          <w:sz w:val="24"/>
          <w:szCs w:val="24"/>
        </w:rPr>
        <w:t xml:space="preserve"> indicates that teaching is associated with</w:t>
      </w:r>
      <w:r w:rsidR="00E07EA2">
        <w:rPr>
          <w:rFonts w:ascii="Times New Roman" w:hAnsi="Times New Roman" w:cs="Times New Roman"/>
          <w:sz w:val="24"/>
          <w:szCs w:val="24"/>
        </w:rPr>
        <w:t xml:space="preserve"> a</w:t>
      </w:r>
      <w:r w:rsidR="00141B6D" w:rsidRPr="00C91693">
        <w:rPr>
          <w:rFonts w:ascii="Times New Roman" w:hAnsi="Times New Roman" w:cs="Times New Roman"/>
          <w:sz w:val="24"/>
          <w:szCs w:val="24"/>
        </w:rPr>
        <w:t xml:space="preserve"> 6% reduction in the rate of </w:t>
      </w:r>
      <w:proofErr w:type="spellStart"/>
      <w:r w:rsidR="00141B6D" w:rsidRPr="00C91693">
        <w:rPr>
          <w:rFonts w:ascii="Times New Roman" w:hAnsi="Times New Roman" w:cs="Times New Roman"/>
          <w:sz w:val="24"/>
          <w:szCs w:val="24"/>
        </w:rPr>
        <w:t>allostatic</w:t>
      </w:r>
      <w:proofErr w:type="spellEnd"/>
      <w:r w:rsidR="00141B6D" w:rsidRPr="00C91693">
        <w:rPr>
          <w:rFonts w:ascii="Times New Roman" w:hAnsi="Times New Roman" w:cs="Times New Roman"/>
          <w:sz w:val="24"/>
          <w:szCs w:val="24"/>
        </w:rPr>
        <w:t xml:space="preserve"> load – though this is small in terms of magnitude. The analogous regression using the Biobank dataset suggests that the difference between teachers and other working age adults is effectively zero (incidence rate ratio = 1.004). Taken together, these findings suggest that the global health of teachers does </w:t>
      </w:r>
      <w:r w:rsidR="00141B6D" w:rsidRPr="00C91693">
        <w:rPr>
          <w:rFonts w:ascii="Times New Roman" w:hAnsi="Times New Roman" w:cs="Times New Roman"/>
          <w:sz w:val="24"/>
          <w:szCs w:val="24"/>
        </w:rPr>
        <w:lastRenderedPageBreak/>
        <w:t>not stand out as atypically better or worse than demographically similar individuals across the rest of the population.</w:t>
      </w:r>
    </w:p>
    <w:p w14:paraId="5A8242DC" w14:textId="783DA825" w:rsidR="00141B6D" w:rsidRPr="00C91693" w:rsidRDefault="00892E2A" w:rsidP="008B4E2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Table 4.1</w:t>
      </w:r>
      <w:r w:rsidR="00141B6D" w:rsidRPr="00C91693">
        <w:rPr>
          <w:rFonts w:ascii="Times New Roman" w:hAnsi="Times New Roman" w:cs="Times New Roman"/>
          <w:b/>
          <w:bCs/>
          <w:sz w:val="24"/>
          <w:szCs w:val="24"/>
        </w:rPr>
        <w:t xml:space="preserve"> Regressing teaching on </w:t>
      </w:r>
      <w:proofErr w:type="spellStart"/>
      <w:r w:rsidR="00141B6D" w:rsidRPr="00C91693">
        <w:rPr>
          <w:rFonts w:ascii="Times New Roman" w:hAnsi="Times New Roman" w:cs="Times New Roman"/>
          <w:b/>
          <w:bCs/>
          <w:sz w:val="24"/>
          <w:szCs w:val="24"/>
        </w:rPr>
        <w:t>allostatic</w:t>
      </w:r>
      <w:proofErr w:type="spellEnd"/>
      <w:r w:rsidR="00141B6D" w:rsidRPr="00C91693">
        <w:rPr>
          <w:rFonts w:ascii="Times New Roman" w:hAnsi="Times New Roman" w:cs="Times New Roman"/>
          <w:b/>
          <w:bCs/>
          <w:sz w:val="24"/>
          <w:szCs w:val="24"/>
        </w:rPr>
        <w:t xml:space="preserve"> load</w:t>
      </w:r>
    </w:p>
    <w:tbl>
      <w:tblPr>
        <w:tblW w:w="5840" w:type="dxa"/>
        <w:jc w:val="center"/>
        <w:tblLook w:val="04A0" w:firstRow="1" w:lastRow="0" w:firstColumn="1" w:lastColumn="0" w:noHBand="0" w:noVBand="1"/>
      </w:tblPr>
      <w:tblGrid>
        <w:gridCol w:w="2420"/>
        <w:gridCol w:w="1640"/>
        <w:gridCol w:w="1780"/>
      </w:tblGrid>
      <w:tr w:rsidR="00141B6D" w:rsidRPr="007C488A" w14:paraId="2B67E51A" w14:textId="77777777" w:rsidTr="008B4E20">
        <w:trPr>
          <w:trHeight w:val="434"/>
          <w:jc w:val="center"/>
        </w:trPr>
        <w:tc>
          <w:tcPr>
            <w:tcW w:w="2420" w:type="dxa"/>
            <w:tcBorders>
              <w:top w:val="single" w:sz="4" w:space="0" w:color="auto"/>
              <w:left w:val="nil"/>
              <w:bottom w:val="single" w:sz="8" w:space="0" w:color="auto"/>
              <w:right w:val="nil"/>
            </w:tcBorders>
            <w:shd w:val="clear" w:color="000000" w:fill="B4C6E7"/>
            <w:vAlign w:val="center"/>
            <w:hideMark/>
          </w:tcPr>
          <w:p w14:paraId="524BCE3C" w14:textId="77777777" w:rsidR="00141B6D" w:rsidRPr="007C488A" w:rsidRDefault="00141B6D" w:rsidP="008B4E20">
            <w:pPr>
              <w:spacing w:line="240" w:lineRule="auto"/>
              <w:rPr>
                <w:rFonts w:ascii="Times New Roman" w:eastAsia="Times New Roman" w:hAnsi="Times New Roman" w:cs="Times New Roman"/>
                <w:b/>
                <w:bCs/>
                <w:color w:val="000000"/>
                <w:lang w:eastAsia="en-GB"/>
              </w:rPr>
            </w:pPr>
            <w:r w:rsidRPr="007C488A">
              <w:rPr>
                <w:rFonts w:ascii="Times New Roman" w:eastAsia="Times New Roman" w:hAnsi="Times New Roman" w:cs="Times New Roman"/>
                <w:b/>
                <w:bCs/>
                <w:color w:val="000000"/>
                <w:lang w:eastAsia="en-GB"/>
              </w:rPr>
              <w:t> </w:t>
            </w:r>
          </w:p>
        </w:tc>
        <w:tc>
          <w:tcPr>
            <w:tcW w:w="1640" w:type="dxa"/>
            <w:tcBorders>
              <w:top w:val="single" w:sz="4" w:space="0" w:color="auto"/>
              <w:left w:val="nil"/>
              <w:bottom w:val="single" w:sz="8" w:space="0" w:color="auto"/>
              <w:right w:val="nil"/>
            </w:tcBorders>
            <w:shd w:val="clear" w:color="000000" w:fill="B4C6E7"/>
            <w:vAlign w:val="center"/>
            <w:hideMark/>
          </w:tcPr>
          <w:p w14:paraId="4133A53F" w14:textId="77777777" w:rsidR="00141B6D" w:rsidRPr="007C488A" w:rsidRDefault="00141B6D" w:rsidP="003632B5">
            <w:pPr>
              <w:spacing w:after="0" w:line="240" w:lineRule="auto"/>
              <w:jc w:val="center"/>
              <w:rPr>
                <w:rFonts w:ascii="Times New Roman" w:eastAsia="Times New Roman" w:hAnsi="Times New Roman" w:cs="Times New Roman"/>
                <w:b/>
                <w:bCs/>
                <w:color w:val="000000"/>
                <w:lang w:eastAsia="en-GB"/>
              </w:rPr>
            </w:pPr>
            <w:r w:rsidRPr="007C488A">
              <w:rPr>
                <w:rFonts w:ascii="Times New Roman" w:eastAsia="Times New Roman" w:hAnsi="Times New Roman" w:cs="Times New Roman"/>
                <w:b/>
                <w:bCs/>
                <w:color w:val="000000"/>
                <w:lang w:eastAsia="en-GB"/>
              </w:rPr>
              <w:t>Understanding Society</w:t>
            </w:r>
          </w:p>
        </w:tc>
        <w:tc>
          <w:tcPr>
            <w:tcW w:w="1780" w:type="dxa"/>
            <w:tcBorders>
              <w:top w:val="single" w:sz="4" w:space="0" w:color="auto"/>
              <w:left w:val="nil"/>
              <w:bottom w:val="single" w:sz="8" w:space="0" w:color="auto"/>
              <w:right w:val="nil"/>
            </w:tcBorders>
            <w:shd w:val="clear" w:color="000000" w:fill="B4C6E7"/>
            <w:vAlign w:val="center"/>
            <w:hideMark/>
          </w:tcPr>
          <w:p w14:paraId="7557265E" w14:textId="77777777" w:rsidR="00141B6D" w:rsidRPr="007C488A" w:rsidRDefault="00141B6D" w:rsidP="008B4E20">
            <w:pPr>
              <w:spacing w:line="240" w:lineRule="auto"/>
              <w:jc w:val="center"/>
              <w:rPr>
                <w:rFonts w:ascii="Times New Roman" w:eastAsia="Times New Roman" w:hAnsi="Times New Roman" w:cs="Times New Roman"/>
                <w:b/>
                <w:bCs/>
                <w:color w:val="000000"/>
                <w:lang w:eastAsia="en-GB"/>
              </w:rPr>
            </w:pPr>
            <w:r w:rsidRPr="007C488A">
              <w:rPr>
                <w:rFonts w:ascii="Times New Roman" w:eastAsia="Times New Roman" w:hAnsi="Times New Roman" w:cs="Times New Roman"/>
                <w:b/>
                <w:bCs/>
                <w:color w:val="000000"/>
                <w:lang w:eastAsia="en-GB"/>
              </w:rPr>
              <w:t>Biobank</w:t>
            </w:r>
          </w:p>
        </w:tc>
      </w:tr>
      <w:tr w:rsidR="00141B6D" w:rsidRPr="007C488A" w14:paraId="4ADAAC11" w14:textId="77777777" w:rsidTr="00141B6D">
        <w:trPr>
          <w:trHeight w:val="300"/>
          <w:jc w:val="center"/>
        </w:trPr>
        <w:tc>
          <w:tcPr>
            <w:tcW w:w="2420" w:type="dxa"/>
            <w:tcBorders>
              <w:top w:val="nil"/>
              <w:left w:val="nil"/>
              <w:bottom w:val="single" w:sz="4" w:space="0" w:color="auto"/>
              <w:right w:val="nil"/>
            </w:tcBorders>
            <w:shd w:val="clear" w:color="auto" w:fill="auto"/>
            <w:vAlign w:val="center"/>
            <w:hideMark/>
          </w:tcPr>
          <w:p w14:paraId="4BCCE126" w14:textId="77777777" w:rsidR="00141B6D" w:rsidRPr="007C488A" w:rsidRDefault="00141B6D" w:rsidP="008B4E20">
            <w:pPr>
              <w:spacing w:line="360" w:lineRule="auto"/>
              <w:rPr>
                <w:rFonts w:ascii="Times New Roman" w:eastAsia="Times New Roman" w:hAnsi="Times New Roman" w:cs="Times New Roman"/>
                <w:color w:val="000000"/>
                <w:lang w:eastAsia="en-GB"/>
              </w:rPr>
            </w:pPr>
            <w:r w:rsidRPr="007C488A">
              <w:rPr>
                <w:rFonts w:ascii="Times New Roman" w:eastAsia="Times New Roman" w:hAnsi="Times New Roman" w:cs="Times New Roman"/>
                <w:color w:val="000000"/>
                <w:lang w:eastAsia="en-GB"/>
              </w:rPr>
              <w:t>Respondent a teacher</w:t>
            </w:r>
          </w:p>
        </w:tc>
        <w:tc>
          <w:tcPr>
            <w:tcW w:w="1640" w:type="dxa"/>
            <w:tcBorders>
              <w:top w:val="nil"/>
              <w:left w:val="nil"/>
              <w:bottom w:val="single" w:sz="4" w:space="0" w:color="auto"/>
              <w:right w:val="nil"/>
            </w:tcBorders>
            <w:shd w:val="clear" w:color="auto" w:fill="auto"/>
            <w:noWrap/>
            <w:vAlign w:val="center"/>
            <w:hideMark/>
          </w:tcPr>
          <w:p w14:paraId="0DE64C52" w14:textId="77777777" w:rsidR="00141B6D" w:rsidRPr="007C488A" w:rsidRDefault="00141B6D" w:rsidP="008B4E20">
            <w:pPr>
              <w:spacing w:line="360" w:lineRule="auto"/>
              <w:jc w:val="center"/>
              <w:rPr>
                <w:rFonts w:ascii="Times New Roman" w:eastAsia="Times New Roman" w:hAnsi="Times New Roman" w:cs="Times New Roman"/>
                <w:color w:val="000000"/>
                <w:lang w:eastAsia="en-GB"/>
              </w:rPr>
            </w:pPr>
            <w:r w:rsidRPr="007C488A">
              <w:rPr>
                <w:rFonts w:ascii="Times New Roman" w:eastAsia="Times New Roman" w:hAnsi="Times New Roman" w:cs="Times New Roman"/>
                <w:color w:val="000000"/>
                <w:lang w:eastAsia="en-GB"/>
              </w:rPr>
              <w:t>0.94</w:t>
            </w:r>
          </w:p>
        </w:tc>
        <w:tc>
          <w:tcPr>
            <w:tcW w:w="1780" w:type="dxa"/>
            <w:tcBorders>
              <w:top w:val="nil"/>
              <w:left w:val="nil"/>
              <w:bottom w:val="single" w:sz="4" w:space="0" w:color="auto"/>
              <w:right w:val="nil"/>
            </w:tcBorders>
            <w:shd w:val="clear" w:color="auto" w:fill="auto"/>
            <w:noWrap/>
            <w:vAlign w:val="center"/>
            <w:hideMark/>
          </w:tcPr>
          <w:p w14:paraId="570A8D46" w14:textId="77777777" w:rsidR="00141B6D" w:rsidRPr="007C488A" w:rsidRDefault="00141B6D" w:rsidP="008B4E20">
            <w:pPr>
              <w:spacing w:line="360" w:lineRule="auto"/>
              <w:jc w:val="center"/>
              <w:rPr>
                <w:rFonts w:ascii="Times New Roman" w:eastAsia="Times New Roman" w:hAnsi="Times New Roman" w:cs="Times New Roman"/>
                <w:color w:val="000000"/>
                <w:lang w:eastAsia="en-GB"/>
              </w:rPr>
            </w:pPr>
            <w:r w:rsidRPr="007C488A">
              <w:rPr>
                <w:rFonts w:ascii="Times New Roman" w:eastAsia="Times New Roman" w:hAnsi="Times New Roman" w:cs="Times New Roman"/>
                <w:color w:val="000000"/>
                <w:lang w:eastAsia="en-GB"/>
              </w:rPr>
              <w:t>1.00</w:t>
            </w:r>
          </w:p>
        </w:tc>
      </w:tr>
      <w:tr w:rsidR="00141B6D" w:rsidRPr="007C488A" w14:paraId="6B07F7ED" w14:textId="77777777" w:rsidTr="00141B6D">
        <w:trPr>
          <w:trHeight w:val="315"/>
          <w:jc w:val="center"/>
        </w:trPr>
        <w:tc>
          <w:tcPr>
            <w:tcW w:w="2420" w:type="dxa"/>
            <w:tcBorders>
              <w:top w:val="nil"/>
              <w:left w:val="nil"/>
              <w:bottom w:val="single" w:sz="8" w:space="0" w:color="auto"/>
              <w:right w:val="nil"/>
            </w:tcBorders>
            <w:shd w:val="clear" w:color="auto" w:fill="auto"/>
            <w:vAlign w:val="center"/>
            <w:hideMark/>
          </w:tcPr>
          <w:p w14:paraId="4207E8C2" w14:textId="77777777" w:rsidR="00141B6D" w:rsidRPr="007C488A" w:rsidRDefault="00141B6D" w:rsidP="008B4E20">
            <w:pPr>
              <w:spacing w:line="360" w:lineRule="auto"/>
              <w:rPr>
                <w:rFonts w:ascii="Times New Roman" w:eastAsia="Times New Roman" w:hAnsi="Times New Roman" w:cs="Times New Roman"/>
                <w:b/>
                <w:bCs/>
                <w:color w:val="000000"/>
                <w:lang w:eastAsia="en-GB"/>
              </w:rPr>
            </w:pPr>
            <w:r w:rsidRPr="007C488A">
              <w:rPr>
                <w:rFonts w:ascii="Times New Roman" w:eastAsia="Times New Roman" w:hAnsi="Times New Roman" w:cs="Times New Roman"/>
                <w:b/>
                <w:bCs/>
                <w:color w:val="000000"/>
                <w:lang w:eastAsia="en-GB"/>
              </w:rPr>
              <w:t>N</w:t>
            </w:r>
          </w:p>
        </w:tc>
        <w:tc>
          <w:tcPr>
            <w:tcW w:w="1640" w:type="dxa"/>
            <w:tcBorders>
              <w:top w:val="nil"/>
              <w:left w:val="nil"/>
              <w:bottom w:val="single" w:sz="8" w:space="0" w:color="auto"/>
              <w:right w:val="nil"/>
            </w:tcBorders>
            <w:shd w:val="clear" w:color="auto" w:fill="auto"/>
            <w:vAlign w:val="center"/>
            <w:hideMark/>
          </w:tcPr>
          <w:p w14:paraId="4479397C" w14:textId="77777777" w:rsidR="00141B6D" w:rsidRPr="007C488A" w:rsidRDefault="00141B6D" w:rsidP="008B4E20">
            <w:pPr>
              <w:spacing w:line="360" w:lineRule="auto"/>
              <w:jc w:val="center"/>
              <w:rPr>
                <w:rFonts w:ascii="Times New Roman" w:eastAsia="Times New Roman" w:hAnsi="Times New Roman" w:cs="Times New Roman"/>
                <w:b/>
                <w:bCs/>
                <w:color w:val="000000"/>
                <w:lang w:eastAsia="en-GB"/>
              </w:rPr>
            </w:pPr>
            <w:r w:rsidRPr="007C488A">
              <w:rPr>
                <w:rFonts w:ascii="Times New Roman" w:eastAsia="Times New Roman" w:hAnsi="Times New Roman" w:cs="Times New Roman"/>
                <w:b/>
                <w:bCs/>
                <w:color w:val="000000"/>
                <w:lang w:eastAsia="en-GB"/>
              </w:rPr>
              <w:t>7,173</w:t>
            </w:r>
          </w:p>
        </w:tc>
        <w:tc>
          <w:tcPr>
            <w:tcW w:w="1780" w:type="dxa"/>
            <w:tcBorders>
              <w:top w:val="nil"/>
              <w:left w:val="nil"/>
              <w:bottom w:val="single" w:sz="8" w:space="0" w:color="auto"/>
              <w:right w:val="nil"/>
            </w:tcBorders>
            <w:shd w:val="clear" w:color="auto" w:fill="auto"/>
            <w:vAlign w:val="center"/>
            <w:hideMark/>
          </w:tcPr>
          <w:p w14:paraId="799F302C" w14:textId="77777777" w:rsidR="00141B6D" w:rsidRPr="007C488A" w:rsidRDefault="00141B6D" w:rsidP="008B4E20">
            <w:pPr>
              <w:spacing w:line="360" w:lineRule="auto"/>
              <w:jc w:val="center"/>
              <w:rPr>
                <w:rFonts w:ascii="Times New Roman" w:eastAsia="Times New Roman" w:hAnsi="Times New Roman" w:cs="Times New Roman"/>
                <w:b/>
                <w:bCs/>
                <w:color w:val="000000"/>
                <w:lang w:eastAsia="en-GB"/>
              </w:rPr>
            </w:pPr>
            <w:r w:rsidRPr="007C488A">
              <w:rPr>
                <w:rFonts w:ascii="Times New Roman" w:eastAsia="Times New Roman" w:hAnsi="Times New Roman" w:cs="Times New Roman"/>
                <w:b/>
                <w:bCs/>
                <w:color w:val="000000"/>
                <w:lang w:eastAsia="en-GB"/>
              </w:rPr>
              <w:t>229,503</w:t>
            </w:r>
          </w:p>
        </w:tc>
      </w:tr>
    </w:tbl>
    <w:p w14:paraId="0471A98D" w14:textId="29E6EACB" w:rsidR="00A43F1A" w:rsidRDefault="00141B6D" w:rsidP="008B4E20">
      <w:pPr>
        <w:spacing w:after="0" w:line="240" w:lineRule="auto"/>
        <w:jc w:val="both"/>
        <w:rPr>
          <w:rFonts w:ascii="Times New Roman" w:hAnsi="Times New Roman" w:cs="Times New Roman"/>
          <w:sz w:val="24"/>
          <w:szCs w:val="24"/>
        </w:rPr>
      </w:pPr>
      <w:r w:rsidRPr="005C4941">
        <w:rPr>
          <w:rFonts w:ascii="Times New Roman" w:hAnsi="Times New Roman" w:cs="Times New Roman"/>
          <w:sz w:val="20"/>
          <w:szCs w:val="20"/>
        </w:rPr>
        <w:t xml:space="preserve">Notes: </w:t>
      </w:r>
      <w:r>
        <w:rPr>
          <w:rFonts w:ascii="Times New Roman" w:hAnsi="Times New Roman" w:cs="Times New Roman"/>
          <w:sz w:val="20"/>
          <w:szCs w:val="20"/>
        </w:rPr>
        <w:t>All c</w:t>
      </w:r>
      <w:r w:rsidRPr="005C4941">
        <w:rPr>
          <w:rFonts w:ascii="Times New Roman" w:hAnsi="Times New Roman" w:cs="Times New Roman"/>
          <w:sz w:val="20"/>
          <w:szCs w:val="20"/>
        </w:rPr>
        <w:t xml:space="preserve">olumns are negative binomial regressions </w:t>
      </w:r>
      <w:r>
        <w:rPr>
          <w:rFonts w:ascii="Times New Roman" w:hAnsi="Times New Roman" w:cs="Times New Roman"/>
          <w:sz w:val="20"/>
          <w:szCs w:val="20"/>
        </w:rPr>
        <w:t>and</w:t>
      </w:r>
      <w:r w:rsidRPr="005C4941">
        <w:rPr>
          <w:rFonts w:ascii="Times New Roman" w:hAnsi="Times New Roman" w:cs="Times New Roman"/>
          <w:sz w:val="20"/>
          <w:szCs w:val="20"/>
        </w:rPr>
        <w:t xml:space="preserve"> coefficients are </w:t>
      </w:r>
      <w:r>
        <w:rPr>
          <w:rFonts w:ascii="Times New Roman" w:hAnsi="Times New Roman" w:cs="Times New Roman"/>
          <w:sz w:val="20"/>
          <w:szCs w:val="20"/>
        </w:rPr>
        <w:t>incidence rate</w:t>
      </w:r>
      <w:r w:rsidRPr="005C4941">
        <w:rPr>
          <w:rFonts w:ascii="Times New Roman" w:hAnsi="Times New Roman" w:cs="Times New Roman"/>
          <w:sz w:val="20"/>
          <w:szCs w:val="20"/>
        </w:rPr>
        <w:t xml:space="preserve"> ratios</w:t>
      </w:r>
      <w:r>
        <w:rPr>
          <w:rFonts w:ascii="Times New Roman" w:hAnsi="Times New Roman" w:cs="Times New Roman"/>
          <w:sz w:val="20"/>
          <w:szCs w:val="20"/>
        </w:rPr>
        <w:t xml:space="preserve"> (IRR)</w:t>
      </w:r>
      <w:r w:rsidRPr="005C4941">
        <w:rPr>
          <w:rFonts w:ascii="Times New Roman" w:hAnsi="Times New Roman" w:cs="Times New Roman"/>
          <w:sz w:val="20"/>
          <w:szCs w:val="20"/>
        </w:rPr>
        <w:t>.</w:t>
      </w:r>
      <w:r>
        <w:rPr>
          <w:rFonts w:ascii="Times New Roman" w:hAnsi="Times New Roman" w:cs="Times New Roman"/>
          <w:sz w:val="20"/>
          <w:szCs w:val="20"/>
        </w:rPr>
        <w:t xml:space="preserve"> Reference group = non-teacher. Model controls for demographics and educational qualifications. Values close to one indicates no difference between teachers and non-teachers.</w:t>
      </w:r>
      <w:r w:rsidRPr="005C4941">
        <w:rPr>
          <w:rFonts w:ascii="Times New Roman" w:hAnsi="Times New Roman" w:cs="Times New Roman"/>
          <w:sz w:val="20"/>
          <w:szCs w:val="20"/>
        </w:rPr>
        <w:t xml:space="preserve"> * </w:t>
      </w:r>
      <w:r>
        <w:rPr>
          <w:rFonts w:ascii="Times New Roman" w:hAnsi="Times New Roman" w:cs="Times New Roman"/>
          <w:sz w:val="20"/>
          <w:szCs w:val="20"/>
        </w:rPr>
        <w:t xml:space="preserve">indicates statistical significance at the </w:t>
      </w:r>
      <w:r w:rsidR="002F4196">
        <w:rPr>
          <w:rFonts w:ascii="Times New Roman" w:hAnsi="Times New Roman" w:cs="Times New Roman"/>
          <w:sz w:val="20"/>
          <w:szCs w:val="20"/>
        </w:rPr>
        <w:t>5%</w:t>
      </w:r>
      <w:r>
        <w:rPr>
          <w:rFonts w:ascii="Times New Roman" w:hAnsi="Times New Roman" w:cs="Times New Roman"/>
          <w:sz w:val="20"/>
          <w:szCs w:val="20"/>
        </w:rPr>
        <w:t xml:space="preserve"> level.</w:t>
      </w:r>
      <w:r w:rsidR="00C15BFD">
        <w:rPr>
          <w:rFonts w:ascii="Times New Roman" w:hAnsi="Times New Roman" w:cs="Times New Roman"/>
          <w:sz w:val="20"/>
          <w:szCs w:val="20"/>
        </w:rPr>
        <w:t xml:space="preserve"> </w:t>
      </w:r>
      <w:r w:rsidR="00C15BFD" w:rsidRPr="00C15BFD">
        <w:rPr>
          <w:rFonts w:ascii="Times New Roman" w:hAnsi="Times New Roman" w:cs="Times New Roman"/>
          <w:sz w:val="20"/>
          <w:szCs w:val="20"/>
        </w:rPr>
        <w:t xml:space="preserve">Source = authors’ analysis of </w:t>
      </w:r>
      <w:r w:rsidR="00C15BFD">
        <w:rPr>
          <w:rFonts w:ascii="Times New Roman" w:hAnsi="Times New Roman" w:cs="Times New Roman"/>
          <w:sz w:val="20"/>
          <w:szCs w:val="20"/>
        </w:rPr>
        <w:t>the Understanding Society and UK Biobank datasets</w:t>
      </w:r>
      <w:r w:rsidR="00C15BFD" w:rsidRPr="00C15BFD">
        <w:rPr>
          <w:rFonts w:ascii="Times New Roman" w:hAnsi="Times New Roman" w:cs="Times New Roman"/>
          <w:sz w:val="20"/>
          <w:szCs w:val="20"/>
        </w:rPr>
        <w:t>.</w:t>
      </w:r>
    </w:p>
    <w:p w14:paraId="2D454154" w14:textId="77777777" w:rsidR="00472ECB" w:rsidRDefault="00472ECB" w:rsidP="008B4E20">
      <w:pPr>
        <w:spacing w:after="0" w:line="240" w:lineRule="auto"/>
        <w:jc w:val="both"/>
        <w:rPr>
          <w:rFonts w:ascii="Times New Roman" w:hAnsi="Times New Roman" w:cs="Times New Roman"/>
          <w:b/>
          <w:bCs/>
        </w:rPr>
      </w:pPr>
    </w:p>
    <w:p w14:paraId="442A9C30" w14:textId="68AF8535" w:rsidR="00141B6D" w:rsidRPr="00C91693" w:rsidRDefault="00141B6D" w:rsidP="008B4E20">
      <w:pPr>
        <w:spacing w:line="360" w:lineRule="auto"/>
        <w:jc w:val="both"/>
        <w:rPr>
          <w:rFonts w:ascii="Times New Roman" w:hAnsi="Times New Roman" w:cs="Times New Roman"/>
          <w:sz w:val="24"/>
          <w:szCs w:val="24"/>
        </w:rPr>
      </w:pPr>
      <w:r w:rsidRPr="00C91693">
        <w:rPr>
          <w:rFonts w:ascii="Times New Roman" w:hAnsi="Times New Roman" w:cs="Times New Roman"/>
          <w:sz w:val="24"/>
          <w:szCs w:val="24"/>
        </w:rPr>
        <w:t>If teaching damages health through cumulative exposure to stress, one might expect longer period</w:t>
      </w:r>
      <w:r w:rsidR="00472ECB">
        <w:rPr>
          <w:rFonts w:ascii="Times New Roman" w:hAnsi="Times New Roman" w:cs="Times New Roman"/>
          <w:sz w:val="24"/>
          <w:szCs w:val="24"/>
        </w:rPr>
        <w:t>s</w:t>
      </w:r>
      <w:r w:rsidRPr="00C91693">
        <w:rPr>
          <w:rFonts w:ascii="Times New Roman" w:hAnsi="Times New Roman" w:cs="Times New Roman"/>
          <w:sz w:val="24"/>
          <w:szCs w:val="24"/>
        </w:rPr>
        <w:t xml:space="preserve"> of teaching to be associated with worse health. We have investigated this possibility in additional analysis where the </w:t>
      </w:r>
      <w:proofErr w:type="spellStart"/>
      <w:r w:rsidRPr="00C91693">
        <w:rPr>
          <w:rFonts w:ascii="Times New Roman" w:hAnsi="Times New Roman" w:cs="Times New Roman"/>
          <w:sz w:val="24"/>
          <w:szCs w:val="24"/>
        </w:rPr>
        <w:t>allostatic</w:t>
      </w:r>
      <w:proofErr w:type="spellEnd"/>
      <w:r w:rsidRPr="00C91693">
        <w:rPr>
          <w:rFonts w:ascii="Times New Roman" w:hAnsi="Times New Roman" w:cs="Times New Roman"/>
          <w:sz w:val="24"/>
          <w:szCs w:val="24"/>
        </w:rPr>
        <w:t xml:space="preserve"> load index has been regressed upon </w:t>
      </w:r>
      <w:r w:rsidR="00472ECB">
        <w:rPr>
          <w:rFonts w:ascii="Times New Roman" w:hAnsi="Times New Roman" w:cs="Times New Roman"/>
          <w:sz w:val="24"/>
          <w:szCs w:val="24"/>
        </w:rPr>
        <w:t xml:space="preserve">the </w:t>
      </w:r>
      <w:r w:rsidRPr="00C91693">
        <w:rPr>
          <w:rFonts w:ascii="Times New Roman" w:hAnsi="Times New Roman" w:cs="Times New Roman"/>
          <w:sz w:val="24"/>
          <w:szCs w:val="24"/>
        </w:rPr>
        <w:t>number of years spent teaching using a subsample of Biobank dataset (see Sims et al</w:t>
      </w:r>
      <w:r w:rsidR="00A5385B">
        <w:rPr>
          <w:rFonts w:ascii="Times New Roman" w:hAnsi="Times New Roman" w:cs="Times New Roman"/>
          <w:sz w:val="24"/>
          <w:szCs w:val="24"/>
        </w:rPr>
        <w:t>.,</w:t>
      </w:r>
      <w:r w:rsidRPr="00C91693">
        <w:rPr>
          <w:rFonts w:ascii="Times New Roman" w:hAnsi="Times New Roman" w:cs="Times New Roman"/>
          <w:sz w:val="24"/>
          <w:szCs w:val="24"/>
        </w:rPr>
        <w:t xml:space="preserve"> 2020a). This reproduced th</w:t>
      </w:r>
      <w:r w:rsidR="00892E2A">
        <w:rPr>
          <w:rFonts w:ascii="Times New Roman" w:hAnsi="Times New Roman" w:cs="Times New Roman"/>
          <w:sz w:val="24"/>
          <w:szCs w:val="24"/>
        </w:rPr>
        <w:t>e results presented in Table 4.1</w:t>
      </w:r>
      <w:r w:rsidRPr="00C91693">
        <w:rPr>
          <w:rFonts w:ascii="Times New Roman" w:hAnsi="Times New Roman" w:cs="Times New Roman"/>
          <w:sz w:val="24"/>
          <w:szCs w:val="24"/>
        </w:rPr>
        <w:t>; there was effectively no association. One explanation for this apparent lack of association between teaching and health is that more or less healthy people may select into the teaching profession (Sims et al</w:t>
      </w:r>
      <w:r w:rsidR="001F6E80">
        <w:rPr>
          <w:rFonts w:ascii="Times New Roman" w:hAnsi="Times New Roman" w:cs="Times New Roman"/>
          <w:sz w:val="24"/>
          <w:szCs w:val="24"/>
        </w:rPr>
        <w:t>.,</w:t>
      </w:r>
      <w:r w:rsidRPr="00C91693">
        <w:rPr>
          <w:rFonts w:ascii="Times New Roman" w:hAnsi="Times New Roman" w:cs="Times New Roman"/>
          <w:sz w:val="24"/>
          <w:szCs w:val="24"/>
        </w:rPr>
        <w:t xml:space="preserve"> 2020a). Again, consistent with th</w:t>
      </w:r>
      <w:r w:rsidR="00892E2A">
        <w:rPr>
          <w:rFonts w:ascii="Times New Roman" w:hAnsi="Times New Roman" w:cs="Times New Roman"/>
          <w:sz w:val="24"/>
          <w:szCs w:val="24"/>
        </w:rPr>
        <w:t>e results presented in Table 4.1</w:t>
      </w:r>
      <w:r w:rsidRPr="00C91693">
        <w:rPr>
          <w:rFonts w:ascii="Times New Roman" w:hAnsi="Times New Roman" w:cs="Times New Roman"/>
          <w:sz w:val="24"/>
          <w:szCs w:val="24"/>
        </w:rPr>
        <w:t xml:space="preserve">, very little association between teaching and </w:t>
      </w:r>
      <w:proofErr w:type="spellStart"/>
      <w:r w:rsidRPr="00C91693">
        <w:rPr>
          <w:rFonts w:ascii="Times New Roman" w:hAnsi="Times New Roman" w:cs="Times New Roman"/>
          <w:sz w:val="24"/>
          <w:szCs w:val="24"/>
        </w:rPr>
        <w:t>allostatic</w:t>
      </w:r>
      <w:proofErr w:type="spellEnd"/>
      <w:r w:rsidRPr="00C91693">
        <w:rPr>
          <w:rFonts w:ascii="Times New Roman" w:hAnsi="Times New Roman" w:cs="Times New Roman"/>
          <w:sz w:val="24"/>
          <w:szCs w:val="24"/>
        </w:rPr>
        <w:t xml:space="preserve"> load was found (incidence rate ratio = 0.954).</w:t>
      </w:r>
    </w:p>
    <w:p w14:paraId="31B6C91C" w14:textId="1ACA427E" w:rsidR="00141B6D" w:rsidRDefault="00892E2A" w:rsidP="008B4E20">
      <w:pPr>
        <w:spacing w:line="360" w:lineRule="auto"/>
        <w:jc w:val="both"/>
        <w:rPr>
          <w:rFonts w:ascii="Times New Roman" w:hAnsi="Times New Roman" w:cs="Times New Roman"/>
          <w:sz w:val="24"/>
          <w:szCs w:val="24"/>
        </w:rPr>
      </w:pPr>
      <w:r>
        <w:rPr>
          <w:rFonts w:ascii="Times New Roman" w:hAnsi="Times New Roman" w:cs="Times New Roman"/>
          <w:sz w:val="24"/>
          <w:szCs w:val="24"/>
        </w:rPr>
        <w:t>Table 4.2</w:t>
      </w:r>
      <w:r w:rsidR="00141B6D" w:rsidRPr="00C91693">
        <w:rPr>
          <w:rFonts w:ascii="Times New Roman" w:hAnsi="Times New Roman" w:cs="Times New Roman"/>
          <w:sz w:val="24"/>
          <w:szCs w:val="24"/>
        </w:rPr>
        <w:t xml:space="preserve"> takes this analysis a step further, comparing teachers to a set of specific occupational groups. Teaching serves as the reference category and the six comparator occupational groups can be seen down the left-hand side of the table (a detailed breakdown of each can be found in the notes to the table). Four of the six groups – accountants/consultants, planners/surveyors, protective officers and research professionals – show coefficients very close to </w:t>
      </w:r>
      <w:r w:rsidR="00472ECB">
        <w:rPr>
          <w:rFonts w:ascii="Times New Roman" w:hAnsi="Times New Roman" w:cs="Times New Roman"/>
          <w:sz w:val="24"/>
          <w:szCs w:val="24"/>
        </w:rPr>
        <w:t>1</w:t>
      </w:r>
      <w:r w:rsidR="00472ECB" w:rsidRPr="00C91693">
        <w:rPr>
          <w:rFonts w:ascii="Times New Roman" w:hAnsi="Times New Roman" w:cs="Times New Roman"/>
          <w:sz w:val="24"/>
          <w:szCs w:val="24"/>
        </w:rPr>
        <w:t xml:space="preserve"> </w:t>
      </w:r>
      <w:r w:rsidR="00141B6D" w:rsidRPr="00C91693">
        <w:rPr>
          <w:rFonts w:ascii="Times New Roman" w:hAnsi="Times New Roman" w:cs="Times New Roman"/>
          <w:sz w:val="24"/>
          <w:szCs w:val="24"/>
        </w:rPr>
        <w:t>(0.98-1.03) and are not statistically significantly different to teachers. The other two groups show a statistically significant difference with teachers However, these go in opposite directions: health professionals are slightly healthier than teachers and welfare professionals are slightly less health</w:t>
      </w:r>
      <w:r>
        <w:rPr>
          <w:rFonts w:ascii="Times New Roman" w:hAnsi="Times New Roman" w:cs="Times New Roman"/>
          <w:sz w:val="24"/>
          <w:szCs w:val="24"/>
        </w:rPr>
        <w:t>y</w:t>
      </w:r>
      <w:r w:rsidR="00141B6D" w:rsidRPr="00C91693">
        <w:rPr>
          <w:rFonts w:ascii="Times New Roman" w:hAnsi="Times New Roman" w:cs="Times New Roman"/>
          <w:sz w:val="24"/>
          <w:szCs w:val="24"/>
        </w:rPr>
        <w:t>. Overall, there is little clear evidence of sizeable health differences between teachers and these comparators.</w:t>
      </w:r>
    </w:p>
    <w:p w14:paraId="6DF7FEAF" w14:textId="77777777" w:rsidR="00892E2A" w:rsidRPr="00C91693" w:rsidRDefault="00892E2A" w:rsidP="008B4E20">
      <w:pPr>
        <w:spacing w:line="360" w:lineRule="auto"/>
        <w:jc w:val="both"/>
        <w:rPr>
          <w:rFonts w:ascii="Times New Roman" w:hAnsi="Times New Roman" w:cs="Times New Roman"/>
          <w:sz w:val="24"/>
          <w:szCs w:val="24"/>
        </w:rPr>
      </w:pPr>
    </w:p>
    <w:p w14:paraId="680BFA25" w14:textId="77777777" w:rsidR="00D21A18" w:rsidRDefault="00D21A18">
      <w:pPr>
        <w:spacing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4C4E11AF" w14:textId="53EDE235" w:rsidR="00141B6D" w:rsidRPr="00C91693" w:rsidRDefault="00892E2A" w:rsidP="008B4E2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Table 4.2</w:t>
      </w:r>
      <w:r w:rsidR="00141B6D" w:rsidRPr="00C91693">
        <w:rPr>
          <w:rFonts w:ascii="Times New Roman" w:hAnsi="Times New Roman" w:cs="Times New Roman"/>
          <w:b/>
          <w:bCs/>
          <w:sz w:val="24"/>
          <w:szCs w:val="24"/>
        </w:rPr>
        <w:t xml:space="preserve"> Occupational differences in </w:t>
      </w:r>
      <w:proofErr w:type="spellStart"/>
      <w:r w:rsidR="00141B6D" w:rsidRPr="00C91693">
        <w:rPr>
          <w:rFonts w:ascii="Times New Roman" w:hAnsi="Times New Roman" w:cs="Times New Roman"/>
          <w:b/>
          <w:bCs/>
          <w:sz w:val="24"/>
          <w:szCs w:val="24"/>
        </w:rPr>
        <w:t>allostatic</w:t>
      </w:r>
      <w:proofErr w:type="spellEnd"/>
      <w:r w:rsidR="00141B6D" w:rsidRPr="00C91693">
        <w:rPr>
          <w:rFonts w:ascii="Times New Roman" w:hAnsi="Times New Roman" w:cs="Times New Roman"/>
          <w:b/>
          <w:bCs/>
          <w:sz w:val="24"/>
          <w:szCs w:val="24"/>
        </w:rPr>
        <w:t xml:space="preserve"> load (UK Biobank)</w:t>
      </w:r>
    </w:p>
    <w:tbl>
      <w:tblPr>
        <w:tblW w:w="5444" w:type="dxa"/>
        <w:jc w:val="center"/>
        <w:tblLook w:val="04A0" w:firstRow="1" w:lastRow="0" w:firstColumn="1" w:lastColumn="0" w:noHBand="0" w:noVBand="1"/>
      </w:tblPr>
      <w:tblGrid>
        <w:gridCol w:w="3044"/>
        <w:gridCol w:w="2400"/>
      </w:tblGrid>
      <w:tr w:rsidR="00141B6D" w:rsidRPr="0016709E" w14:paraId="1825BA7D" w14:textId="77777777" w:rsidTr="00141B6D">
        <w:trPr>
          <w:trHeight w:val="315"/>
          <w:jc w:val="center"/>
        </w:trPr>
        <w:tc>
          <w:tcPr>
            <w:tcW w:w="3044" w:type="dxa"/>
            <w:tcBorders>
              <w:top w:val="single" w:sz="4" w:space="0" w:color="auto"/>
              <w:left w:val="nil"/>
              <w:bottom w:val="single" w:sz="8" w:space="0" w:color="auto"/>
              <w:right w:val="nil"/>
            </w:tcBorders>
            <w:shd w:val="clear" w:color="000000" w:fill="B4C6E7"/>
            <w:vAlign w:val="center"/>
            <w:hideMark/>
          </w:tcPr>
          <w:p w14:paraId="6A095098" w14:textId="77777777" w:rsidR="00141B6D" w:rsidRPr="0016709E" w:rsidRDefault="00141B6D" w:rsidP="00472ECB">
            <w:pPr>
              <w:spacing w:after="0" w:line="240" w:lineRule="auto"/>
              <w:rPr>
                <w:rFonts w:ascii="Times New Roman" w:eastAsia="Times New Roman" w:hAnsi="Times New Roman" w:cs="Times New Roman"/>
                <w:b/>
                <w:bCs/>
                <w:color w:val="000000"/>
                <w:szCs w:val="24"/>
                <w:lang w:eastAsia="en-GB"/>
              </w:rPr>
            </w:pPr>
            <w:r w:rsidRPr="0016709E">
              <w:rPr>
                <w:rFonts w:ascii="Times New Roman" w:eastAsia="Times New Roman" w:hAnsi="Times New Roman" w:cs="Times New Roman"/>
                <w:b/>
                <w:bCs/>
                <w:color w:val="000000"/>
                <w:szCs w:val="24"/>
                <w:lang w:eastAsia="en-GB"/>
              </w:rPr>
              <w:t> </w:t>
            </w:r>
          </w:p>
        </w:tc>
        <w:tc>
          <w:tcPr>
            <w:tcW w:w="2400" w:type="dxa"/>
            <w:tcBorders>
              <w:top w:val="single" w:sz="4" w:space="0" w:color="auto"/>
              <w:left w:val="nil"/>
              <w:bottom w:val="single" w:sz="8" w:space="0" w:color="auto"/>
              <w:right w:val="nil"/>
            </w:tcBorders>
            <w:shd w:val="clear" w:color="000000" w:fill="B4C6E7"/>
            <w:vAlign w:val="center"/>
            <w:hideMark/>
          </w:tcPr>
          <w:p w14:paraId="0265D840" w14:textId="77777777" w:rsidR="00141B6D" w:rsidRPr="0016709E" w:rsidRDefault="00141B6D">
            <w:pPr>
              <w:spacing w:after="0" w:line="240" w:lineRule="auto"/>
              <w:jc w:val="center"/>
              <w:rPr>
                <w:rFonts w:ascii="Times New Roman" w:eastAsia="Times New Roman" w:hAnsi="Times New Roman" w:cs="Times New Roman"/>
                <w:b/>
                <w:bCs/>
                <w:color w:val="000000"/>
                <w:szCs w:val="24"/>
                <w:lang w:eastAsia="en-GB"/>
              </w:rPr>
            </w:pPr>
            <w:r w:rsidRPr="0016709E">
              <w:rPr>
                <w:rFonts w:ascii="Times New Roman" w:eastAsia="Times New Roman" w:hAnsi="Times New Roman" w:cs="Times New Roman"/>
                <w:b/>
                <w:bCs/>
                <w:color w:val="000000"/>
                <w:szCs w:val="24"/>
                <w:lang w:eastAsia="en-GB"/>
              </w:rPr>
              <w:t>Incidence rate ratio</w:t>
            </w:r>
          </w:p>
        </w:tc>
      </w:tr>
      <w:tr w:rsidR="00141B6D" w:rsidRPr="0016709E" w14:paraId="1F015B61" w14:textId="77777777" w:rsidTr="00141B6D">
        <w:trPr>
          <w:trHeight w:val="300"/>
          <w:jc w:val="center"/>
        </w:trPr>
        <w:tc>
          <w:tcPr>
            <w:tcW w:w="3044" w:type="dxa"/>
            <w:tcBorders>
              <w:top w:val="single" w:sz="8" w:space="0" w:color="auto"/>
              <w:left w:val="nil"/>
              <w:bottom w:val="nil"/>
              <w:right w:val="nil"/>
            </w:tcBorders>
            <w:shd w:val="clear" w:color="auto" w:fill="auto"/>
            <w:vAlign w:val="center"/>
            <w:hideMark/>
          </w:tcPr>
          <w:p w14:paraId="7A6FF978" w14:textId="77777777" w:rsidR="00141B6D" w:rsidRPr="0016709E" w:rsidRDefault="00141B6D" w:rsidP="008B4E20">
            <w:pPr>
              <w:spacing w:line="360" w:lineRule="auto"/>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Occupation: (ref=teacher)</w:t>
            </w:r>
          </w:p>
        </w:tc>
        <w:tc>
          <w:tcPr>
            <w:tcW w:w="2400" w:type="dxa"/>
            <w:tcBorders>
              <w:top w:val="single" w:sz="8" w:space="0" w:color="auto"/>
              <w:left w:val="nil"/>
              <w:bottom w:val="nil"/>
              <w:right w:val="nil"/>
            </w:tcBorders>
            <w:shd w:val="clear" w:color="auto" w:fill="auto"/>
            <w:vAlign w:val="center"/>
            <w:hideMark/>
          </w:tcPr>
          <w:p w14:paraId="34C259F2" w14:textId="77777777" w:rsidR="00141B6D" w:rsidRPr="0016709E" w:rsidRDefault="00141B6D" w:rsidP="008B4E20">
            <w:pPr>
              <w:spacing w:line="360" w:lineRule="auto"/>
              <w:jc w:val="center"/>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 </w:t>
            </w:r>
          </w:p>
        </w:tc>
      </w:tr>
      <w:tr w:rsidR="00141B6D" w:rsidRPr="0016709E" w14:paraId="2EEC821C" w14:textId="77777777" w:rsidTr="00141B6D">
        <w:trPr>
          <w:trHeight w:val="300"/>
          <w:jc w:val="center"/>
        </w:trPr>
        <w:tc>
          <w:tcPr>
            <w:tcW w:w="3044" w:type="dxa"/>
            <w:tcBorders>
              <w:top w:val="nil"/>
              <w:left w:val="nil"/>
              <w:bottom w:val="nil"/>
              <w:right w:val="nil"/>
            </w:tcBorders>
            <w:shd w:val="clear" w:color="auto" w:fill="auto"/>
            <w:vAlign w:val="center"/>
            <w:hideMark/>
          </w:tcPr>
          <w:p w14:paraId="121B5023" w14:textId="77777777" w:rsidR="00141B6D" w:rsidRPr="0016709E" w:rsidRDefault="00141B6D" w:rsidP="008B4E20">
            <w:pPr>
              <w:spacing w:line="360" w:lineRule="auto"/>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 xml:space="preserve">   Accountants/Consultants</w:t>
            </w:r>
          </w:p>
        </w:tc>
        <w:tc>
          <w:tcPr>
            <w:tcW w:w="2400" w:type="dxa"/>
            <w:tcBorders>
              <w:top w:val="nil"/>
              <w:left w:val="nil"/>
              <w:bottom w:val="nil"/>
              <w:right w:val="nil"/>
            </w:tcBorders>
            <w:shd w:val="clear" w:color="auto" w:fill="auto"/>
            <w:vAlign w:val="center"/>
            <w:hideMark/>
          </w:tcPr>
          <w:p w14:paraId="3CDE1586" w14:textId="77777777" w:rsidR="00141B6D" w:rsidRPr="0016709E" w:rsidRDefault="00141B6D" w:rsidP="008B4E20">
            <w:pPr>
              <w:spacing w:line="360" w:lineRule="auto"/>
              <w:jc w:val="center"/>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0.98</w:t>
            </w:r>
          </w:p>
        </w:tc>
      </w:tr>
      <w:tr w:rsidR="00141B6D" w:rsidRPr="0016709E" w14:paraId="492EDCE7" w14:textId="77777777" w:rsidTr="00141B6D">
        <w:trPr>
          <w:trHeight w:val="300"/>
          <w:jc w:val="center"/>
        </w:trPr>
        <w:tc>
          <w:tcPr>
            <w:tcW w:w="3044" w:type="dxa"/>
            <w:tcBorders>
              <w:top w:val="nil"/>
              <w:left w:val="nil"/>
              <w:bottom w:val="nil"/>
              <w:right w:val="nil"/>
            </w:tcBorders>
            <w:shd w:val="clear" w:color="auto" w:fill="auto"/>
            <w:vAlign w:val="center"/>
            <w:hideMark/>
          </w:tcPr>
          <w:p w14:paraId="42482A23" w14:textId="77777777" w:rsidR="00141B6D" w:rsidRPr="0016709E" w:rsidRDefault="00141B6D" w:rsidP="008B4E20">
            <w:pPr>
              <w:spacing w:line="360" w:lineRule="auto"/>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 xml:space="preserve">   Health Professionals</w:t>
            </w:r>
          </w:p>
        </w:tc>
        <w:tc>
          <w:tcPr>
            <w:tcW w:w="2400" w:type="dxa"/>
            <w:tcBorders>
              <w:top w:val="nil"/>
              <w:left w:val="nil"/>
              <w:bottom w:val="nil"/>
              <w:right w:val="nil"/>
            </w:tcBorders>
            <w:shd w:val="clear" w:color="auto" w:fill="auto"/>
            <w:vAlign w:val="center"/>
            <w:hideMark/>
          </w:tcPr>
          <w:p w14:paraId="658562DE" w14:textId="77777777" w:rsidR="00141B6D" w:rsidRPr="0016709E" w:rsidRDefault="00141B6D" w:rsidP="008B4E20">
            <w:pPr>
              <w:spacing w:line="360" w:lineRule="auto"/>
              <w:jc w:val="center"/>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0.92*</w:t>
            </w:r>
          </w:p>
        </w:tc>
      </w:tr>
      <w:tr w:rsidR="00141B6D" w:rsidRPr="0016709E" w14:paraId="721FC095" w14:textId="77777777" w:rsidTr="00141B6D">
        <w:trPr>
          <w:trHeight w:val="300"/>
          <w:jc w:val="center"/>
        </w:trPr>
        <w:tc>
          <w:tcPr>
            <w:tcW w:w="3044" w:type="dxa"/>
            <w:tcBorders>
              <w:top w:val="nil"/>
              <w:left w:val="nil"/>
              <w:bottom w:val="nil"/>
              <w:right w:val="nil"/>
            </w:tcBorders>
            <w:shd w:val="clear" w:color="auto" w:fill="auto"/>
            <w:vAlign w:val="center"/>
            <w:hideMark/>
          </w:tcPr>
          <w:p w14:paraId="25DD663B" w14:textId="77777777" w:rsidR="00141B6D" w:rsidRPr="0016709E" w:rsidRDefault="00141B6D" w:rsidP="008B4E20">
            <w:pPr>
              <w:spacing w:line="360" w:lineRule="auto"/>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 xml:space="preserve">   Planners/Surveyors</w:t>
            </w:r>
          </w:p>
        </w:tc>
        <w:tc>
          <w:tcPr>
            <w:tcW w:w="2400" w:type="dxa"/>
            <w:tcBorders>
              <w:top w:val="nil"/>
              <w:left w:val="nil"/>
              <w:bottom w:val="nil"/>
              <w:right w:val="nil"/>
            </w:tcBorders>
            <w:shd w:val="clear" w:color="auto" w:fill="auto"/>
            <w:vAlign w:val="center"/>
            <w:hideMark/>
          </w:tcPr>
          <w:p w14:paraId="39A7B6E2" w14:textId="77777777" w:rsidR="00141B6D" w:rsidRPr="0016709E" w:rsidRDefault="00141B6D" w:rsidP="008B4E20">
            <w:pPr>
              <w:spacing w:line="360" w:lineRule="auto"/>
              <w:jc w:val="center"/>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1.00</w:t>
            </w:r>
          </w:p>
        </w:tc>
      </w:tr>
      <w:tr w:rsidR="00141B6D" w:rsidRPr="0016709E" w14:paraId="65A14763" w14:textId="77777777" w:rsidTr="00141B6D">
        <w:trPr>
          <w:trHeight w:val="300"/>
          <w:jc w:val="center"/>
        </w:trPr>
        <w:tc>
          <w:tcPr>
            <w:tcW w:w="3044" w:type="dxa"/>
            <w:tcBorders>
              <w:top w:val="nil"/>
              <w:left w:val="nil"/>
              <w:bottom w:val="nil"/>
              <w:right w:val="nil"/>
            </w:tcBorders>
            <w:shd w:val="clear" w:color="auto" w:fill="auto"/>
            <w:vAlign w:val="center"/>
            <w:hideMark/>
          </w:tcPr>
          <w:p w14:paraId="472C1515" w14:textId="77777777" w:rsidR="00141B6D" w:rsidRPr="0016709E" w:rsidRDefault="00141B6D" w:rsidP="008B4E20">
            <w:pPr>
              <w:spacing w:line="360" w:lineRule="auto"/>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 xml:space="preserve">   Protective Officers</w:t>
            </w:r>
          </w:p>
        </w:tc>
        <w:tc>
          <w:tcPr>
            <w:tcW w:w="2400" w:type="dxa"/>
            <w:tcBorders>
              <w:top w:val="nil"/>
              <w:left w:val="nil"/>
              <w:bottom w:val="nil"/>
              <w:right w:val="nil"/>
            </w:tcBorders>
            <w:shd w:val="clear" w:color="auto" w:fill="auto"/>
            <w:vAlign w:val="center"/>
            <w:hideMark/>
          </w:tcPr>
          <w:p w14:paraId="01319156" w14:textId="77777777" w:rsidR="00141B6D" w:rsidRPr="0016709E" w:rsidRDefault="00141B6D" w:rsidP="008B4E20">
            <w:pPr>
              <w:spacing w:line="360" w:lineRule="auto"/>
              <w:jc w:val="center"/>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1.03</w:t>
            </w:r>
          </w:p>
        </w:tc>
      </w:tr>
      <w:tr w:rsidR="00141B6D" w:rsidRPr="0016709E" w14:paraId="6336746A" w14:textId="77777777" w:rsidTr="00141B6D">
        <w:trPr>
          <w:trHeight w:val="300"/>
          <w:jc w:val="center"/>
        </w:trPr>
        <w:tc>
          <w:tcPr>
            <w:tcW w:w="3044" w:type="dxa"/>
            <w:tcBorders>
              <w:top w:val="nil"/>
              <w:left w:val="nil"/>
              <w:bottom w:val="nil"/>
              <w:right w:val="nil"/>
            </w:tcBorders>
            <w:shd w:val="clear" w:color="auto" w:fill="auto"/>
            <w:vAlign w:val="center"/>
            <w:hideMark/>
          </w:tcPr>
          <w:p w14:paraId="773C952D" w14:textId="77777777" w:rsidR="00141B6D" w:rsidRPr="0016709E" w:rsidRDefault="00141B6D" w:rsidP="008B4E20">
            <w:pPr>
              <w:spacing w:line="360" w:lineRule="auto"/>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 xml:space="preserve">   Research Professionals</w:t>
            </w:r>
          </w:p>
        </w:tc>
        <w:tc>
          <w:tcPr>
            <w:tcW w:w="2400" w:type="dxa"/>
            <w:tcBorders>
              <w:top w:val="nil"/>
              <w:left w:val="nil"/>
              <w:bottom w:val="nil"/>
              <w:right w:val="nil"/>
            </w:tcBorders>
            <w:shd w:val="clear" w:color="auto" w:fill="auto"/>
            <w:vAlign w:val="center"/>
            <w:hideMark/>
          </w:tcPr>
          <w:p w14:paraId="6A33E072" w14:textId="77777777" w:rsidR="00141B6D" w:rsidRPr="0016709E" w:rsidRDefault="00141B6D" w:rsidP="008B4E20">
            <w:pPr>
              <w:spacing w:line="360" w:lineRule="auto"/>
              <w:jc w:val="center"/>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0.99</w:t>
            </w:r>
          </w:p>
        </w:tc>
      </w:tr>
      <w:tr w:rsidR="00141B6D" w:rsidRPr="0016709E" w14:paraId="7695F470" w14:textId="77777777" w:rsidTr="00141B6D">
        <w:trPr>
          <w:trHeight w:val="315"/>
          <w:jc w:val="center"/>
        </w:trPr>
        <w:tc>
          <w:tcPr>
            <w:tcW w:w="3044" w:type="dxa"/>
            <w:tcBorders>
              <w:top w:val="nil"/>
              <w:left w:val="nil"/>
              <w:bottom w:val="nil"/>
              <w:right w:val="nil"/>
            </w:tcBorders>
            <w:shd w:val="clear" w:color="auto" w:fill="auto"/>
            <w:vAlign w:val="center"/>
            <w:hideMark/>
          </w:tcPr>
          <w:p w14:paraId="3B1D0224" w14:textId="77777777" w:rsidR="00141B6D" w:rsidRPr="0016709E" w:rsidRDefault="00141B6D" w:rsidP="008B4E20">
            <w:pPr>
              <w:spacing w:line="360" w:lineRule="auto"/>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 xml:space="preserve">   Welfare Professionals</w:t>
            </w:r>
          </w:p>
        </w:tc>
        <w:tc>
          <w:tcPr>
            <w:tcW w:w="2400" w:type="dxa"/>
            <w:tcBorders>
              <w:top w:val="nil"/>
              <w:left w:val="nil"/>
              <w:bottom w:val="nil"/>
              <w:right w:val="nil"/>
            </w:tcBorders>
            <w:shd w:val="clear" w:color="auto" w:fill="auto"/>
            <w:vAlign w:val="center"/>
            <w:hideMark/>
          </w:tcPr>
          <w:p w14:paraId="62E7EDAD" w14:textId="77777777" w:rsidR="00141B6D" w:rsidRPr="0016709E" w:rsidRDefault="00141B6D" w:rsidP="008B4E20">
            <w:pPr>
              <w:spacing w:line="360" w:lineRule="auto"/>
              <w:jc w:val="center"/>
              <w:rPr>
                <w:rFonts w:ascii="Times New Roman" w:eastAsia="Times New Roman" w:hAnsi="Times New Roman" w:cs="Times New Roman"/>
                <w:color w:val="000000"/>
                <w:szCs w:val="24"/>
                <w:lang w:eastAsia="en-GB"/>
              </w:rPr>
            </w:pPr>
            <w:r w:rsidRPr="0016709E">
              <w:rPr>
                <w:rFonts w:ascii="Times New Roman" w:eastAsia="Times New Roman" w:hAnsi="Times New Roman" w:cs="Times New Roman"/>
                <w:color w:val="000000"/>
                <w:szCs w:val="24"/>
                <w:lang w:eastAsia="en-GB"/>
              </w:rPr>
              <w:t>1.08*</w:t>
            </w:r>
          </w:p>
        </w:tc>
      </w:tr>
      <w:tr w:rsidR="00141B6D" w:rsidRPr="0016709E" w14:paraId="6D81C226" w14:textId="77777777" w:rsidTr="00141B6D">
        <w:trPr>
          <w:trHeight w:val="315"/>
          <w:jc w:val="center"/>
        </w:trPr>
        <w:tc>
          <w:tcPr>
            <w:tcW w:w="3044" w:type="dxa"/>
            <w:tcBorders>
              <w:top w:val="single" w:sz="8" w:space="0" w:color="auto"/>
              <w:left w:val="nil"/>
              <w:bottom w:val="single" w:sz="8" w:space="0" w:color="auto"/>
              <w:right w:val="nil"/>
            </w:tcBorders>
            <w:shd w:val="clear" w:color="auto" w:fill="auto"/>
            <w:vAlign w:val="center"/>
            <w:hideMark/>
          </w:tcPr>
          <w:p w14:paraId="71CF70C9" w14:textId="77777777" w:rsidR="00141B6D" w:rsidRPr="0016709E" w:rsidRDefault="00141B6D" w:rsidP="008B4E20">
            <w:pPr>
              <w:spacing w:after="0" w:line="360" w:lineRule="auto"/>
              <w:rPr>
                <w:rFonts w:ascii="Times New Roman" w:eastAsia="Times New Roman" w:hAnsi="Times New Roman" w:cs="Times New Roman"/>
                <w:b/>
                <w:bCs/>
                <w:color w:val="000000"/>
                <w:szCs w:val="24"/>
                <w:lang w:eastAsia="en-GB"/>
              </w:rPr>
            </w:pPr>
            <w:r w:rsidRPr="0016709E">
              <w:rPr>
                <w:rFonts w:ascii="Times New Roman" w:eastAsia="Times New Roman" w:hAnsi="Times New Roman" w:cs="Times New Roman"/>
                <w:b/>
                <w:bCs/>
                <w:color w:val="000000"/>
                <w:szCs w:val="24"/>
                <w:lang w:eastAsia="en-GB"/>
              </w:rPr>
              <w:t>N</w:t>
            </w:r>
          </w:p>
        </w:tc>
        <w:tc>
          <w:tcPr>
            <w:tcW w:w="2400" w:type="dxa"/>
            <w:tcBorders>
              <w:top w:val="single" w:sz="8" w:space="0" w:color="auto"/>
              <w:left w:val="nil"/>
              <w:bottom w:val="single" w:sz="8" w:space="0" w:color="auto"/>
              <w:right w:val="nil"/>
            </w:tcBorders>
            <w:shd w:val="clear" w:color="auto" w:fill="auto"/>
            <w:vAlign w:val="center"/>
            <w:hideMark/>
          </w:tcPr>
          <w:p w14:paraId="3E26B1DA" w14:textId="77777777" w:rsidR="00141B6D" w:rsidRPr="0016709E" w:rsidRDefault="00141B6D" w:rsidP="008B4E20">
            <w:pPr>
              <w:spacing w:after="0" w:line="360" w:lineRule="auto"/>
              <w:jc w:val="center"/>
              <w:rPr>
                <w:rFonts w:ascii="Times New Roman" w:eastAsia="Times New Roman" w:hAnsi="Times New Roman" w:cs="Times New Roman"/>
                <w:b/>
                <w:bCs/>
                <w:color w:val="000000"/>
                <w:szCs w:val="24"/>
                <w:lang w:eastAsia="en-GB"/>
              </w:rPr>
            </w:pPr>
            <w:r w:rsidRPr="0016709E">
              <w:rPr>
                <w:rFonts w:ascii="Times New Roman" w:eastAsia="Times New Roman" w:hAnsi="Times New Roman" w:cs="Times New Roman"/>
                <w:b/>
                <w:bCs/>
                <w:color w:val="000000"/>
                <w:szCs w:val="24"/>
                <w:lang w:eastAsia="en-GB"/>
              </w:rPr>
              <w:t>9,356</w:t>
            </w:r>
          </w:p>
        </w:tc>
      </w:tr>
    </w:tbl>
    <w:p w14:paraId="014052B1" w14:textId="0C6A83BF" w:rsidR="00472ECB" w:rsidRPr="0067647D" w:rsidRDefault="00141B6D" w:rsidP="008B4E20">
      <w:pPr>
        <w:spacing w:after="240" w:line="240" w:lineRule="auto"/>
        <w:jc w:val="both"/>
        <w:rPr>
          <w:rFonts w:ascii="Times New Roman" w:hAnsi="Times New Roman" w:cs="Times New Roman"/>
          <w:sz w:val="20"/>
          <w:szCs w:val="20"/>
        </w:rPr>
      </w:pPr>
      <w:r w:rsidRPr="005C4941">
        <w:rPr>
          <w:rFonts w:ascii="Times New Roman" w:hAnsi="Times New Roman" w:cs="Times New Roman"/>
          <w:sz w:val="20"/>
          <w:szCs w:val="20"/>
        </w:rPr>
        <w:t xml:space="preserve">Notes: </w:t>
      </w:r>
      <w:r>
        <w:rPr>
          <w:rFonts w:ascii="Times New Roman" w:hAnsi="Times New Roman" w:cs="Times New Roman"/>
          <w:sz w:val="20"/>
          <w:szCs w:val="20"/>
        </w:rPr>
        <w:t>All c</w:t>
      </w:r>
      <w:r w:rsidRPr="005C4941">
        <w:rPr>
          <w:rFonts w:ascii="Times New Roman" w:hAnsi="Times New Roman" w:cs="Times New Roman"/>
          <w:sz w:val="20"/>
          <w:szCs w:val="20"/>
        </w:rPr>
        <w:t xml:space="preserve">olumns are negative binomial regressions </w:t>
      </w:r>
      <w:r>
        <w:rPr>
          <w:rFonts w:ascii="Times New Roman" w:hAnsi="Times New Roman" w:cs="Times New Roman"/>
          <w:sz w:val="20"/>
          <w:szCs w:val="20"/>
        </w:rPr>
        <w:t>and</w:t>
      </w:r>
      <w:r w:rsidRPr="005C4941">
        <w:rPr>
          <w:rFonts w:ascii="Times New Roman" w:hAnsi="Times New Roman" w:cs="Times New Roman"/>
          <w:sz w:val="20"/>
          <w:szCs w:val="20"/>
        </w:rPr>
        <w:t xml:space="preserve"> coefficients are </w:t>
      </w:r>
      <w:r>
        <w:rPr>
          <w:rFonts w:ascii="Times New Roman" w:hAnsi="Times New Roman" w:cs="Times New Roman"/>
          <w:sz w:val="20"/>
          <w:szCs w:val="20"/>
        </w:rPr>
        <w:t>incidence rate</w:t>
      </w:r>
      <w:r w:rsidRPr="005C4941">
        <w:rPr>
          <w:rFonts w:ascii="Times New Roman" w:hAnsi="Times New Roman" w:cs="Times New Roman"/>
          <w:sz w:val="20"/>
          <w:szCs w:val="20"/>
        </w:rPr>
        <w:t xml:space="preserve"> ratios</w:t>
      </w:r>
      <w:r>
        <w:rPr>
          <w:rFonts w:ascii="Times New Roman" w:hAnsi="Times New Roman" w:cs="Times New Roman"/>
          <w:sz w:val="20"/>
          <w:szCs w:val="20"/>
        </w:rPr>
        <w:t xml:space="preserve"> (IRR)</w:t>
      </w:r>
      <w:r w:rsidRPr="005C4941">
        <w:rPr>
          <w:rFonts w:ascii="Times New Roman" w:hAnsi="Times New Roman" w:cs="Times New Roman"/>
          <w:sz w:val="20"/>
          <w:szCs w:val="20"/>
        </w:rPr>
        <w:t>.</w:t>
      </w:r>
      <w:r>
        <w:rPr>
          <w:rFonts w:ascii="Times New Roman" w:hAnsi="Times New Roman" w:cs="Times New Roman"/>
          <w:sz w:val="20"/>
          <w:szCs w:val="20"/>
        </w:rPr>
        <w:t xml:space="preserve"> Reference group = teacher. Model controls for demographics and educational qualifications. Values close to </w:t>
      </w:r>
      <w:r w:rsidR="00472ECB">
        <w:rPr>
          <w:rFonts w:ascii="Times New Roman" w:hAnsi="Times New Roman" w:cs="Times New Roman"/>
          <w:sz w:val="20"/>
          <w:szCs w:val="20"/>
        </w:rPr>
        <w:t xml:space="preserve">1 </w:t>
      </w:r>
      <w:r>
        <w:rPr>
          <w:rFonts w:ascii="Times New Roman" w:hAnsi="Times New Roman" w:cs="Times New Roman"/>
          <w:sz w:val="20"/>
          <w:szCs w:val="20"/>
        </w:rPr>
        <w:t xml:space="preserve">indicates no difference between teachers and non-teachers. Values less than (more than) </w:t>
      </w:r>
      <w:r w:rsidR="00472ECB">
        <w:rPr>
          <w:rFonts w:ascii="Times New Roman" w:hAnsi="Times New Roman" w:cs="Times New Roman"/>
          <w:sz w:val="20"/>
          <w:szCs w:val="20"/>
        </w:rPr>
        <w:t xml:space="preserve">1 </w:t>
      </w:r>
      <w:r>
        <w:rPr>
          <w:rFonts w:ascii="Times New Roman" w:hAnsi="Times New Roman" w:cs="Times New Roman"/>
          <w:sz w:val="20"/>
          <w:szCs w:val="20"/>
        </w:rPr>
        <w:t>indicates that the occupational group is healthier (less healthy) than teachers.</w:t>
      </w:r>
      <w:r w:rsidRPr="005C4941">
        <w:rPr>
          <w:rFonts w:ascii="Times New Roman" w:hAnsi="Times New Roman" w:cs="Times New Roman"/>
          <w:sz w:val="20"/>
          <w:szCs w:val="20"/>
        </w:rPr>
        <w:t xml:space="preserve"> * </w:t>
      </w:r>
      <w:r>
        <w:rPr>
          <w:rFonts w:ascii="Times New Roman" w:hAnsi="Times New Roman" w:cs="Times New Roman"/>
          <w:sz w:val="20"/>
          <w:szCs w:val="20"/>
        </w:rPr>
        <w:t xml:space="preserve">indicates statistical significance at the </w:t>
      </w:r>
      <w:r w:rsidR="00472ECB">
        <w:rPr>
          <w:rFonts w:ascii="Times New Roman" w:hAnsi="Times New Roman" w:cs="Times New Roman"/>
          <w:sz w:val="20"/>
          <w:szCs w:val="20"/>
        </w:rPr>
        <w:t>5%</w:t>
      </w:r>
      <w:r>
        <w:rPr>
          <w:rFonts w:ascii="Times New Roman" w:hAnsi="Times New Roman" w:cs="Times New Roman"/>
          <w:sz w:val="20"/>
          <w:szCs w:val="20"/>
        </w:rPr>
        <w:t xml:space="preserve"> level.</w:t>
      </w:r>
      <w:r w:rsidR="0058425B">
        <w:rPr>
          <w:rFonts w:ascii="Times New Roman" w:hAnsi="Times New Roman" w:cs="Times New Roman"/>
          <w:sz w:val="20"/>
          <w:szCs w:val="20"/>
        </w:rPr>
        <w:t xml:space="preserve"> </w:t>
      </w:r>
      <w:r w:rsidR="0058425B" w:rsidRPr="00C15BFD">
        <w:rPr>
          <w:rFonts w:ascii="Times New Roman" w:hAnsi="Times New Roman" w:cs="Times New Roman"/>
          <w:sz w:val="20"/>
          <w:szCs w:val="20"/>
        </w:rPr>
        <w:t xml:space="preserve">Source = authors’ analysis of </w:t>
      </w:r>
      <w:r w:rsidR="0058425B">
        <w:rPr>
          <w:rFonts w:ascii="Times New Roman" w:hAnsi="Times New Roman" w:cs="Times New Roman"/>
          <w:sz w:val="20"/>
          <w:szCs w:val="20"/>
        </w:rPr>
        <w:t>UK Biobank dataset</w:t>
      </w:r>
      <w:r w:rsidR="0058425B" w:rsidRPr="00C15BFD">
        <w:rPr>
          <w:rFonts w:ascii="Times New Roman" w:hAnsi="Times New Roman" w:cs="Times New Roman"/>
          <w:sz w:val="20"/>
          <w:szCs w:val="20"/>
        </w:rPr>
        <w:t>.</w:t>
      </w:r>
    </w:p>
    <w:p w14:paraId="340BB288" w14:textId="77777777" w:rsidR="00141B6D" w:rsidRPr="004B31EC" w:rsidRDefault="00141B6D" w:rsidP="008B4E20">
      <w:pPr>
        <w:spacing w:line="360" w:lineRule="auto"/>
        <w:jc w:val="both"/>
        <w:rPr>
          <w:rFonts w:ascii="Times New Roman" w:hAnsi="Times New Roman" w:cs="Times New Roman"/>
          <w:b/>
          <w:sz w:val="24"/>
          <w:szCs w:val="24"/>
        </w:rPr>
      </w:pPr>
      <w:r w:rsidRPr="004B31EC">
        <w:rPr>
          <w:rFonts w:ascii="Times New Roman" w:hAnsi="Times New Roman" w:cs="Times New Roman"/>
          <w:b/>
          <w:sz w:val="24"/>
          <w:szCs w:val="24"/>
        </w:rPr>
        <w:t>4.4 Summary and implications</w:t>
      </w:r>
    </w:p>
    <w:p w14:paraId="3FCCE09A" w14:textId="7819CB78" w:rsidR="00141B6D" w:rsidRPr="004B31EC" w:rsidRDefault="00141B6D" w:rsidP="008B4E20">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Contrary to co</w:t>
      </w:r>
      <w:r w:rsidR="00C91693">
        <w:rPr>
          <w:rFonts w:ascii="Times New Roman" w:hAnsi="Times New Roman" w:cs="Times New Roman"/>
          <w:sz w:val="24"/>
          <w:szCs w:val="24"/>
        </w:rPr>
        <w:t>nventional wisdom</w:t>
      </w:r>
      <w:r w:rsidRPr="004B31EC">
        <w:rPr>
          <w:rFonts w:ascii="Times New Roman" w:hAnsi="Times New Roman" w:cs="Times New Roman"/>
          <w:sz w:val="24"/>
          <w:szCs w:val="24"/>
        </w:rPr>
        <w:t xml:space="preserve"> within the education profession, this chapter has found there to be no evidence of an association between teaching and overall health. This overall finding holds across two datasets, amongst a representative sample of teachers and among a group of older teachers and survived a series of robustness tests. </w:t>
      </w:r>
    </w:p>
    <w:p w14:paraId="2D7FD352" w14:textId="5A589FE7" w:rsidR="004B31EC" w:rsidRDefault="00141B6D" w:rsidP="00372D51">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How might we explain this finding? We believe the most appropriate interpretation is that certain aspects of teaching as a job may compensate for the aspects of the job that are particularly stressful. In particular, teaching is known to be less sedentary than many other office-based, graduate occupations (Tudor-Locke et al., 2011). Epidemiological research generally finds a relationship between prolonged sedentary behaviour and long-run health outcomes (Owen et al., 2020) and experimental evidence suggests that the underlying relationship is causal in nature (</w:t>
      </w:r>
      <w:proofErr w:type="spellStart"/>
      <w:r w:rsidRPr="004B31EC">
        <w:rPr>
          <w:rFonts w:ascii="Times New Roman" w:hAnsi="Times New Roman" w:cs="Times New Roman"/>
          <w:sz w:val="24"/>
          <w:szCs w:val="24"/>
        </w:rPr>
        <w:t>Benatti</w:t>
      </w:r>
      <w:proofErr w:type="spellEnd"/>
      <w:r w:rsidRPr="004B31EC">
        <w:rPr>
          <w:rFonts w:ascii="Times New Roman" w:hAnsi="Times New Roman" w:cs="Times New Roman"/>
          <w:sz w:val="24"/>
          <w:szCs w:val="24"/>
        </w:rPr>
        <w:t xml:space="preserve"> &amp; </w:t>
      </w:r>
      <w:proofErr w:type="spellStart"/>
      <w:r w:rsidRPr="004B31EC">
        <w:rPr>
          <w:rFonts w:ascii="Times New Roman" w:hAnsi="Times New Roman" w:cs="Times New Roman"/>
          <w:sz w:val="24"/>
          <w:szCs w:val="24"/>
        </w:rPr>
        <w:t>Ried</w:t>
      </w:r>
      <w:proofErr w:type="spellEnd"/>
      <w:r w:rsidRPr="004B31EC">
        <w:rPr>
          <w:rFonts w:ascii="Times New Roman" w:hAnsi="Times New Roman" w:cs="Times New Roman"/>
          <w:sz w:val="24"/>
          <w:szCs w:val="24"/>
        </w:rPr>
        <w:t>-Larsen, 2015). The reduced incidence of smoking amongst teachers, which is in part a result of official guidance that all schools in England should be smoke free, is also likely to be an important part of any countervailing effect of teaching on health. Conversely, some of the specific health risk associated with the profession, such as increased incidence of infectious diseases (</w:t>
      </w:r>
      <w:proofErr w:type="spellStart"/>
      <w:r w:rsidRPr="004B31EC">
        <w:rPr>
          <w:rFonts w:ascii="Times New Roman" w:hAnsi="Times New Roman" w:cs="Times New Roman"/>
          <w:sz w:val="24"/>
          <w:szCs w:val="24"/>
        </w:rPr>
        <w:t>Kovess-Masféty</w:t>
      </w:r>
      <w:proofErr w:type="spellEnd"/>
      <w:r w:rsidRPr="004B31EC">
        <w:rPr>
          <w:rFonts w:ascii="Times New Roman" w:hAnsi="Times New Roman" w:cs="Times New Roman"/>
          <w:sz w:val="24"/>
          <w:szCs w:val="24"/>
        </w:rPr>
        <w:t xml:space="preserve"> et al.</w:t>
      </w:r>
      <w:r w:rsidR="00DB7C00">
        <w:rPr>
          <w:rFonts w:ascii="Times New Roman" w:hAnsi="Times New Roman" w:cs="Times New Roman"/>
          <w:sz w:val="24"/>
          <w:szCs w:val="24"/>
        </w:rPr>
        <w:t>,</w:t>
      </w:r>
      <w:r w:rsidRPr="004B31EC">
        <w:rPr>
          <w:rFonts w:ascii="Times New Roman" w:hAnsi="Times New Roman" w:cs="Times New Roman"/>
          <w:sz w:val="24"/>
          <w:szCs w:val="24"/>
        </w:rPr>
        <w:t xml:space="preserve"> 200</w:t>
      </w:r>
      <w:r w:rsidR="008B4E20">
        <w:rPr>
          <w:rFonts w:ascii="Times New Roman" w:hAnsi="Times New Roman" w:cs="Times New Roman"/>
          <w:sz w:val="24"/>
          <w:szCs w:val="24"/>
        </w:rPr>
        <w:t>7</w:t>
      </w:r>
      <w:r w:rsidRPr="004B31EC">
        <w:rPr>
          <w:rFonts w:ascii="Times New Roman" w:hAnsi="Times New Roman" w:cs="Times New Roman"/>
          <w:sz w:val="24"/>
          <w:szCs w:val="24"/>
        </w:rPr>
        <w:t xml:space="preserve">) are acute in nature and therefore do not contribute to cumulative wear and tear on the body. These </w:t>
      </w:r>
      <w:r w:rsidRPr="004B31EC">
        <w:rPr>
          <w:rFonts w:ascii="Times New Roman" w:hAnsi="Times New Roman" w:cs="Times New Roman"/>
          <w:sz w:val="24"/>
          <w:szCs w:val="24"/>
        </w:rPr>
        <w:lastRenderedPageBreak/>
        <w:t>are, we believe, likely to be some of the key reasons why we find no evidence for the claim that t</w:t>
      </w:r>
      <w:r w:rsidR="00892E2A">
        <w:rPr>
          <w:rFonts w:ascii="Times New Roman" w:hAnsi="Times New Roman" w:cs="Times New Roman"/>
          <w:sz w:val="24"/>
          <w:szCs w:val="24"/>
        </w:rPr>
        <w:t>eaching is bad for your health.</w:t>
      </w:r>
    </w:p>
    <w:p w14:paraId="45C126DA" w14:textId="6EA90110" w:rsidR="001A10E6" w:rsidRDefault="001A10E6">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6BE904E9" w14:textId="39FC9D3C" w:rsidR="00D5024D" w:rsidRPr="00221FC2" w:rsidRDefault="004B31EC" w:rsidP="008B4E20">
      <w:pPr>
        <w:pStyle w:val="Heading1UCL"/>
      </w:pPr>
      <w:bookmarkStart w:id="9" w:name="_Toc67406005"/>
      <w:bookmarkStart w:id="10" w:name="_Hlk487718496"/>
      <w:r w:rsidRPr="00221FC2">
        <w:lastRenderedPageBreak/>
        <w:t xml:space="preserve">Chapter 5 </w:t>
      </w:r>
      <w:proofErr w:type="gramStart"/>
      <w:r w:rsidRPr="00221FC2">
        <w:t>Has</w:t>
      </w:r>
      <w:proofErr w:type="gramEnd"/>
      <w:r w:rsidRPr="00221FC2">
        <w:t xml:space="preserve"> the mental health and wellbeing of teachers in England improved or declined over time?</w:t>
      </w:r>
      <w:bookmarkEnd w:id="9"/>
    </w:p>
    <w:p w14:paraId="5A5BD1C0" w14:textId="77777777" w:rsidR="004B31EC" w:rsidRDefault="004B31EC" w:rsidP="008B4E20">
      <w:pPr>
        <w:pStyle w:val="Heading1UCL"/>
        <w:rPr>
          <w:rFonts w:cs="Times New Roman"/>
          <w:szCs w:val="24"/>
        </w:rPr>
      </w:pPr>
    </w:p>
    <w:bookmarkEnd w:id="10"/>
    <w:p w14:paraId="0F8AAA57" w14:textId="77777777" w:rsidR="004B31EC" w:rsidRPr="004B31EC" w:rsidRDefault="004B31EC" w:rsidP="008B4E20">
      <w:pPr>
        <w:pStyle w:val="ListParagraph"/>
        <w:numPr>
          <w:ilvl w:val="1"/>
          <w:numId w:val="22"/>
        </w:numPr>
        <w:spacing w:line="360" w:lineRule="auto"/>
        <w:ind w:left="357" w:hanging="357"/>
        <w:rPr>
          <w:rFonts w:ascii="Times New Roman" w:hAnsi="Times New Roman" w:cs="Times New Roman"/>
          <w:b/>
          <w:bCs/>
          <w:sz w:val="24"/>
          <w:szCs w:val="24"/>
        </w:rPr>
      </w:pPr>
      <w:r w:rsidRPr="004B31EC">
        <w:rPr>
          <w:rFonts w:ascii="Times New Roman" w:hAnsi="Times New Roman" w:cs="Times New Roman"/>
          <w:b/>
          <w:bCs/>
          <w:sz w:val="24"/>
          <w:szCs w:val="24"/>
        </w:rPr>
        <w:t>Introduction</w:t>
      </w:r>
    </w:p>
    <w:p w14:paraId="55B57B2F" w14:textId="794DF3B2"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The previous two chapters have illustrated how, overall, there is little evidence that the mental health and wellbeing of teachers does not appear to be worse than for comparable individuals working in other professional jobs. Yet, like much of the literature reviewed in Chapter 1, all analyses presented thus far </w:t>
      </w:r>
      <w:r w:rsidR="004B4075" w:rsidRPr="004B31EC">
        <w:rPr>
          <w:rFonts w:ascii="Times New Roman" w:hAnsi="Times New Roman" w:cs="Times New Roman"/>
          <w:sz w:val="24"/>
          <w:szCs w:val="24"/>
        </w:rPr>
        <w:t>ha</w:t>
      </w:r>
      <w:r w:rsidR="004B4075">
        <w:rPr>
          <w:rFonts w:ascii="Times New Roman" w:hAnsi="Times New Roman" w:cs="Times New Roman"/>
          <w:sz w:val="24"/>
          <w:szCs w:val="24"/>
        </w:rPr>
        <w:t>ve</w:t>
      </w:r>
      <w:r w:rsidR="004B4075" w:rsidRPr="004B31EC">
        <w:rPr>
          <w:rFonts w:ascii="Times New Roman" w:hAnsi="Times New Roman" w:cs="Times New Roman"/>
          <w:sz w:val="24"/>
          <w:szCs w:val="24"/>
        </w:rPr>
        <w:t xml:space="preserve"> </w:t>
      </w:r>
      <w:r w:rsidRPr="004B31EC">
        <w:rPr>
          <w:rFonts w:ascii="Times New Roman" w:hAnsi="Times New Roman" w:cs="Times New Roman"/>
          <w:sz w:val="24"/>
          <w:szCs w:val="24"/>
        </w:rPr>
        <w:t>focused upon the responses of teachers at a single point in time. To our knowledge, no evidence currently exists as to whether the personal wellbeing and mental health of teachers in England has improved or declined compared to 20 years ago (and how this compares to other professional groups). In other words, in terms of wellbeing, are things now worse for teachers than they have ever been before? Or, despite recent education spending cuts, staffing pressures and increasing scrutiny due to accountability, has the mental health and wellbeing of teachers in England remained largely unchanged? Although anecdotal evidence suggests that the wellbeing of teachers in England may be worse now than previously (House of Commons</w:t>
      </w:r>
      <w:r w:rsidR="003B5276">
        <w:rPr>
          <w:rFonts w:ascii="Times New Roman" w:hAnsi="Times New Roman" w:cs="Times New Roman"/>
          <w:sz w:val="24"/>
          <w:szCs w:val="24"/>
        </w:rPr>
        <w:t>,</w:t>
      </w:r>
      <w:r w:rsidRPr="004B31EC">
        <w:rPr>
          <w:rFonts w:ascii="Times New Roman" w:hAnsi="Times New Roman" w:cs="Times New Roman"/>
          <w:sz w:val="24"/>
          <w:szCs w:val="24"/>
        </w:rPr>
        <w:t xml:space="preserve"> 2018)</w:t>
      </w:r>
      <w:r w:rsidRPr="004B31EC">
        <w:rPr>
          <w:rStyle w:val="FootnoteReference"/>
          <w:rFonts w:ascii="Times New Roman" w:hAnsi="Times New Roman" w:cs="Times New Roman"/>
          <w:sz w:val="24"/>
          <w:szCs w:val="24"/>
        </w:rPr>
        <w:footnoteReference w:id="3"/>
      </w:r>
      <w:r w:rsidRPr="004B31EC">
        <w:rPr>
          <w:rFonts w:ascii="Times New Roman" w:hAnsi="Times New Roman" w:cs="Times New Roman"/>
          <w:sz w:val="24"/>
          <w:szCs w:val="24"/>
        </w:rPr>
        <w:t>, there is currently no large</w:t>
      </w:r>
      <w:r w:rsidR="002F6A9F">
        <w:rPr>
          <w:rFonts w:ascii="Times New Roman" w:hAnsi="Times New Roman" w:cs="Times New Roman"/>
          <w:sz w:val="24"/>
          <w:szCs w:val="24"/>
        </w:rPr>
        <w:t>-</w:t>
      </w:r>
      <w:r w:rsidRPr="004B31EC">
        <w:rPr>
          <w:rFonts w:ascii="Times New Roman" w:hAnsi="Times New Roman" w:cs="Times New Roman"/>
          <w:sz w:val="24"/>
          <w:szCs w:val="24"/>
        </w:rPr>
        <w:t xml:space="preserve">scale, nationally representative quantitative evidence that exists on this important issue. This chapter will fill this gap in the literature. </w:t>
      </w:r>
    </w:p>
    <w:p w14:paraId="2E43A107" w14:textId="77777777" w:rsidR="004B31EC" w:rsidRPr="004B31EC" w:rsidRDefault="004B31EC" w:rsidP="008B4E20">
      <w:pPr>
        <w:pStyle w:val="ListParagraph"/>
        <w:numPr>
          <w:ilvl w:val="1"/>
          <w:numId w:val="22"/>
        </w:numPr>
        <w:spacing w:line="360" w:lineRule="auto"/>
        <w:ind w:left="357" w:hanging="357"/>
        <w:rPr>
          <w:rFonts w:ascii="Times New Roman" w:hAnsi="Times New Roman" w:cs="Times New Roman"/>
          <w:b/>
          <w:bCs/>
          <w:sz w:val="24"/>
          <w:szCs w:val="24"/>
        </w:rPr>
      </w:pPr>
      <w:r w:rsidRPr="004B31EC">
        <w:rPr>
          <w:rFonts w:ascii="Times New Roman" w:hAnsi="Times New Roman" w:cs="Times New Roman"/>
          <w:b/>
          <w:bCs/>
          <w:sz w:val="24"/>
          <w:szCs w:val="24"/>
        </w:rPr>
        <w:t>Data and methods</w:t>
      </w:r>
    </w:p>
    <w:p w14:paraId="7385530B" w14:textId="704AC4F7"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This chapter draws upon information from three data sources. The first is the Labour Force Survey (LFS). Using these data, we focus upon how the percentage of teachers reporting long-lasting health problems has changed since 1992. Our particular interest is in the change</w:t>
      </w:r>
      <w:r w:rsidR="00C10DB2">
        <w:rPr>
          <w:rFonts w:ascii="Times New Roman" w:hAnsi="Times New Roman" w:cs="Times New Roman"/>
          <w:sz w:val="24"/>
          <w:szCs w:val="24"/>
        </w:rPr>
        <w:t xml:space="preserve"> in the percentage of those</w:t>
      </w:r>
      <w:r w:rsidRPr="004B31EC">
        <w:rPr>
          <w:rFonts w:ascii="Times New Roman" w:hAnsi="Times New Roman" w:cs="Times New Roman"/>
          <w:sz w:val="24"/>
          <w:szCs w:val="24"/>
        </w:rPr>
        <w:t xml:space="preserve"> reporting suffering from a mental health problem (depression, nerves, anxiety, mental illness or nervous disorders) over time. Moreover, since 2004 LFS respondents have been asked whether a health problem has been caused or made worse by their job over the past year – and the type of health problem that this was. We are particularly interested in those who selected </w:t>
      </w:r>
      <w:r w:rsidR="00A3399D">
        <w:rPr>
          <w:rFonts w:ascii="Times New Roman" w:hAnsi="Times New Roman" w:cs="Times New Roman"/>
          <w:sz w:val="24"/>
          <w:szCs w:val="24"/>
        </w:rPr>
        <w:t>‘</w:t>
      </w:r>
      <w:r w:rsidRPr="004B31EC">
        <w:rPr>
          <w:rFonts w:ascii="Times New Roman" w:hAnsi="Times New Roman" w:cs="Times New Roman"/>
          <w:i/>
          <w:iCs/>
          <w:sz w:val="24"/>
          <w:szCs w:val="24"/>
        </w:rPr>
        <w:t>stress, depression or anxiety</w:t>
      </w:r>
      <w:r w:rsidR="00A3399D">
        <w:rPr>
          <w:rFonts w:ascii="Times New Roman" w:hAnsi="Times New Roman" w:cs="Times New Roman"/>
          <w:sz w:val="24"/>
          <w:szCs w:val="24"/>
        </w:rPr>
        <w:t>’</w:t>
      </w:r>
      <w:r w:rsidRPr="004B31EC">
        <w:rPr>
          <w:rFonts w:ascii="Times New Roman" w:hAnsi="Times New Roman" w:cs="Times New Roman"/>
          <w:sz w:val="24"/>
          <w:szCs w:val="24"/>
        </w:rPr>
        <w:t>, how this has changed over time, and how the trend for teachers compares to other occupational groups.</w:t>
      </w:r>
      <w:r w:rsidR="00C63413">
        <w:rPr>
          <w:rFonts w:ascii="Times New Roman" w:hAnsi="Times New Roman" w:cs="Times New Roman"/>
          <w:sz w:val="24"/>
          <w:szCs w:val="24"/>
        </w:rPr>
        <w:t xml:space="preserve"> Teachers are broadly defined, combining data from primary, secondary and head teachers.</w:t>
      </w:r>
    </w:p>
    <w:p w14:paraId="5CCFD477" w14:textId="5FBE4D76"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lastRenderedPageBreak/>
        <w:t>The second data source we use is the Annual Population Survey (APS). Since 2011 it has collected information on respondents’ life</w:t>
      </w:r>
      <w:r w:rsidR="009C0668">
        <w:rPr>
          <w:rFonts w:ascii="Times New Roman" w:hAnsi="Times New Roman" w:cs="Times New Roman"/>
          <w:sz w:val="24"/>
          <w:szCs w:val="24"/>
        </w:rPr>
        <w:t xml:space="preserve"> </w:t>
      </w:r>
      <w:r w:rsidRPr="004B31EC">
        <w:rPr>
          <w:rFonts w:ascii="Times New Roman" w:hAnsi="Times New Roman" w:cs="Times New Roman"/>
          <w:sz w:val="24"/>
          <w:szCs w:val="24"/>
        </w:rPr>
        <w:t>satisfaction, happiness, anxiety and whether they feel their life is worthwhile, using a 0</w:t>
      </w:r>
      <w:r w:rsidR="003951AC">
        <w:rPr>
          <w:rFonts w:ascii="Times New Roman" w:hAnsi="Times New Roman" w:cs="Times New Roman"/>
          <w:sz w:val="24"/>
          <w:szCs w:val="24"/>
        </w:rPr>
        <w:t>-</w:t>
      </w:r>
      <w:r w:rsidRPr="004B31EC">
        <w:rPr>
          <w:rFonts w:ascii="Times New Roman" w:hAnsi="Times New Roman" w:cs="Times New Roman"/>
          <w:sz w:val="24"/>
          <w:szCs w:val="24"/>
        </w:rPr>
        <w:t>10 scale. In this chapter we consider how the proportion of teachers with high levels of anxiety and low levels of life</w:t>
      </w:r>
      <w:r w:rsidR="00A86339">
        <w:rPr>
          <w:rFonts w:ascii="Times New Roman" w:hAnsi="Times New Roman" w:cs="Times New Roman"/>
          <w:sz w:val="24"/>
          <w:szCs w:val="24"/>
        </w:rPr>
        <w:t xml:space="preserve"> </w:t>
      </w:r>
      <w:r w:rsidRPr="004B31EC">
        <w:rPr>
          <w:rFonts w:ascii="Times New Roman" w:hAnsi="Times New Roman" w:cs="Times New Roman"/>
          <w:sz w:val="24"/>
          <w:szCs w:val="24"/>
        </w:rPr>
        <w:t>satisfaction, happiness and self-worth changed between 2011 and 2018, and how this compares to other occupational groups.</w:t>
      </w:r>
      <w:r w:rsidR="00C63413">
        <w:rPr>
          <w:rFonts w:ascii="Times New Roman" w:hAnsi="Times New Roman" w:cs="Times New Roman"/>
          <w:sz w:val="24"/>
          <w:szCs w:val="24"/>
        </w:rPr>
        <w:t xml:space="preserve"> Teachers are again broadly defined, encompassing primary, secondary and head teachers.</w:t>
      </w:r>
      <w:r w:rsidRPr="004B31EC">
        <w:rPr>
          <w:rFonts w:ascii="Times New Roman" w:hAnsi="Times New Roman" w:cs="Times New Roman"/>
          <w:sz w:val="24"/>
          <w:szCs w:val="24"/>
        </w:rPr>
        <w:t xml:space="preserve"> </w:t>
      </w:r>
    </w:p>
    <w:p w14:paraId="2C16C2A8" w14:textId="1C7645A2" w:rsidR="004B31EC" w:rsidRPr="004B31EC" w:rsidRDefault="004B31EC" w:rsidP="004B31EC">
      <w:pPr>
        <w:autoSpaceDE w:val="0"/>
        <w:autoSpaceDN w:val="0"/>
        <w:adjustRightInd w:val="0"/>
        <w:spacing w:after="0" w:line="360" w:lineRule="auto"/>
        <w:jc w:val="both"/>
        <w:rPr>
          <w:rFonts w:ascii="Times New Roman" w:hAnsi="Times New Roman" w:cs="Times New Roman"/>
          <w:sz w:val="24"/>
          <w:szCs w:val="24"/>
        </w:rPr>
      </w:pPr>
      <w:r w:rsidRPr="004B31EC">
        <w:rPr>
          <w:rFonts w:ascii="Times New Roman" w:hAnsi="Times New Roman" w:cs="Times New Roman"/>
          <w:sz w:val="24"/>
          <w:szCs w:val="24"/>
        </w:rPr>
        <w:t>The final data source analysed is the Health Survey for England (HSE), which has collected information from a nationally representative sample since 1992. For each HSE survey year, there is typically around 150</w:t>
      </w:r>
      <w:r w:rsidR="003951AC">
        <w:rPr>
          <w:rFonts w:ascii="Times New Roman" w:hAnsi="Times New Roman" w:cs="Times New Roman"/>
          <w:sz w:val="24"/>
          <w:szCs w:val="24"/>
        </w:rPr>
        <w:t>-</w:t>
      </w:r>
      <w:r w:rsidRPr="004B31EC">
        <w:rPr>
          <w:rFonts w:ascii="Times New Roman" w:hAnsi="Times New Roman" w:cs="Times New Roman"/>
          <w:sz w:val="24"/>
          <w:szCs w:val="24"/>
        </w:rPr>
        <w:t>200 individuals working as an ‘education professional’ (this includes teachers but also others working in the education sector – such as university academics and private tutors)</w:t>
      </w:r>
      <w:r w:rsidRPr="004B31EC">
        <w:rPr>
          <w:rStyle w:val="FootnoteReference"/>
          <w:rFonts w:ascii="Times New Roman" w:hAnsi="Times New Roman" w:cs="Times New Roman"/>
          <w:sz w:val="24"/>
          <w:szCs w:val="24"/>
        </w:rPr>
        <w:footnoteReference w:id="4"/>
      </w:r>
      <w:r w:rsidRPr="004B31EC">
        <w:rPr>
          <w:rFonts w:ascii="Times New Roman" w:hAnsi="Times New Roman" w:cs="Times New Roman"/>
          <w:sz w:val="24"/>
          <w:szCs w:val="24"/>
        </w:rPr>
        <w:t>. Using the HSE data, we consider trends amongst education professionals in terms of those with:</w:t>
      </w:r>
    </w:p>
    <w:p w14:paraId="00367051" w14:textId="4336D0E5" w:rsidR="004B31EC" w:rsidRPr="004B31EC" w:rsidRDefault="004B31EC" w:rsidP="00697230">
      <w:pPr>
        <w:pStyle w:val="ListParagraph"/>
        <w:numPr>
          <w:ilvl w:val="0"/>
          <w:numId w:val="23"/>
        </w:numPr>
        <w:autoSpaceDE w:val="0"/>
        <w:autoSpaceDN w:val="0"/>
        <w:adjustRightInd w:val="0"/>
        <w:spacing w:after="0"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A high General Health Questionnaire (GHQ) score, indicating a </w:t>
      </w:r>
      <w:r w:rsidR="00AA63DB">
        <w:rPr>
          <w:rFonts w:ascii="Times New Roman" w:hAnsi="Times New Roman" w:cs="Times New Roman"/>
          <w:sz w:val="24"/>
          <w:szCs w:val="24"/>
        </w:rPr>
        <w:t>‘</w:t>
      </w:r>
      <w:r w:rsidRPr="004B31EC">
        <w:rPr>
          <w:rFonts w:ascii="Times New Roman" w:hAnsi="Times New Roman" w:cs="Times New Roman"/>
          <w:i/>
          <w:sz w:val="24"/>
          <w:szCs w:val="24"/>
        </w:rPr>
        <w:t>probable psychological disturbance or mental ill health</w:t>
      </w:r>
      <w:r w:rsidRPr="004B31EC">
        <w:rPr>
          <w:rFonts w:ascii="Times New Roman" w:hAnsi="Times New Roman" w:cs="Times New Roman"/>
          <w:sz w:val="24"/>
          <w:szCs w:val="24"/>
        </w:rPr>
        <w:t>’ (NHS Digital</w:t>
      </w:r>
      <w:r w:rsidR="00E04802">
        <w:rPr>
          <w:rFonts w:ascii="Times New Roman" w:hAnsi="Times New Roman" w:cs="Times New Roman"/>
          <w:sz w:val="24"/>
          <w:szCs w:val="24"/>
        </w:rPr>
        <w:t>,</w:t>
      </w:r>
      <w:r w:rsidRPr="004B31EC">
        <w:rPr>
          <w:rFonts w:ascii="Times New Roman" w:hAnsi="Times New Roman" w:cs="Times New Roman"/>
          <w:sz w:val="24"/>
          <w:szCs w:val="24"/>
        </w:rPr>
        <w:t xml:space="preserve"> 2017). This has been collected since 1992 (though only biannually in recent years).</w:t>
      </w:r>
    </w:p>
    <w:p w14:paraId="437F7944" w14:textId="1D5F79ED" w:rsidR="004B31EC" w:rsidRPr="004B31EC" w:rsidRDefault="004B31EC" w:rsidP="00697230">
      <w:pPr>
        <w:pStyle w:val="ListParagraph"/>
        <w:numPr>
          <w:ilvl w:val="0"/>
          <w:numId w:val="7"/>
        </w:numPr>
        <w:spacing w:after="200" w:line="360" w:lineRule="auto"/>
        <w:jc w:val="both"/>
        <w:rPr>
          <w:rFonts w:ascii="Times New Roman" w:hAnsi="Times New Roman" w:cs="Times New Roman"/>
          <w:sz w:val="24"/>
          <w:szCs w:val="24"/>
        </w:rPr>
      </w:pPr>
      <w:r w:rsidRPr="004B31EC">
        <w:rPr>
          <w:rFonts w:ascii="Times New Roman" w:hAnsi="Times New Roman" w:cs="Times New Roman"/>
          <w:sz w:val="24"/>
          <w:szCs w:val="24"/>
        </w:rPr>
        <w:t>A low Warwick Edinburgh Mental Well</w:t>
      </w:r>
      <w:r w:rsidR="00C35200">
        <w:rPr>
          <w:rFonts w:ascii="Times New Roman" w:hAnsi="Times New Roman" w:cs="Times New Roman"/>
          <w:sz w:val="24"/>
          <w:szCs w:val="24"/>
        </w:rPr>
        <w:t>b</w:t>
      </w:r>
      <w:r w:rsidRPr="004B31EC">
        <w:rPr>
          <w:rFonts w:ascii="Times New Roman" w:hAnsi="Times New Roman" w:cs="Times New Roman"/>
          <w:sz w:val="24"/>
          <w:szCs w:val="24"/>
        </w:rPr>
        <w:t>eing Scale (WEMWBS) score, indicating a low</w:t>
      </w:r>
      <w:r w:rsidR="00C35200">
        <w:rPr>
          <w:rFonts w:ascii="Times New Roman" w:hAnsi="Times New Roman" w:cs="Times New Roman"/>
          <w:sz w:val="24"/>
          <w:szCs w:val="24"/>
        </w:rPr>
        <w:t xml:space="preserve"> </w:t>
      </w:r>
      <w:r w:rsidRPr="004B31EC">
        <w:rPr>
          <w:rFonts w:ascii="Times New Roman" w:hAnsi="Times New Roman" w:cs="Times New Roman"/>
          <w:sz w:val="24"/>
          <w:szCs w:val="24"/>
        </w:rPr>
        <w:t>level of wellbeing (collected within HSE since 2010).</w:t>
      </w:r>
    </w:p>
    <w:p w14:paraId="0C5BF522" w14:textId="77777777" w:rsidR="004B31EC" w:rsidRPr="004B31EC" w:rsidRDefault="004B31EC" w:rsidP="00697230">
      <w:pPr>
        <w:pStyle w:val="ListParagraph"/>
        <w:numPr>
          <w:ilvl w:val="0"/>
          <w:numId w:val="7"/>
        </w:numPr>
        <w:spacing w:after="200"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Whether the respondent has been prescribed antidepressants. </w:t>
      </w:r>
    </w:p>
    <w:p w14:paraId="3ED7C988" w14:textId="77777777" w:rsidR="004B31EC" w:rsidRPr="004B31EC" w:rsidRDefault="004B31EC" w:rsidP="00697230">
      <w:pPr>
        <w:pStyle w:val="ListParagraph"/>
        <w:numPr>
          <w:ilvl w:val="0"/>
          <w:numId w:val="7"/>
        </w:numPr>
        <w:spacing w:after="200"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Whether the respondent felt anxious today/yesterday. </w:t>
      </w:r>
    </w:p>
    <w:p w14:paraId="775B3860" w14:textId="77777777" w:rsidR="004B31EC" w:rsidRPr="004B31EC" w:rsidRDefault="004B31EC" w:rsidP="00697230">
      <w:pPr>
        <w:pStyle w:val="ListParagraph"/>
        <w:numPr>
          <w:ilvl w:val="0"/>
          <w:numId w:val="7"/>
        </w:numPr>
        <w:spacing w:after="200" w:line="360" w:lineRule="auto"/>
        <w:jc w:val="both"/>
        <w:rPr>
          <w:rFonts w:ascii="Times New Roman" w:hAnsi="Times New Roman" w:cs="Times New Roman"/>
          <w:sz w:val="24"/>
          <w:szCs w:val="24"/>
        </w:rPr>
      </w:pPr>
      <w:r w:rsidRPr="004B31EC">
        <w:rPr>
          <w:rFonts w:ascii="Times New Roman" w:hAnsi="Times New Roman" w:cs="Times New Roman"/>
          <w:sz w:val="24"/>
          <w:szCs w:val="24"/>
        </w:rPr>
        <w:t>Whether respondents have a long-lasting mental health problem (collected annually from 1998).</w:t>
      </w:r>
    </w:p>
    <w:p w14:paraId="018EB024" w14:textId="795AC998" w:rsidR="004B31EC" w:rsidRPr="004B31EC" w:rsidRDefault="004B31EC" w:rsidP="00221FC2">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Using each data source, we begin by plotting the trend for each outcome measure over time. Propensity score matching models are then used, matching teachers from the most recent survey year (e.g. 2018 in the LFS) to a demographically comparable teacher who completed the survey in a previous year, with the trend in outcomes then plotted using this matched sample</w:t>
      </w:r>
      <w:r w:rsidRPr="004B31EC">
        <w:rPr>
          <w:rStyle w:val="FootnoteReference"/>
          <w:rFonts w:ascii="Times New Roman" w:hAnsi="Times New Roman" w:cs="Times New Roman"/>
          <w:sz w:val="24"/>
          <w:szCs w:val="24"/>
        </w:rPr>
        <w:footnoteReference w:id="5"/>
      </w:r>
      <w:r w:rsidRPr="004B31EC">
        <w:rPr>
          <w:rFonts w:ascii="Times New Roman" w:hAnsi="Times New Roman" w:cs="Times New Roman"/>
          <w:sz w:val="24"/>
          <w:szCs w:val="24"/>
        </w:rPr>
        <w:t>. Finally, the trend for each outcome over time for teachers will be compared to other occupational groups, including (a) all employed individuals</w:t>
      </w:r>
      <w:r w:rsidR="00DE4EC4">
        <w:rPr>
          <w:rFonts w:ascii="Times New Roman" w:hAnsi="Times New Roman" w:cs="Times New Roman"/>
          <w:sz w:val="24"/>
          <w:szCs w:val="24"/>
        </w:rPr>
        <w:t>,</w:t>
      </w:r>
      <w:r w:rsidR="00DE4EC4" w:rsidRPr="004B31EC">
        <w:rPr>
          <w:rFonts w:ascii="Times New Roman" w:hAnsi="Times New Roman" w:cs="Times New Roman"/>
          <w:sz w:val="24"/>
          <w:szCs w:val="24"/>
        </w:rPr>
        <w:t xml:space="preserve"> </w:t>
      </w:r>
      <w:r w:rsidRPr="004B31EC">
        <w:rPr>
          <w:rFonts w:ascii="Times New Roman" w:hAnsi="Times New Roman" w:cs="Times New Roman"/>
          <w:sz w:val="24"/>
          <w:szCs w:val="24"/>
        </w:rPr>
        <w:t>(b) those employed in lower professional or managerial occupations</w:t>
      </w:r>
      <w:r w:rsidR="00DE4EC4">
        <w:rPr>
          <w:rFonts w:ascii="Times New Roman" w:hAnsi="Times New Roman" w:cs="Times New Roman"/>
          <w:sz w:val="24"/>
          <w:szCs w:val="24"/>
        </w:rPr>
        <w:t>,</w:t>
      </w:r>
      <w:r w:rsidR="00DE4EC4" w:rsidRPr="004B31EC">
        <w:rPr>
          <w:rFonts w:ascii="Times New Roman" w:hAnsi="Times New Roman" w:cs="Times New Roman"/>
          <w:sz w:val="24"/>
          <w:szCs w:val="24"/>
        </w:rPr>
        <w:t xml:space="preserve"> </w:t>
      </w:r>
      <w:r w:rsidRPr="004B31EC">
        <w:rPr>
          <w:rFonts w:ascii="Times New Roman" w:hAnsi="Times New Roman" w:cs="Times New Roman"/>
          <w:sz w:val="24"/>
          <w:szCs w:val="24"/>
        </w:rPr>
        <w:t xml:space="preserve">(c) all university graduates and, where possible, (d) </w:t>
      </w:r>
      <w:r w:rsidRPr="004B31EC">
        <w:rPr>
          <w:rFonts w:ascii="Times New Roman" w:hAnsi="Times New Roman" w:cs="Times New Roman"/>
          <w:sz w:val="24"/>
          <w:szCs w:val="24"/>
        </w:rPr>
        <w:lastRenderedPageBreak/>
        <w:t>those working in health-based occupations</w:t>
      </w:r>
      <w:r w:rsidRPr="004B31EC">
        <w:rPr>
          <w:rStyle w:val="FootnoteReference"/>
          <w:rFonts w:ascii="Times New Roman" w:hAnsi="Times New Roman" w:cs="Times New Roman"/>
          <w:sz w:val="24"/>
          <w:szCs w:val="24"/>
        </w:rPr>
        <w:footnoteReference w:id="6"/>
      </w:r>
      <w:r w:rsidR="00CA4067">
        <w:rPr>
          <w:rFonts w:ascii="Times New Roman" w:hAnsi="Times New Roman" w:cs="Times New Roman"/>
          <w:sz w:val="24"/>
          <w:szCs w:val="24"/>
        </w:rPr>
        <w:t>,</w:t>
      </w:r>
      <w:r w:rsidRPr="004B31EC">
        <w:rPr>
          <w:rFonts w:ascii="Times New Roman" w:hAnsi="Times New Roman" w:cs="Times New Roman"/>
          <w:sz w:val="24"/>
          <w:szCs w:val="24"/>
        </w:rPr>
        <w:t xml:space="preserve"> and (e) those working in selected office jobs</w:t>
      </w:r>
      <w:r w:rsidRPr="004B31EC">
        <w:rPr>
          <w:rStyle w:val="FootnoteReference"/>
          <w:rFonts w:ascii="Times New Roman" w:hAnsi="Times New Roman" w:cs="Times New Roman"/>
          <w:sz w:val="24"/>
          <w:szCs w:val="24"/>
        </w:rPr>
        <w:footnoteReference w:id="7"/>
      </w:r>
      <w:r w:rsidRPr="004B31EC">
        <w:rPr>
          <w:rFonts w:ascii="Times New Roman" w:hAnsi="Times New Roman" w:cs="Times New Roman"/>
          <w:sz w:val="24"/>
          <w:szCs w:val="24"/>
        </w:rPr>
        <w:t>. Due to the smaller sample size in the HSE, we focus upon differences between education professionals and all other professional workers.</w:t>
      </w:r>
    </w:p>
    <w:p w14:paraId="5A0812E5" w14:textId="77777777" w:rsidR="004B31EC" w:rsidRPr="004B31EC" w:rsidRDefault="004B31EC" w:rsidP="00221FC2">
      <w:pPr>
        <w:spacing w:line="360" w:lineRule="auto"/>
        <w:rPr>
          <w:rFonts w:ascii="Times New Roman" w:hAnsi="Times New Roman" w:cs="Times New Roman"/>
          <w:b/>
          <w:sz w:val="24"/>
          <w:szCs w:val="24"/>
        </w:rPr>
      </w:pPr>
      <w:r w:rsidRPr="004B31EC">
        <w:rPr>
          <w:rFonts w:ascii="Times New Roman" w:hAnsi="Times New Roman" w:cs="Times New Roman"/>
          <w:b/>
          <w:sz w:val="24"/>
          <w:szCs w:val="24"/>
        </w:rPr>
        <w:t>5.3 Labour Force Survey results</w:t>
      </w:r>
    </w:p>
    <w:p w14:paraId="02C9AF6B" w14:textId="77777777"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To begin, Figure 5.1 panel (a) illustrates the long-run trend in lasting limiting illnesses reported by teachers in the LFS since 1997. There has been a gradual increase over this 20-year period, from around 15% in 1998 up to around 25% in 2018. The pattern was very similar for primary and secondary teachers through to 2010, although after this the lines start to diverge. Some caution is needed, however, when interpreting this result, given that the occupational coding schema used to identify teachers in the LFS also underwent some changes in 2010. The final notable point of Figure 5.1 is that there has been little change in the proportion of teachers with long-term health problems in the recent past; the figure has remained around 25% between 2010 and 2018. The same broad upward trend is observed when using propensity score matching (results not presented), suggesting that this result is not simply due to the changing demographic composition of the teaching labour force. </w:t>
      </w:r>
    </w:p>
    <w:p w14:paraId="29E9EC99" w14:textId="34571A24" w:rsidR="004B31EC" w:rsidRDefault="004B31EC" w:rsidP="0067647D">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Figure 5.1 panel (b) provides further detail on this issue, illustrating how reports of selected major long-term health problems amongst teachers has changed since 1997. The most prominent change has been the increase in long-term mental health issues reported by teachers (i.e. anxiety, depression, stress), albeit from a low base. Specifically, in the late 1990s and early 2000s, very few teachers in England reported having a lasting issue with their mental health (≈1%). This then started to gently rise in the late 2000s and early 2010s to around 2%. The trend has then noticeably picked up over the last five years, from around 2% in 2013 to around 5% in 2018. Taken at face value, this result suggests that there has been a non-trivial increase in serious mental health problems reported by teachers in England over the last decade. Propensity score matching estimates (not presented here) produce similar substantive results. </w:t>
      </w:r>
    </w:p>
    <w:p w14:paraId="0C9297BF" w14:textId="6ED4247E" w:rsidR="00624FE4" w:rsidRDefault="00624FE4" w:rsidP="0067647D">
      <w:pPr>
        <w:spacing w:line="360" w:lineRule="auto"/>
        <w:jc w:val="both"/>
        <w:rPr>
          <w:rFonts w:ascii="Times New Roman" w:hAnsi="Times New Roman" w:cs="Times New Roman"/>
          <w:sz w:val="24"/>
          <w:szCs w:val="24"/>
        </w:rPr>
      </w:pPr>
    </w:p>
    <w:p w14:paraId="5B88F91F" w14:textId="77777777" w:rsidR="00624FE4" w:rsidRPr="0067647D" w:rsidRDefault="00624FE4" w:rsidP="0067647D">
      <w:pPr>
        <w:spacing w:line="360" w:lineRule="auto"/>
        <w:jc w:val="both"/>
        <w:rPr>
          <w:rStyle w:val="Hyperlink"/>
          <w:rFonts w:ascii="Times New Roman" w:hAnsi="Times New Roman" w:cs="Times New Roman"/>
          <w:color w:val="auto"/>
          <w:sz w:val="24"/>
          <w:szCs w:val="24"/>
          <w:u w:val="none"/>
        </w:rPr>
      </w:pPr>
    </w:p>
    <w:p w14:paraId="7FDDE5D2" w14:textId="2AF4B4BF" w:rsidR="004B31EC" w:rsidRPr="004B31EC" w:rsidRDefault="004B31EC" w:rsidP="004B31EC">
      <w:pPr>
        <w:spacing w:line="240" w:lineRule="auto"/>
        <w:jc w:val="center"/>
        <w:rPr>
          <w:rStyle w:val="Hyperlink"/>
          <w:rFonts w:ascii="Times New Roman" w:hAnsi="Times New Roman" w:cs="Times New Roman"/>
          <w:b/>
          <w:bCs/>
          <w:color w:val="000000" w:themeColor="text1"/>
          <w:sz w:val="24"/>
          <w:szCs w:val="24"/>
          <w:u w:val="none"/>
        </w:rPr>
      </w:pPr>
      <w:r w:rsidRPr="004B31EC">
        <w:rPr>
          <w:rStyle w:val="Hyperlink"/>
          <w:rFonts w:ascii="Times New Roman" w:hAnsi="Times New Roman" w:cs="Times New Roman"/>
          <w:b/>
          <w:bCs/>
          <w:color w:val="000000" w:themeColor="text1"/>
          <w:sz w:val="24"/>
          <w:szCs w:val="24"/>
          <w:u w:val="none"/>
        </w:rPr>
        <w:lastRenderedPageBreak/>
        <w:t xml:space="preserve">Figure 5.1 </w:t>
      </w:r>
      <w:proofErr w:type="gramStart"/>
      <w:r w:rsidRPr="004B31EC">
        <w:rPr>
          <w:rStyle w:val="Hyperlink"/>
          <w:rFonts w:ascii="Times New Roman" w:hAnsi="Times New Roman" w:cs="Times New Roman"/>
          <w:b/>
          <w:bCs/>
          <w:color w:val="000000" w:themeColor="text1"/>
          <w:sz w:val="24"/>
          <w:szCs w:val="24"/>
          <w:u w:val="none"/>
        </w:rPr>
        <w:t>The</w:t>
      </w:r>
      <w:proofErr w:type="gramEnd"/>
      <w:r w:rsidRPr="004B31EC">
        <w:rPr>
          <w:rStyle w:val="Hyperlink"/>
          <w:rFonts w:ascii="Times New Roman" w:hAnsi="Times New Roman" w:cs="Times New Roman"/>
          <w:b/>
          <w:bCs/>
          <w:color w:val="000000" w:themeColor="text1"/>
          <w:sz w:val="24"/>
          <w:szCs w:val="24"/>
          <w:u w:val="none"/>
        </w:rPr>
        <w:t xml:space="preserve"> percentage of teachers in England reporting a long-lasting limiting health condition. Trends between 1997 and 2018.</w:t>
      </w:r>
    </w:p>
    <w:p w14:paraId="7EC6A0DF" w14:textId="41D8FFA3" w:rsidR="004B31EC" w:rsidRDefault="004B31EC" w:rsidP="00697230">
      <w:pPr>
        <w:pStyle w:val="ListParagraph"/>
        <w:numPr>
          <w:ilvl w:val="0"/>
          <w:numId w:val="19"/>
        </w:numPr>
        <w:spacing w:after="0" w:line="240" w:lineRule="auto"/>
        <w:jc w:val="center"/>
        <w:rPr>
          <w:rStyle w:val="Hyperlink"/>
          <w:rFonts w:ascii="Times New Roman" w:hAnsi="Times New Roman" w:cs="Times New Roman"/>
          <w:color w:val="000000" w:themeColor="text1"/>
          <w:szCs w:val="24"/>
          <w:u w:val="none"/>
        </w:rPr>
      </w:pPr>
      <w:r>
        <w:rPr>
          <w:rStyle w:val="Hyperlink"/>
          <w:rFonts w:ascii="Times New Roman" w:hAnsi="Times New Roman" w:cs="Times New Roman"/>
          <w:color w:val="000000" w:themeColor="text1"/>
          <w:szCs w:val="24"/>
          <w:u w:val="none"/>
        </w:rPr>
        <w:t>Percent</w:t>
      </w:r>
      <w:r w:rsidR="006F3A31">
        <w:rPr>
          <w:rStyle w:val="Hyperlink"/>
          <w:rFonts w:ascii="Times New Roman" w:hAnsi="Times New Roman" w:cs="Times New Roman"/>
          <w:color w:val="000000" w:themeColor="text1"/>
          <w:szCs w:val="24"/>
          <w:u w:val="none"/>
        </w:rPr>
        <w:t>age</w:t>
      </w:r>
      <w:r>
        <w:rPr>
          <w:rStyle w:val="Hyperlink"/>
          <w:rFonts w:ascii="Times New Roman" w:hAnsi="Times New Roman" w:cs="Times New Roman"/>
          <w:color w:val="000000" w:themeColor="text1"/>
          <w:szCs w:val="24"/>
          <w:u w:val="none"/>
        </w:rPr>
        <w:t xml:space="preserve"> reporting any long-lasting health condition</w:t>
      </w:r>
    </w:p>
    <w:p w14:paraId="25168752" w14:textId="77777777" w:rsidR="004B31EC" w:rsidRPr="009676E6" w:rsidRDefault="004B31EC" w:rsidP="004B31EC">
      <w:pPr>
        <w:spacing w:after="0" w:line="240" w:lineRule="auto"/>
        <w:rPr>
          <w:rStyle w:val="Hyperlink"/>
          <w:rFonts w:ascii="Times New Roman" w:hAnsi="Times New Roman" w:cs="Times New Roman"/>
          <w:color w:val="000000" w:themeColor="text1"/>
          <w:szCs w:val="24"/>
          <w:u w:val="none"/>
        </w:rPr>
      </w:pPr>
      <w:r>
        <w:rPr>
          <w:noProof/>
          <w:lang w:eastAsia="en-GB"/>
        </w:rPr>
        <w:drawing>
          <wp:inline distT="0" distB="0" distL="0" distR="0" wp14:anchorId="32C635FC" wp14:editId="7911D385">
            <wp:extent cx="6007395" cy="3338623"/>
            <wp:effectExtent l="0" t="0" r="0" b="0"/>
            <wp:docPr id="30" name="Chart 30">
              <a:extLst xmlns:a="http://schemas.openxmlformats.org/drawingml/2006/main">
                <a:ext uri="{FF2B5EF4-FFF2-40B4-BE49-F238E27FC236}">
                  <a16:creationId xmlns:a16="http://schemas.microsoft.com/office/drawing/2014/main" id="{B542FA76-9EB3-429B-889C-275B48FF39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6C521573" w14:textId="08C6C5DA" w:rsidR="004B31EC" w:rsidRPr="00EF3A3C" w:rsidRDefault="004B31EC" w:rsidP="00697230">
      <w:pPr>
        <w:pStyle w:val="ListParagraph"/>
        <w:numPr>
          <w:ilvl w:val="0"/>
          <w:numId w:val="19"/>
        </w:numPr>
        <w:spacing w:after="0" w:line="240" w:lineRule="auto"/>
        <w:jc w:val="center"/>
        <w:rPr>
          <w:rFonts w:ascii="Times New Roman" w:hAnsi="Times New Roman" w:cs="Times New Roman"/>
          <w:color w:val="000000" w:themeColor="text1"/>
          <w:szCs w:val="24"/>
        </w:rPr>
      </w:pPr>
      <w:r w:rsidRPr="00EF3A3C">
        <w:rPr>
          <w:rStyle w:val="Hyperlink"/>
          <w:rFonts w:ascii="Times New Roman" w:hAnsi="Times New Roman" w:cs="Times New Roman"/>
          <w:color w:val="000000" w:themeColor="text1"/>
          <w:szCs w:val="24"/>
          <w:u w:val="none"/>
        </w:rPr>
        <w:t>Percent</w:t>
      </w:r>
      <w:r w:rsidR="006F3A31">
        <w:rPr>
          <w:rStyle w:val="Hyperlink"/>
          <w:rFonts w:ascii="Times New Roman" w:hAnsi="Times New Roman" w:cs="Times New Roman"/>
          <w:color w:val="000000" w:themeColor="text1"/>
          <w:szCs w:val="24"/>
          <w:u w:val="none"/>
        </w:rPr>
        <w:t>age</w:t>
      </w:r>
      <w:r w:rsidRPr="00EF3A3C">
        <w:rPr>
          <w:rStyle w:val="Hyperlink"/>
          <w:rFonts w:ascii="Times New Roman" w:hAnsi="Times New Roman" w:cs="Times New Roman"/>
          <w:color w:val="000000" w:themeColor="text1"/>
          <w:szCs w:val="24"/>
          <w:u w:val="none"/>
        </w:rPr>
        <w:t xml:space="preserve"> reporting </w:t>
      </w:r>
      <w:r w:rsidR="006F3A31">
        <w:rPr>
          <w:rFonts w:ascii="Times New Roman" w:hAnsi="Times New Roman" w:cs="Times New Roman"/>
          <w:szCs w:val="24"/>
        </w:rPr>
        <w:t>d</w:t>
      </w:r>
      <w:r w:rsidR="006F3A31" w:rsidRPr="00EF3A3C">
        <w:rPr>
          <w:rFonts w:ascii="Times New Roman" w:hAnsi="Times New Roman" w:cs="Times New Roman"/>
          <w:szCs w:val="24"/>
        </w:rPr>
        <w:t>epression</w:t>
      </w:r>
      <w:r w:rsidRPr="00EF3A3C">
        <w:rPr>
          <w:rFonts w:ascii="Times New Roman" w:hAnsi="Times New Roman" w:cs="Times New Roman"/>
          <w:szCs w:val="24"/>
        </w:rPr>
        <w:t>, bad nerves</w:t>
      </w:r>
      <w:r>
        <w:rPr>
          <w:rFonts w:ascii="Times New Roman" w:hAnsi="Times New Roman" w:cs="Times New Roman"/>
          <w:szCs w:val="24"/>
        </w:rPr>
        <w:t>,</w:t>
      </w:r>
      <w:r w:rsidRPr="00EF3A3C">
        <w:rPr>
          <w:rFonts w:ascii="Times New Roman" w:hAnsi="Times New Roman" w:cs="Times New Roman"/>
          <w:szCs w:val="24"/>
        </w:rPr>
        <w:t xml:space="preserve"> anxiety</w:t>
      </w:r>
      <w:r>
        <w:rPr>
          <w:rFonts w:ascii="Times New Roman" w:hAnsi="Times New Roman" w:cs="Times New Roman"/>
          <w:szCs w:val="24"/>
        </w:rPr>
        <w:t xml:space="preserve"> or mental health problem</w:t>
      </w:r>
    </w:p>
    <w:p w14:paraId="240DD39E" w14:textId="77777777" w:rsidR="004B31EC" w:rsidRDefault="004B31EC" w:rsidP="004B31EC">
      <w:pPr>
        <w:spacing w:after="0" w:line="240" w:lineRule="auto"/>
        <w:jc w:val="both"/>
        <w:rPr>
          <w:rStyle w:val="Hyperlink"/>
          <w:rFonts w:ascii="Times New Roman" w:hAnsi="Times New Roman" w:cs="Times New Roman"/>
          <w:color w:val="000000" w:themeColor="text1"/>
          <w:u w:val="none"/>
        </w:rPr>
      </w:pPr>
      <w:r>
        <w:rPr>
          <w:noProof/>
          <w:lang w:eastAsia="en-GB"/>
        </w:rPr>
        <w:drawing>
          <wp:inline distT="0" distB="0" distL="0" distR="0" wp14:anchorId="3BEC8064" wp14:editId="7B064588">
            <wp:extent cx="6071191" cy="3742661"/>
            <wp:effectExtent l="0" t="0" r="6350" b="0"/>
            <wp:docPr id="26" name="Chart 26">
              <a:extLst xmlns:a="http://schemas.openxmlformats.org/drawingml/2006/main">
                <a:ext uri="{FF2B5EF4-FFF2-40B4-BE49-F238E27FC236}">
                  <a16:creationId xmlns:a16="http://schemas.microsoft.com/office/drawing/2014/main" id="{DFFE135D-E720-4300-AA4D-14C6CC65F81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417C0B2C" w14:textId="77777777" w:rsidR="004B31EC" w:rsidRDefault="004B31EC" w:rsidP="004B31EC">
      <w:pPr>
        <w:spacing w:after="0" w:line="240" w:lineRule="auto"/>
        <w:jc w:val="both"/>
        <w:rPr>
          <w:rStyle w:val="Hyperlink"/>
          <w:rFonts w:ascii="Times New Roman" w:hAnsi="Times New Roman" w:cs="Times New Roman"/>
          <w:color w:val="000000" w:themeColor="text1"/>
          <w:u w:val="none"/>
        </w:rPr>
      </w:pPr>
    </w:p>
    <w:p w14:paraId="4EC5685B" w14:textId="3383721D" w:rsidR="004B31EC" w:rsidRPr="006529C9" w:rsidRDefault="004B31EC" w:rsidP="004B31EC">
      <w:pPr>
        <w:spacing w:line="240" w:lineRule="auto"/>
        <w:jc w:val="both"/>
        <w:rPr>
          <w:rFonts w:ascii="Times New Roman" w:hAnsi="Times New Roman" w:cs="Times New Roman"/>
          <w:color w:val="000000" w:themeColor="text1"/>
          <w:sz w:val="20"/>
          <w:szCs w:val="20"/>
        </w:rPr>
      </w:pPr>
      <w:r w:rsidRPr="006529C9">
        <w:rPr>
          <w:rStyle w:val="Hyperlink"/>
          <w:rFonts w:ascii="Times New Roman" w:hAnsi="Times New Roman" w:cs="Times New Roman"/>
          <w:color w:val="000000" w:themeColor="text1"/>
          <w:sz w:val="20"/>
          <w:szCs w:val="20"/>
          <w:u w:val="none"/>
        </w:rPr>
        <w:t>Notes: Analysis based upon the Labour Force Survey (LFS). In panel (a) estimates are presented for teachers (as broadly defined) and for primary and secondary teachers separately. Figures refer to the percent</w:t>
      </w:r>
      <w:r w:rsidR="00CD4918">
        <w:rPr>
          <w:rStyle w:val="Hyperlink"/>
          <w:rFonts w:ascii="Times New Roman" w:hAnsi="Times New Roman" w:cs="Times New Roman"/>
          <w:color w:val="000000" w:themeColor="text1"/>
          <w:sz w:val="20"/>
          <w:szCs w:val="20"/>
          <w:u w:val="none"/>
        </w:rPr>
        <w:t>age</w:t>
      </w:r>
      <w:r w:rsidRPr="006529C9">
        <w:rPr>
          <w:rStyle w:val="Hyperlink"/>
          <w:rFonts w:ascii="Times New Roman" w:hAnsi="Times New Roman" w:cs="Times New Roman"/>
          <w:color w:val="000000" w:themeColor="text1"/>
          <w:sz w:val="20"/>
          <w:szCs w:val="20"/>
          <w:u w:val="none"/>
        </w:rPr>
        <w:t xml:space="preserve"> of teachers reporting a </w:t>
      </w:r>
      <w:r w:rsidRPr="006529C9">
        <w:rPr>
          <w:rStyle w:val="Hyperlink"/>
          <w:rFonts w:ascii="Times New Roman" w:hAnsi="Times New Roman" w:cs="Times New Roman"/>
          <w:i/>
          <w:iCs/>
          <w:color w:val="000000" w:themeColor="text1"/>
          <w:sz w:val="20"/>
          <w:szCs w:val="20"/>
        </w:rPr>
        <w:t>long-lasting</w:t>
      </w:r>
      <w:r w:rsidRPr="006529C9">
        <w:rPr>
          <w:rStyle w:val="Hyperlink"/>
          <w:rFonts w:ascii="Times New Roman" w:hAnsi="Times New Roman" w:cs="Times New Roman"/>
          <w:color w:val="000000" w:themeColor="text1"/>
          <w:sz w:val="20"/>
          <w:szCs w:val="20"/>
          <w:u w:val="none"/>
        </w:rPr>
        <w:t xml:space="preserve"> health problem (which has lasted, or they expect to last, for at least 12 months). Figures in panel (b) refer to results for all teachers. </w:t>
      </w:r>
    </w:p>
    <w:p w14:paraId="06414EF1" w14:textId="77777777"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lastRenderedPageBreak/>
        <w:t>Interestingly, the trend for the other major mental health issues documented in Figure 5.1 panel (b) is reasonably flat, with any increases observed being relatively small. Roughly the same percentage of teachers in England reported a long-term problem with diabetes (1% in both 1997 and 2018), chest and breathing problems (4% versus 5%), heart and blood pressure (2% versus 5%) and stomach and liver problems (1% versus 3%) in 2018 as in 1997. The recent uplift in reported mental health issues amongst teachers therefore does not seem to generalise (or spill over into) analogous increases in problems with physical health.</w:t>
      </w:r>
    </w:p>
    <w:p w14:paraId="127E2BE6" w14:textId="77777777"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Is there any evidence that this finding of increasing serious mental health problems is specific to teachers – or can it also be observed more generally amongst other occupational groups? This is important as it can provide clues as to whether the increase observed for teachers is likely to be due to the changing demands of the job, or if it is more likely to be due to other potential explanations that are also apparent in wider society (e.g. the impact of government austerity, an increasing willingness for doctors to diagnose – and for individuals to report – mental health problems). </w:t>
      </w:r>
    </w:p>
    <w:p w14:paraId="0D66E0D0" w14:textId="15FCECF1" w:rsid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Figure 5.2 consequently compares the trend of long-term health problems amongst teachers to </w:t>
      </w:r>
      <w:proofErr w:type="gramStart"/>
      <w:r w:rsidRPr="004B31EC">
        <w:rPr>
          <w:rFonts w:ascii="Times New Roman" w:hAnsi="Times New Roman" w:cs="Times New Roman"/>
          <w:sz w:val="24"/>
          <w:szCs w:val="24"/>
        </w:rPr>
        <w:t>selected</w:t>
      </w:r>
      <w:proofErr w:type="gramEnd"/>
      <w:r w:rsidRPr="004B31EC">
        <w:rPr>
          <w:rFonts w:ascii="Times New Roman" w:hAnsi="Times New Roman" w:cs="Times New Roman"/>
          <w:sz w:val="24"/>
          <w:szCs w:val="24"/>
        </w:rPr>
        <w:t xml:space="preserve"> other occupational groups: accountants, nurses, human resource workers and all those working in professional jobs. Panel (a) provides results for the percentage of individuals with any lasting health problems, while panel (b) focuses specifically upon mental health (note that different scales are used on the vertical axis within these two panels). These graphs make it clear that the increasing prevalence of long-term illnesses is not unique to teachers; a similar pattern is also observed for those working in other professional occupations. Focusing upon the results presented in panel (b), the upsurge in serious mental health problems reported by teachers since 2010 can also be observed for accountants, nurses and human resource workers (as well as professional workers more generally). This suggests that the factor driving this change is unlikely to be occupation specific; an increasing willingness to diagnose and disclose mental health problems – or a wider societal problem – seems a more likely cause, rather than changes to the specific working conditions for teachers per se.</w:t>
      </w:r>
    </w:p>
    <w:p w14:paraId="231A83BD" w14:textId="77777777" w:rsidR="00513CC2" w:rsidRPr="004B31EC" w:rsidRDefault="00513CC2" w:rsidP="004B31EC">
      <w:pPr>
        <w:spacing w:line="360" w:lineRule="auto"/>
        <w:jc w:val="both"/>
        <w:rPr>
          <w:rFonts w:ascii="Times New Roman" w:hAnsi="Times New Roman" w:cs="Times New Roman"/>
          <w:sz w:val="24"/>
          <w:szCs w:val="24"/>
        </w:rPr>
      </w:pPr>
    </w:p>
    <w:p w14:paraId="6E968A70" w14:textId="36C19D9D" w:rsidR="004B31EC" w:rsidRDefault="004B31EC" w:rsidP="004B31EC">
      <w:pPr>
        <w:jc w:val="both"/>
        <w:rPr>
          <w:rFonts w:ascii="Times New Roman" w:hAnsi="Times New Roman" w:cs="Times New Roman"/>
        </w:rPr>
      </w:pPr>
    </w:p>
    <w:p w14:paraId="3CC8732A" w14:textId="31E3566C" w:rsidR="005D0431" w:rsidRDefault="005D0431" w:rsidP="004B31EC">
      <w:pPr>
        <w:jc w:val="both"/>
        <w:rPr>
          <w:rFonts w:ascii="Times New Roman" w:hAnsi="Times New Roman" w:cs="Times New Roman"/>
        </w:rPr>
      </w:pPr>
    </w:p>
    <w:p w14:paraId="79774DBD" w14:textId="77777777" w:rsidR="005D0431" w:rsidRDefault="005D0431" w:rsidP="004B31EC">
      <w:pPr>
        <w:jc w:val="both"/>
        <w:rPr>
          <w:rFonts w:ascii="Times New Roman" w:hAnsi="Times New Roman" w:cs="Times New Roman"/>
        </w:rPr>
      </w:pPr>
    </w:p>
    <w:p w14:paraId="14C251F9" w14:textId="4CA0F417" w:rsidR="004B31EC" w:rsidRDefault="004B31EC" w:rsidP="004B31EC">
      <w:pPr>
        <w:spacing w:after="0" w:line="240" w:lineRule="auto"/>
        <w:jc w:val="center"/>
        <w:rPr>
          <w:rStyle w:val="Hyperlink"/>
          <w:rFonts w:ascii="Times New Roman" w:hAnsi="Times New Roman" w:cs="Times New Roman"/>
          <w:b/>
          <w:bCs/>
          <w:color w:val="000000" w:themeColor="text1"/>
          <w:sz w:val="24"/>
          <w:szCs w:val="24"/>
          <w:u w:val="none"/>
        </w:rPr>
      </w:pPr>
      <w:r w:rsidRPr="004B31EC">
        <w:rPr>
          <w:rStyle w:val="Hyperlink"/>
          <w:rFonts w:ascii="Times New Roman" w:hAnsi="Times New Roman" w:cs="Times New Roman"/>
          <w:b/>
          <w:bCs/>
          <w:color w:val="000000" w:themeColor="text1"/>
          <w:sz w:val="24"/>
          <w:szCs w:val="24"/>
          <w:u w:val="none"/>
        </w:rPr>
        <w:lastRenderedPageBreak/>
        <w:t>Figure 5.2 Long-lasting limiting health conditions in England. Trends for teachers compared to other selected groups.</w:t>
      </w:r>
    </w:p>
    <w:p w14:paraId="2770E561" w14:textId="77777777" w:rsidR="00042902" w:rsidRPr="004B31EC" w:rsidRDefault="00042902" w:rsidP="004B31EC">
      <w:pPr>
        <w:spacing w:after="0" w:line="240" w:lineRule="auto"/>
        <w:jc w:val="center"/>
        <w:rPr>
          <w:rStyle w:val="Hyperlink"/>
          <w:rFonts w:ascii="Times New Roman" w:hAnsi="Times New Roman" w:cs="Times New Roman"/>
          <w:b/>
          <w:bCs/>
          <w:color w:val="000000" w:themeColor="text1"/>
          <w:sz w:val="24"/>
          <w:szCs w:val="24"/>
          <w:u w:val="none"/>
        </w:rPr>
      </w:pPr>
    </w:p>
    <w:p w14:paraId="7DCF71FA" w14:textId="3BAD9B98" w:rsidR="004B31EC" w:rsidRDefault="004B31EC" w:rsidP="00697230">
      <w:pPr>
        <w:pStyle w:val="ListParagraph"/>
        <w:numPr>
          <w:ilvl w:val="0"/>
          <w:numId w:val="20"/>
        </w:numPr>
        <w:spacing w:after="0" w:line="240" w:lineRule="auto"/>
        <w:jc w:val="center"/>
        <w:rPr>
          <w:rStyle w:val="Hyperlink"/>
          <w:rFonts w:ascii="Times New Roman" w:hAnsi="Times New Roman" w:cs="Times New Roman"/>
          <w:color w:val="000000" w:themeColor="text1"/>
          <w:szCs w:val="24"/>
          <w:u w:val="none"/>
        </w:rPr>
      </w:pPr>
      <w:r>
        <w:rPr>
          <w:rStyle w:val="Hyperlink"/>
          <w:rFonts w:ascii="Times New Roman" w:hAnsi="Times New Roman" w:cs="Times New Roman"/>
          <w:color w:val="000000" w:themeColor="text1"/>
          <w:szCs w:val="24"/>
          <w:u w:val="none"/>
        </w:rPr>
        <w:t>Percent</w:t>
      </w:r>
      <w:r w:rsidR="00513CC2">
        <w:rPr>
          <w:rStyle w:val="Hyperlink"/>
          <w:rFonts w:ascii="Times New Roman" w:hAnsi="Times New Roman" w:cs="Times New Roman"/>
          <w:color w:val="000000" w:themeColor="text1"/>
          <w:szCs w:val="24"/>
          <w:u w:val="none"/>
        </w:rPr>
        <w:t>age</w:t>
      </w:r>
      <w:r>
        <w:rPr>
          <w:rStyle w:val="Hyperlink"/>
          <w:rFonts w:ascii="Times New Roman" w:hAnsi="Times New Roman" w:cs="Times New Roman"/>
          <w:color w:val="000000" w:themeColor="text1"/>
          <w:szCs w:val="24"/>
          <w:u w:val="none"/>
        </w:rPr>
        <w:t xml:space="preserve"> reporting any long-lasting health condition</w:t>
      </w:r>
    </w:p>
    <w:p w14:paraId="1A5490B0" w14:textId="77777777" w:rsidR="004B31EC" w:rsidRDefault="004B31EC" w:rsidP="004B31EC">
      <w:pPr>
        <w:spacing w:after="0" w:line="240" w:lineRule="auto"/>
        <w:rPr>
          <w:noProof/>
        </w:rPr>
      </w:pPr>
      <w:r>
        <w:rPr>
          <w:noProof/>
          <w:lang w:eastAsia="en-GB"/>
        </w:rPr>
        <w:drawing>
          <wp:inline distT="0" distB="0" distL="0" distR="0" wp14:anchorId="3AA65E01" wp14:editId="1B711FE9">
            <wp:extent cx="6166485" cy="3455582"/>
            <wp:effectExtent l="0" t="0" r="5715" b="0"/>
            <wp:docPr id="18" name="Chart 18">
              <a:extLst xmlns:a="http://schemas.openxmlformats.org/drawingml/2006/main">
                <a:ext uri="{FF2B5EF4-FFF2-40B4-BE49-F238E27FC236}">
                  <a16:creationId xmlns:a16="http://schemas.microsoft.com/office/drawing/2014/main" id="{2FD93579-62DC-403E-9842-DA4B219075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93F75FF" w14:textId="77777777" w:rsidR="004B31EC" w:rsidRPr="00255D42" w:rsidRDefault="004B31EC" w:rsidP="004B31EC">
      <w:pPr>
        <w:spacing w:after="0" w:line="240" w:lineRule="auto"/>
        <w:rPr>
          <w:rStyle w:val="Hyperlink"/>
          <w:rFonts w:ascii="Times New Roman" w:hAnsi="Times New Roman" w:cs="Times New Roman"/>
          <w:color w:val="000000" w:themeColor="text1"/>
          <w:szCs w:val="24"/>
          <w:u w:val="none"/>
        </w:rPr>
      </w:pPr>
    </w:p>
    <w:p w14:paraId="529E8B1B" w14:textId="55C10386" w:rsidR="004B31EC" w:rsidRPr="00EF3A3C" w:rsidRDefault="004B31EC" w:rsidP="00697230">
      <w:pPr>
        <w:pStyle w:val="ListParagraph"/>
        <w:numPr>
          <w:ilvl w:val="0"/>
          <w:numId w:val="20"/>
        </w:numPr>
        <w:spacing w:after="200" w:line="360" w:lineRule="auto"/>
        <w:jc w:val="center"/>
        <w:rPr>
          <w:rFonts w:ascii="Times New Roman" w:hAnsi="Times New Roman" w:cs="Times New Roman"/>
          <w:color w:val="000000" w:themeColor="text1"/>
          <w:szCs w:val="24"/>
        </w:rPr>
      </w:pPr>
      <w:r w:rsidRPr="00EF3A3C">
        <w:rPr>
          <w:rStyle w:val="Hyperlink"/>
          <w:rFonts w:ascii="Times New Roman" w:hAnsi="Times New Roman" w:cs="Times New Roman"/>
          <w:color w:val="000000" w:themeColor="text1"/>
          <w:szCs w:val="24"/>
          <w:u w:val="none"/>
        </w:rPr>
        <w:t>Percent</w:t>
      </w:r>
      <w:r w:rsidR="00513CC2">
        <w:rPr>
          <w:rStyle w:val="Hyperlink"/>
          <w:rFonts w:ascii="Times New Roman" w:hAnsi="Times New Roman" w:cs="Times New Roman"/>
          <w:color w:val="000000" w:themeColor="text1"/>
          <w:szCs w:val="24"/>
          <w:u w:val="none"/>
        </w:rPr>
        <w:t>age</w:t>
      </w:r>
      <w:r w:rsidRPr="00EF3A3C">
        <w:rPr>
          <w:rStyle w:val="Hyperlink"/>
          <w:rFonts w:ascii="Times New Roman" w:hAnsi="Times New Roman" w:cs="Times New Roman"/>
          <w:color w:val="000000" w:themeColor="text1"/>
          <w:szCs w:val="24"/>
          <w:u w:val="none"/>
        </w:rPr>
        <w:t xml:space="preserve"> reporting </w:t>
      </w:r>
      <w:r w:rsidR="00513CC2">
        <w:rPr>
          <w:rFonts w:ascii="Times New Roman" w:hAnsi="Times New Roman" w:cs="Times New Roman"/>
          <w:szCs w:val="24"/>
        </w:rPr>
        <w:t>d</w:t>
      </w:r>
      <w:r w:rsidR="00513CC2" w:rsidRPr="00EF3A3C">
        <w:rPr>
          <w:rFonts w:ascii="Times New Roman" w:hAnsi="Times New Roman" w:cs="Times New Roman"/>
          <w:szCs w:val="24"/>
        </w:rPr>
        <w:t>epression</w:t>
      </w:r>
      <w:r w:rsidRPr="00EF3A3C">
        <w:rPr>
          <w:rFonts w:ascii="Times New Roman" w:hAnsi="Times New Roman" w:cs="Times New Roman"/>
          <w:szCs w:val="24"/>
        </w:rPr>
        <w:t>, bad nerves</w:t>
      </w:r>
      <w:r>
        <w:rPr>
          <w:rFonts w:ascii="Times New Roman" w:hAnsi="Times New Roman" w:cs="Times New Roman"/>
          <w:szCs w:val="24"/>
        </w:rPr>
        <w:t>,</w:t>
      </w:r>
      <w:r w:rsidRPr="00EF3A3C">
        <w:rPr>
          <w:rFonts w:ascii="Times New Roman" w:hAnsi="Times New Roman" w:cs="Times New Roman"/>
          <w:szCs w:val="24"/>
        </w:rPr>
        <w:t xml:space="preserve"> anxiety</w:t>
      </w:r>
      <w:r>
        <w:rPr>
          <w:rFonts w:ascii="Times New Roman" w:hAnsi="Times New Roman" w:cs="Times New Roman"/>
          <w:szCs w:val="24"/>
        </w:rPr>
        <w:t xml:space="preserve"> or mental health problem</w:t>
      </w:r>
    </w:p>
    <w:p w14:paraId="274B71FD" w14:textId="27918685" w:rsidR="004B31EC" w:rsidRPr="00B23E5B" w:rsidRDefault="004B31EC" w:rsidP="004B31EC">
      <w:pPr>
        <w:spacing w:line="240" w:lineRule="auto"/>
        <w:jc w:val="both"/>
        <w:rPr>
          <w:rStyle w:val="Hyperlink"/>
          <w:rFonts w:ascii="Times New Roman" w:hAnsi="Times New Roman" w:cs="Times New Roman"/>
          <w:color w:val="000000" w:themeColor="text1"/>
          <w:sz w:val="20"/>
          <w:szCs w:val="20"/>
          <w:u w:val="none"/>
        </w:rPr>
      </w:pPr>
      <w:r>
        <w:rPr>
          <w:noProof/>
          <w:lang w:eastAsia="en-GB"/>
        </w:rPr>
        <w:drawing>
          <wp:inline distT="0" distB="0" distL="0" distR="0" wp14:anchorId="5DE1F56D" wp14:editId="409130E3">
            <wp:extent cx="6198781" cy="3668232"/>
            <wp:effectExtent l="0" t="0" r="0" b="8890"/>
            <wp:docPr id="27" name="Chart 27">
              <a:extLst xmlns:a="http://schemas.openxmlformats.org/drawingml/2006/main">
                <a:ext uri="{FF2B5EF4-FFF2-40B4-BE49-F238E27FC236}">
                  <a16:creationId xmlns:a16="http://schemas.microsoft.com/office/drawing/2014/main" id="{A52B2770-808F-4297-A99D-C958B633C60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rsidRPr="00B23E5B">
        <w:rPr>
          <w:rStyle w:val="Hyperlink"/>
          <w:rFonts w:ascii="Times New Roman" w:hAnsi="Times New Roman" w:cs="Times New Roman"/>
          <w:color w:val="000000" w:themeColor="text1"/>
          <w:sz w:val="20"/>
          <w:szCs w:val="20"/>
          <w:u w:val="none"/>
        </w:rPr>
        <w:t>Notes: Analysis based upon the Labour Force Survey (LFS). Figures refer to the percent</w:t>
      </w:r>
      <w:r w:rsidR="000E0673">
        <w:rPr>
          <w:rStyle w:val="Hyperlink"/>
          <w:rFonts w:ascii="Times New Roman" w:hAnsi="Times New Roman" w:cs="Times New Roman"/>
          <w:color w:val="000000" w:themeColor="text1"/>
          <w:sz w:val="20"/>
          <w:szCs w:val="20"/>
          <w:u w:val="none"/>
        </w:rPr>
        <w:t>age</w:t>
      </w:r>
      <w:r w:rsidRPr="00B23E5B">
        <w:rPr>
          <w:rStyle w:val="Hyperlink"/>
          <w:rFonts w:ascii="Times New Roman" w:hAnsi="Times New Roman" w:cs="Times New Roman"/>
          <w:color w:val="000000" w:themeColor="text1"/>
          <w:sz w:val="20"/>
          <w:szCs w:val="20"/>
          <w:u w:val="none"/>
        </w:rPr>
        <w:t xml:space="preserve"> of teachers reporting a </w:t>
      </w:r>
      <w:r w:rsidRPr="00B23E5B">
        <w:rPr>
          <w:rStyle w:val="Hyperlink"/>
          <w:rFonts w:ascii="Times New Roman" w:hAnsi="Times New Roman" w:cs="Times New Roman"/>
          <w:i/>
          <w:iCs/>
          <w:color w:val="000000" w:themeColor="text1"/>
          <w:sz w:val="20"/>
          <w:szCs w:val="20"/>
        </w:rPr>
        <w:t>long-lasting</w:t>
      </w:r>
      <w:r w:rsidRPr="00B23E5B">
        <w:rPr>
          <w:rStyle w:val="Hyperlink"/>
          <w:rFonts w:ascii="Times New Roman" w:hAnsi="Times New Roman" w:cs="Times New Roman"/>
          <w:color w:val="000000" w:themeColor="text1"/>
          <w:sz w:val="20"/>
          <w:szCs w:val="20"/>
          <w:u w:val="none"/>
        </w:rPr>
        <w:t xml:space="preserve"> health problem (which has lasted, or they expect to last, for at least 12 months). </w:t>
      </w:r>
    </w:p>
    <w:p w14:paraId="1460AEF6" w14:textId="77777777" w:rsidR="004B31EC" w:rsidRDefault="004B31EC" w:rsidP="004B31EC">
      <w:pPr>
        <w:jc w:val="both"/>
        <w:rPr>
          <w:rFonts w:ascii="Times New Roman" w:hAnsi="Times New Roman" w:cs="Times New Roman"/>
        </w:rPr>
      </w:pPr>
    </w:p>
    <w:p w14:paraId="2D85DDB6" w14:textId="6DEAC5EC" w:rsidR="005F7BBB" w:rsidRPr="004B31EC" w:rsidRDefault="004B31EC" w:rsidP="008B4E20">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We attempt to corroborate this argument in Figure 5.3 This plots the trend for the percentage of teachers in England who reported that their job had led them to develop an illness (or had made a pre-existing illness worse) over the last year. Note that the sample size is much smaller for this part of our analysis, given that this question was only asked in one specific LFS quarter. The results nevertheless do little to suggest that there has been a substantial increase since 2006 in the proportion of teachers reporting that their job has made them ill or made an existing health problem worse. This holds true both in general</w:t>
      </w:r>
      <w:r w:rsidR="007D61F5">
        <w:rPr>
          <w:rFonts w:ascii="Times New Roman" w:hAnsi="Times New Roman" w:cs="Times New Roman"/>
          <w:sz w:val="24"/>
          <w:szCs w:val="24"/>
        </w:rPr>
        <w:t>,</w:t>
      </w:r>
      <w:r w:rsidRPr="004B31EC">
        <w:rPr>
          <w:rFonts w:ascii="Times New Roman" w:hAnsi="Times New Roman" w:cs="Times New Roman"/>
          <w:sz w:val="24"/>
          <w:szCs w:val="24"/>
        </w:rPr>
        <w:t xml:space="preserve"> panel </w:t>
      </w:r>
      <w:r w:rsidR="00195ECB">
        <w:rPr>
          <w:rFonts w:ascii="Times New Roman" w:hAnsi="Times New Roman" w:cs="Times New Roman"/>
          <w:sz w:val="24"/>
          <w:szCs w:val="24"/>
        </w:rPr>
        <w:t>(</w:t>
      </w:r>
      <w:r w:rsidRPr="004B31EC">
        <w:rPr>
          <w:rFonts w:ascii="Times New Roman" w:hAnsi="Times New Roman" w:cs="Times New Roman"/>
          <w:sz w:val="24"/>
          <w:szCs w:val="24"/>
        </w:rPr>
        <w:t>a)</w:t>
      </w:r>
      <w:r w:rsidR="00195ECB">
        <w:rPr>
          <w:rFonts w:ascii="Times New Roman" w:hAnsi="Times New Roman" w:cs="Times New Roman"/>
          <w:sz w:val="24"/>
          <w:szCs w:val="24"/>
        </w:rPr>
        <w:t>,</w:t>
      </w:r>
      <w:r w:rsidRPr="004B31EC">
        <w:rPr>
          <w:rFonts w:ascii="Times New Roman" w:hAnsi="Times New Roman" w:cs="Times New Roman"/>
          <w:sz w:val="24"/>
          <w:szCs w:val="24"/>
        </w:rPr>
        <w:t xml:space="preserve"> and specifically for depression</w:t>
      </w:r>
      <w:r w:rsidR="00195ECB">
        <w:rPr>
          <w:rFonts w:ascii="Times New Roman" w:hAnsi="Times New Roman" w:cs="Times New Roman"/>
          <w:sz w:val="24"/>
          <w:szCs w:val="24"/>
        </w:rPr>
        <w:t>,</w:t>
      </w:r>
      <w:r w:rsidRPr="004B31EC">
        <w:rPr>
          <w:rFonts w:ascii="Times New Roman" w:hAnsi="Times New Roman" w:cs="Times New Roman"/>
          <w:sz w:val="24"/>
          <w:szCs w:val="24"/>
        </w:rPr>
        <w:t xml:space="preserve"> panel </w:t>
      </w:r>
      <w:r w:rsidR="00195ECB">
        <w:rPr>
          <w:rFonts w:ascii="Times New Roman" w:hAnsi="Times New Roman" w:cs="Times New Roman"/>
          <w:sz w:val="24"/>
          <w:szCs w:val="24"/>
        </w:rPr>
        <w:t>(</w:t>
      </w:r>
      <w:r w:rsidRPr="004B31EC">
        <w:rPr>
          <w:rFonts w:ascii="Times New Roman" w:hAnsi="Times New Roman" w:cs="Times New Roman"/>
          <w:sz w:val="24"/>
          <w:szCs w:val="24"/>
        </w:rPr>
        <w:t xml:space="preserve">b). Focusing on the latter, between 2006 and 2015 around 2-3% of teachers in England reported that their job had caused them to have a problem with depression, anxiety or stress. There was an increase in the figure to around 4% in 2016 and 2017, though one should not </w:t>
      </w:r>
      <w:proofErr w:type="spellStart"/>
      <w:r w:rsidRPr="004B31EC">
        <w:rPr>
          <w:rFonts w:ascii="Times New Roman" w:hAnsi="Times New Roman" w:cs="Times New Roman"/>
          <w:sz w:val="24"/>
          <w:szCs w:val="24"/>
        </w:rPr>
        <w:t>overinterpret</w:t>
      </w:r>
      <w:proofErr w:type="spellEnd"/>
      <w:r w:rsidRPr="004B31EC">
        <w:rPr>
          <w:rFonts w:ascii="Times New Roman" w:hAnsi="Times New Roman" w:cs="Times New Roman"/>
          <w:sz w:val="24"/>
          <w:szCs w:val="24"/>
        </w:rPr>
        <w:t xml:space="preserve"> this small change, particularly given the limited sample size. A broadly stable trend over time can also be observed for each of the other comparator occupations. Put in the context of </w:t>
      </w:r>
      <w:r w:rsidR="00AF1C6A">
        <w:rPr>
          <w:rFonts w:ascii="Times New Roman" w:hAnsi="Times New Roman" w:cs="Times New Roman"/>
          <w:sz w:val="24"/>
          <w:szCs w:val="24"/>
        </w:rPr>
        <w:t xml:space="preserve">the </w:t>
      </w:r>
      <w:r w:rsidRPr="004B31EC">
        <w:rPr>
          <w:rFonts w:ascii="Times New Roman" w:hAnsi="Times New Roman" w:cs="Times New Roman"/>
          <w:sz w:val="24"/>
          <w:szCs w:val="24"/>
        </w:rPr>
        <w:t>findings</w:t>
      </w:r>
      <w:r w:rsidR="00AF1C6A">
        <w:rPr>
          <w:rFonts w:ascii="Times New Roman" w:hAnsi="Times New Roman" w:cs="Times New Roman"/>
          <w:sz w:val="24"/>
          <w:szCs w:val="24"/>
        </w:rPr>
        <w:t xml:space="preserve"> presented above (e.g. Figure 5.2)</w:t>
      </w:r>
      <w:r w:rsidRPr="004B31EC">
        <w:rPr>
          <w:rFonts w:ascii="Times New Roman" w:hAnsi="Times New Roman" w:cs="Times New Roman"/>
          <w:sz w:val="24"/>
          <w:szCs w:val="24"/>
        </w:rPr>
        <w:t xml:space="preserve">, although there has been an increase in reported mental health problems amongst teachers (and workers in other occupations) recently, there has been little change in the proportion who suggest that this has been caused or aggravated by their job. We again believe that this is consistent with our interpretation that the recent rise in mental health issues observed in the LFS is likely to be due to previously undiagnosed or unrecognised mental health problems that are now being reported. </w:t>
      </w:r>
    </w:p>
    <w:p w14:paraId="0929A6F0" w14:textId="62B7D0E3" w:rsidR="004B31EC" w:rsidRDefault="004B31EC" w:rsidP="004B31EC">
      <w:pPr>
        <w:spacing w:after="0" w:line="240" w:lineRule="auto"/>
        <w:jc w:val="center"/>
        <w:rPr>
          <w:rStyle w:val="Hyperlink"/>
          <w:rFonts w:ascii="Times New Roman" w:hAnsi="Times New Roman" w:cs="Times New Roman"/>
          <w:b/>
          <w:bCs/>
          <w:color w:val="000000" w:themeColor="text1"/>
          <w:sz w:val="24"/>
          <w:szCs w:val="24"/>
          <w:u w:val="none"/>
        </w:rPr>
      </w:pPr>
      <w:r w:rsidRPr="004B31EC">
        <w:rPr>
          <w:rStyle w:val="Hyperlink"/>
          <w:rFonts w:ascii="Times New Roman" w:hAnsi="Times New Roman" w:cs="Times New Roman"/>
          <w:b/>
          <w:bCs/>
          <w:color w:val="000000" w:themeColor="text1"/>
          <w:sz w:val="24"/>
          <w:szCs w:val="24"/>
          <w:u w:val="none"/>
        </w:rPr>
        <w:t xml:space="preserve">Figure 5.3 </w:t>
      </w:r>
      <w:proofErr w:type="gramStart"/>
      <w:r w:rsidRPr="004B31EC">
        <w:rPr>
          <w:rStyle w:val="Hyperlink"/>
          <w:rFonts w:ascii="Times New Roman" w:hAnsi="Times New Roman" w:cs="Times New Roman"/>
          <w:b/>
          <w:bCs/>
          <w:color w:val="000000" w:themeColor="text1"/>
          <w:sz w:val="24"/>
          <w:szCs w:val="24"/>
          <w:u w:val="none"/>
        </w:rPr>
        <w:t>The</w:t>
      </w:r>
      <w:proofErr w:type="gramEnd"/>
      <w:r w:rsidRPr="004B31EC">
        <w:rPr>
          <w:rStyle w:val="Hyperlink"/>
          <w:rFonts w:ascii="Times New Roman" w:hAnsi="Times New Roman" w:cs="Times New Roman"/>
          <w:b/>
          <w:bCs/>
          <w:color w:val="000000" w:themeColor="text1"/>
          <w:sz w:val="24"/>
          <w:szCs w:val="24"/>
          <w:u w:val="none"/>
        </w:rPr>
        <w:t xml:space="preserve"> percentage of teachers in England reporting that they have an illness or injury that has been caused or made worse by their job. Trends between 2004 and 2018.</w:t>
      </w:r>
    </w:p>
    <w:p w14:paraId="592556A0" w14:textId="77777777" w:rsidR="00042902" w:rsidRPr="004B31EC" w:rsidRDefault="00042902" w:rsidP="004B31EC">
      <w:pPr>
        <w:spacing w:after="0" w:line="240" w:lineRule="auto"/>
        <w:jc w:val="center"/>
        <w:rPr>
          <w:rStyle w:val="Hyperlink"/>
          <w:rFonts w:ascii="Times New Roman" w:hAnsi="Times New Roman" w:cs="Times New Roman"/>
          <w:b/>
          <w:bCs/>
          <w:color w:val="000000" w:themeColor="text1"/>
          <w:sz w:val="24"/>
          <w:szCs w:val="24"/>
          <w:u w:val="none"/>
        </w:rPr>
      </w:pPr>
    </w:p>
    <w:p w14:paraId="1DF603E8" w14:textId="77777777" w:rsidR="004B31EC" w:rsidRDefault="004B31EC" w:rsidP="00697230">
      <w:pPr>
        <w:pStyle w:val="ListParagraph"/>
        <w:numPr>
          <w:ilvl w:val="0"/>
          <w:numId w:val="21"/>
        </w:numPr>
        <w:spacing w:after="0" w:line="240" w:lineRule="auto"/>
        <w:jc w:val="center"/>
        <w:rPr>
          <w:rStyle w:val="Hyperlink"/>
          <w:rFonts w:ascii="Times New Roman" w:hAnsi="Times New Roman" w:cs="Times New Roman"/>
          <w:color w:val="000000" w:themeColor="text1"/>
          <w:szCs w:val="24"/>
          <w:u w:val="none"/>
        </w:rPr>
      </w:pPr>
      <w:r>
        <w:rPr>
          <w:rStyle w:val="Hyperlink"/>
          <w:rFonts w:ascii="Times New Roman" w:hAnsi="Times New Roman" w:cs="Times New Roman"/>
          <w:color w:val="000000" w:themeColor="text1"/>
          <w:szCs w:val="24"/>
          <w:u w:val="none"/>
        </w:rPr>
        <w:t>% illness made worse or caused by job</w:t>
      </w:r>
    </w:p>
    <w:p w14:paraId="02009009" w14:textId="77777777" w:rsidR="004B31EC" w:rsidRPr="002765C8" w:rsidRDefault="004B31EC" w:rsidP="004B31EC">
      <w:pPr>
        <w:spacing w:after="0" w:line="240" w:lineRule="auto"/>
        <w:rPr>
          <w:rStyle w:val="Hyperlink"/>
          <w:rFonts w:ascii="Times New Roman" w:hAnsi="Times New Roman" w:cs="Times New Roman"/>
          <w:color w:val="000000" w:themeColor="text1"/>
          <w:szCs w:val="24"/>
          <w:u w:val="none"/>
        </w:rPr>
      </w:pPr>
      <w:r>
        <w:rPr>
          <w:noProof/>
          <w:lang w:eastAsia="en-GB"/>
        </w:rPr>
        <w:drawing>
          <wp:inline distT="0" distB="0" distL="0" distR="0" wp14:anchorId="1D0D4996" wp14:editId="50B55BB6">
            <wp:extent cx="5791200" cy="3057525"/>
            <wp:effectExtent l="0" t="0" r="0" b="0"/>
            <wp:docPr id="28" name="Chart 28">
              <a:extLst xmlns:a="http://schemas.openxmlformats.org/drawingml/2006/main">
                <a:ext uri="{FF2B5EF4-FFF2-40B4-BE49-F238E27FC236}">
                  <a16:creationId xmlns:a16="http://schemas.microsoft.com/office/drawing/2014/main" id="{2579D2C7-4319-4D84-B61F-7DFE607E37F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6AA257F3" w14:textId="77777777" w:rsidR="004B31EC" w:rsidRDefault="004B31EC" w:rsidP="00697230">
      <w:pPr>
        <w:pStyle w:val="ListParagraph"/>
        <w:numPr>
          <w:ilvl w:val="0"/>
          <w:numId w:val="21"/>
        </w:numPr>
        <w:spacing w:after="200" w:line="240" w:lineRule="auto"/>
        <w:jc w:val="center"/>
        <w:rPr>
          <w:rStyle w:val="Hyperlink"/>
          <w:rFonts w:ascii="Times New Roman" w:hAnsi="Times New Roman" w:cs="Times New Roman"/>
          <w:color w:val="000000" w:themeColor="text1"/>
          <w:szCs w:val="24"/>
          <w:u w:val="none"/>
        </w:rPr>
      </w:pPr>
      <w:r>
        <w:rPr>
          <w:rStyle w:val="Hyperlink"/>
          <w:rFonts w:ascii="Times New Roman" w:hAnsi="Times New Roman" w:cs="Times New Roman"/>
          <w:color w:val="000000" w:themeColor="text1"/>
          <w:szCs w:val="24"/>
          <w:u w:val="none"/>
        </w:rPr>
        <w:lastRenderedPageBreak/>
        <w:t>% depression caused by or made worse by job</w:t>
      </w:r>
    </w:p>
    <w:p w14:paraId="7114E556" w14:textId="77777777" w:rsidR="004B31EC" w:rsidRDefault="004B31EC" w:rsidP="004B31EC">
      <w:pPr>
        <w:spacing w:line="240" w:lineRule="auto"/>
        <w:rPr>
          <w:rStyle w:val="Hyperlink"/>
          <w:rFonts w:ascii="Times New Roman" w:hAnsi="Times New Roman" w:cs="Times New Roman"/>
          <w:color w:val="000000" w:themeColor="text1"/>
          <w:szCs w:val="24"/>
          <w:u w:val="none"/>
        </w:rPr>
      </w:pPr>
      <w:r>
        <w:rPr>
          <w:noProof/>
          <w:lang w:eastAsia="en-GB"/>
        </w:rPr>
        <w:drawing>
          <wp:inline distT="0" distB="0" distL="0" distR="0" wp14:anchorId="46F48F01" wp14:editId="4C48A189">
            <wp:extent cx="5991225" cy="3228975"/>
            <wp:effectExtent l="0" t="0" r="0" b="0"/>
            <wp:docPr id="29" name="Chart 29">
              <a:extLst xmlns:a="http://schemas.openxmlformats.org/drawingml/2006/main">
                <a:ext uri="{FF2B5EF4-FFF2-40B4-BE49-F238E27FC236}">
                  <a16:creationId xmlns:a16="http://schemas.microsoft.com/office/drawing/2014/main" id="{1524BCD4-39C0-4BA4-ADA5-6A553802CB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7162E7CF" w14:textId="40D592DF" w:rsidR="005D0431" w:rsidRPr="004B31EC" w:rsidRDefault="004B31EC" w:rsidP="008B4E20">
      <w:pPr>
        <w:spacing w:after="240" w:line="240" w:lineRule="auto"/>
        <w:jc w:val="both"/>
        <w:rPr>
          <w:rFonts w:ascii="Times New Roman" w:hAnsi="Times New Roman" w:cs="Times New Roman"/>
          <w:b/>
          <w:bCs/>
          <w:color w:val="000000" w:themeColor="text1"/>
          <w:sz w:val="20"/>
          <w:szCs w:val="20"/>
        </w:rPr>
      </w:pPr>
      <w:r w:rsidRPr="00DB6569">
        <w:rPr>
          <w:rStyle w:val="Hyperlink"/>
          <w:rFonts w:ascii="Times New Roman" w:hAnsi="Times New Roman" w:cs="Times New Roman"/>
          <w:color w:val="000000" w:themeColor="text1"/>
          <w:sz w:val="20"/>
          <w:szCs w:val="20"/>
          <w:u w:val="none"/>
        </w:rPr>
        <w:t>Notes: Analysis based upon the Labour Force Survey (LFS). Estimates presented for teachers (as broadly defined). Question not asked in 2013.</w:t>
      </w:r>
    </w:p>
    <w:p w14:paraId="77CE0472" w14:textId="77777777" w:rsidR="004B31EC" w:rsidRPr="004B31EC" w:rsidRDefault="004B31EC" w:rsidP="00221FC2">
      <w:pPr>
        <w:spacing w:line="360" w:lineRule="auto"/>
        <w:rPr>
          <w:rFonts w:ascii="Times New Roman" w:hAnsi="Times New Roman" w:cs="Times New Roman"/>
          <w:b/>
          <w:sz w:val="24"/>
          <w:szCs w:val="24"/>
        </w:rPr>
      </w:pPr>
      <w:r w:rsidRPr="004B31EC">
        <w:rPr>
          <w:rFonts w:ascii="Times New Roman" w:hAnsi="Times New Roman" w:cs="Times New Roman"/>
          <w:b/>
          <w:sz w:val="24"/>
          <w:szCs w:val="24"/>
        </w:rPr>
        <w:t>5.4 Annual Population Survey (APS) results</w:t>
      </w:r>
    </w:p>
    <w:p w14:paraId="358D8A11" w14:textId="5C7038E5"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Given the recent rise in reported mental health problems by teachers in the LFS, it is important we look at the period since 2010 in more detail. The APS allows us to establish whether there has also been a decline in the personal wellbeing of teachers (and other occupational groups) over this period. These results are presented in Figure 5.4, documenting how the percentage of teachers with high levels of anxiety and unhappiness, and low levels of life</w:t>
      </w:r>
      <w:r w:rsidR="008648AB">
        <w:rPr>
          <w:rFonts w:ascii="Times New Roman" w:hAnsi="Times New Roman" w:cs="Times New Roman"/>
          <w:sz w:val="24"/>
          <w:szCs w:val="24"/>
        </w:rPr>
        <w:t xml:space="preserve"> </w:t>
      </w:r>
      <w:r w:rsidRPr="004B31EC">
        <w:rPr>
          <w:rFonts w:ascii="Times New Roman" w:hAnsi="Times New Roman" w:cs="Times New Roman"/>
          <w:sz w:val="24"/>
          <w:szCs w:val="24"/>
        </w:rPr>
        <w:t>satisfaction and self-worth, changed between 2011 and 2018 (i.e. over the same period when reported mental health issues in the LFS rose).</w:t>
      </w:r>
    </w:p>
    <w:p w14:paraId="11F6835F" w14:textId="77777777"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In contrast to the results from the LFS, there has been no substantive change over time in the percentage of teachers in England reporting low levels of personal wellbeing. Each of the four trend lines plotted in Figure 5.4 are essentially flat, with no clear evidence of an increase or decrease over time. Similar results emerge from our analysis of average scores on the 11-point wellbeing scale and when we use matching or regression to account for potential changes in the demographic background characteristics of teachers over time. Again, we also find that the trend over time for teachers is similar to the trend observed for other professional workers. It is hence not the case that the personal wellbeing of teachers has remained stable, while for others the situation has improved. </w:t>
      </w:r>
    </w:p>
    <w:p w14:paraId="391A9B25" w14:textId="34483613" w:rsidR="004B31EC" w:rsidRPr="004B31EC" w:rsidRDefault="004B31EC" w:rsidP="004B31EC">
      <w:pPr>
        <w:spacing w:line="240" w:lineRule="auto"/>
        <w:jc w:val="center"/>
        <w:rPr>
          <w:rStyle w:val="Hyperlink"/>
          <w:rFonts w:ascii="Times New Roman" w:hAnsi="Times New Roman" w:cs="Times New Roman"/>
          <w:b/>
          <w:bCs/>
          <w:color w:val="000000" w:themeColor="text1"/>
          <w:sz w:val="24"/>
          <w:szCs w:val="24"/>
          <w:u w:val="none"/>
        </w:rPr>
      </w:pPr>
      <w:r w:rsidRPr="004B31EC">
        <w:rPr>
          <w:rStyle w:val="Hyperlink"/>
          <w:rFonts w:ascii="Times New Roman" w:hAnsi="Times New Roman" w:cs="Times New Roman"/>
          <w:b/>
          <w:bCs/>
          <w:color w:val="000000" w:themeColor="text1"/>
          <w:sz w:val="24"/>
          <w:szCs w:val="24"/>
          <w:u w:val="none"/>
        </w:rPr>
        <w:lastRenderedPageBreak/>
        <w:t xml:space="preserve">Figure 5.4 </w:t>
      </w:r>
      <w:proofErr w:type="gramStart"/>
      <w:r w:rsidRPr="004B31EC">
        <w:rPr>
          <w:rStyle w:val="Hyperlink"/>
          <w:rFonts w:ascii="Times New Roman" w:hAnsi="Times New Roman" w:cs="Times New Roman"/>
          <w:b/>
          <w:bCs/>
          <w:color w:val="000000" w:themeColor="text1"/>
          <w:sz w:val="24"/>
          <w:szCs w:val="24"/>
          <w:u w:val="none"/>
        </w:rPr>
        <w:t>The</w:t>
      </w:r>
      <w:proofErr w:type="gramEnd"/>
      <w:r w:rsidRPr="004B31EC">
        <w:rPr>
          <w:rStyle w:val="Hyperlink"/>
          <w:rFonts w:ascii="Times New Roman" w:hAnsi="Times New Roman" w:cs="Times New Roman"/>
          <w:b/>
          <w:bCs/>
          <w:color w:val="000000" w:themeColor="text1"/>
          <w:sz w:val="24"/>
          <w:szCs w:val="24"/>
          <w:u w:val="none"/>
        </w:rPr>
        <w:t xml:space="preserve"> percentage of teachers in England with poor personal wellbeing. Trends </w:t>
      </w:r>
      <w:proofErr w:type="gramStart"/>
      <w:r w:rsidRPr="004B31EC">
        <w:rPr>
          <w:rStyle w:val="Hyperlink"/>
          <w:rFonts w:ascii="Times New Roman" w:hAnsi="Times New Roman" w:cs="Times New Roman"/>
          <w:b/>
          <w:bCs/>
          <w:color w:val="000000" w:themeColor="text1"/>
          <w:sz w:val="24"/>
          <w:szCs w:val="24"/>
          <w:u w:val="none"/>
        </w:rPr>
        <w:t xml:space="preserve">between 2011 </w:t>
      </w:r>
      <w:r w:rsidR="00042902">
        <w:rPr>
          <w:rStyle w:val="Hyperlink"/>
          <w:rFonts w:ascii="Times New Roman" w:hAnsi="Times New Roman" w:cs="Times New Roman"/>
          <w:b/>
          <w:bCs/>
          <w:color w:val="000000" w:themeColor="text1"/>
          <w:sz w:val="24"/>
          <w:szCs w:val="24"/>
          <w:u w:val="none"/>
        </w:rPr>
        <w:t>–</w:t>
      </w:r>
      <w:r w:rsidRPr="004B31EC">
        <w:rPr>
          <w:rStyle w:val="Hyperlink"/>
          <w:rFonts w:ascii="Times New Roman" w:hAnsi="Times New Roman" w:cs="Times New Roman"/>
          <w:b/>
          <w:bCs/>
          <w:color w:val="000000" w:themeColor="text1"/>
          <w:sz w:val="24"/>
          <w:szCs w:val="24"/>
          <w:u w:val="none"/>
        </w:rPr>
        <w:t xml:space="preserve"> 2018</w:t>
      </w:r>
      <w:proofErr w:type="gramEnd"/>
      <w:r w:rsidR="00042902">
        <w:rPr>
          <w:rStyle w:val="Hyperlink"/>
          <w:rFonts w:ascii="Times New Roman" w:hAnsi="Times New Roman" w:cs="Times New Roman"/>
          <w:b/>
          <w:bCs/>
          <w:color w:val="000000" w:themeColor="text1"/>
          <w:sz w:val="24"/>
          <w:szCs w:val="24"/>
          <w:u w:val="none"/>
        </w:rPr>
        <w:t>.</w:t>
      </w:r>
    </w:p>
    <w:p w14:paraId="4CBEA6CB" w14:textId="77777777" w:rsidR="004B31EC" w:rsidRDefault="004B31EC" w:rsidP="004B31EC">
      <w:pPr>
        <w:rPr>
          <w:rStyle w:val="Hyperlink"/>
          <w:rFonts w:ascii="Times New Roman" w:hAnsi="Times New Roman" w:cs="Times New Roman"/>
          <w:szCs w:val="24"/>
          <w:u w:val="none"/>
        </w:rPr>
      </w:pPr>
      <w:r>
        <w:rPr>
          <w:noProof/>
          <w:lang w:eastAsia="en-GB"/>
        </w:rPr>
        <w:drawing>
          <wp:inline distT="0" distB="0" distL="0" distR="0" wp14:anchorId="51DD9E21" wp14:editId="3E08441C">
            <wp:extent cx="6296025" cy="3990975"/>
            <wp:effectExtent l="0" t="0" r="0" b="0"/>
            <wp:docPr id="31" name="Chart 31">
              <a:extLst xmlns:a="http://schemas.openxmlformats.org/drawingml/2006/main">
                <a:ext uri="{FF2B5EF4-FFF2-40B4-BE49-F238E27FC236}">
                  <a16:creationId xmlns:a16="http://schemas.microsoft.com/office/drawing/2014/main" id="{946B96A1-6055-46A0-AF2C-74252DF265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42DECD16" w14:textId="514F4A72" w:rsidR="004B31EC" w:rsidRDefault="004B31EC" w:rsidP="008B4E20">
      <w:pPr>
        <w:spacing w:after="240" w:line="240" w:lineRule="auto"/>
        <w:jc w:val="both"/>
        <w:rPr>
          <w:rFonts w:ascii="Times New Roman" w:hAnsi="Times New Roman" w:cs="Times New Roman"/>
        </w:rPr>
      </w:pPr>
      <w:r w:rsidRPr="00B23E5B">
        <w:rPr>
          <w:rStyle w:val="Hyperlink"/>
          <w:rFonts w:ascii="Times New Roman" w:hAnsi="Times New Roman" w:cs="Times New Roman"/>
          <w:color w:val="000000" w:themeColor="text1"/>
          <w:sz w:val="20"/>
          <w:szCs w:val="20"/>
          <w:u w:val="none"/>
        </w:rPr>
        <w:t>Notes: Figures refer to the percentage of teachers with high levels of anxiety, low levels of happiness, low levels of life satisfaction and low levels of self-worth. Analysis based upon the Annual Population Survey (APS).</w:t>
      </w:r>
    </w:p>
    <w:p w14:paraId="5F56B093" w14:textId="5267DBD0" w:rsidR="004B31EC" w:rsidRPr="004B31EC" w:rsidRDefault="004B31EC" w:rsidP="00221FC2">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Our overall interpretation of these results is that it points towards changing attitudes and acceptance of mental health problems in England. More people (both teachers and other professionals) are reporting long-run mental health problems than ever before. Yet, at the same time, there has been no simultaneous increase in the proportion of people who are anxious, unhappy, unsatisfied in life and feeling of little worth. This indicates that, although underlying levels of personal wellbeing are largely unchanged, people (including teachers) are more likely to recognise and report that they have a mental health problem.</w:t>
      </w:r>
    </w:p>
    <w:p w14:paraId="1BC0E759" w14:textId="77777777" w:rsidR="004B31EC" w:rsidRPr="004B31EC" w:rsidRDefault="004B31EC" w:rsidP="004B31EC">
      <w:pPr>
        <w:spacing w:line="360" w:lineRule="auto"/>
        <w:jc w:val="both"/>
        <w:rPr>
          <w:rFonts w:ascii="Times New Roman" w:hAnsi="Times New Roman" w:cs="Times New Roman"/>
          <w:b/>
          <w:sz w:val="24"/>
          <w:szCs w:val="24"/>
        </w:rPr>
      </w:pPr>
      <w:r w:rsidRPr="004B31EC">
        <w:rPr>
          <w:rFonts w:ascii="Times New Roman" w:hAnsi="Times New Roman" w:cs="Times New Roman"/>
          <w:b/>
          <w:sz w:val="24"/>
          <w:szCs w:val="24"/>
        </w:rPr>
        <w:t>5.5 Health Survey for England (HSE) results</w:t>
      </w:r>
    </w:p>
    <w:p w14:paraId="5278030B" w14:textId="435DEE47"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Figure 5.5 begins by plotting results for three of the HSE mental health and wellbeing measures that are available over a long period of time. Although there is some year-to-year fluctuation due to the small annual sample size</w:t>
      </w:r>
      <w:r w:rsidRPr="004B31EC">
        <w:rPr>
          <w:rStyle w:val="FootnoteReference"/>
          <w:rFonts w:ascii="Times New Roman" w:hAnsi="Times New Roman" w:cs="Times New Roman"/>
          <w:sz w:val="24"/>
          <w:szCs w:val="24"/>
        </w:rPr>
        <w:footnoteReference w:id="8"/>
      </w:r>
      <w:r w:rsidRPr="004B31EC">
        <w:rPr>
          <w:rFonts w:ascii="Times New Roman" w:hAnsi="Times New Roman" w:cs="Times New Roman"/>
          <w:sz w:val="24"/>
          <w:szCs w:val="24"/>
        </w:rPr>
        <w:t xml:space="preserve"> there is no clear trend in the percentage of education professionals with high GHQ scores (i.e. who are at risk of anxiety or depressive disorders). In </w:t>
      </w:r>
      <w:r w:rsidRPr="004B31EC">
        <w:rPr>
          <w:rFonts w:ascii="Times New Roman" w:hAnsi="Times New Roman" w:cs="Times New Roman"/>
          <w:sz w:val="24"/>
          <w:szCs w:val="24"/>
        </w:rPr>
        <w:lastRenderedPageBreak/>
        <w:t>the early 1990s, between 15</w:t>
      </w:r>
      <w:r w:rsidR="003C44F5">
        <w:rPr>
          <w:rFonts w:ascii="Times New Roman" w:hAnsi="Times New Roman" w:cs="Times New Roman"/>
          <w:sz w:val="24"/>
          <w:szCs w:val="24"/>
        </w:rPr>
        <w:t>-</w:t>
      </w:r>
      <w:r w:rsidRPr="004B31EC">
        <w:rPr>
          <w:rFonts w:ascii="Times New Roman" w:hAnsi="Times New Roman" w:cs="Times New Roman"/>
          <w:sz w:val="24"/>
          <w:szCs w:val="24"/>
        </w:rPr>
        <w:t>20</w:t>
      </w:r>
      <w:r w:rsidR="003C44F5">
        <w:rPr>
          <w:rFonts w:ascii="Times New Roman" w:hAnsi="Times New Roman" w:cs="Times New Roman"/>
          <w:sz w:val="24"/>
          <w:szCs w:val="24"/>
        </w:rPr>
        <w:t>%</w:t>
      </w:r>
      <w:r w:rsidRPr="004B31EC">
        <w:rPr>
          <w:rFonts w:ascii="Times New Roman" w:hAnsi="Times New Roman" w:cs="Times New Roman"/>
          <w:sz w:val="24"/>
          <w:szCs w:val="24"/>
        </w:rPr>
        <w:t xml:space="preserve"> of education professionals had elevated GHQ scores. A similar figure could be observed in the early 2000s, with little suggestion this has changed up to today (2018).</w:t>
      </w:r>
    </w:p>
    <w:p w14:paraId="6119A24C" w14:textId="058B00D3" w:rsidR="004B31EC" w:rsidRPr="004B31EC" w:rsidRDefault="004B31EC" w:rsidP="004B31EC">
      <w:pPr>
        <w:spacing w:line="240" w:lineRule="auto"/>
        <w:jc w:val="center"/>
        <w:rPr>
          <w:rStyle w:val="Hyperlink"/>
          <w:rFonts w:ascii="Times New Roman" w:hAnsi="Times New Roman" w:cs="Times New Roman"/>
          <w:b/>
          <w:bCs/>
          <w:color w:val="000000" w:themeColor="text1"/>
          <w:sz w:val="24"/>
          <w:szCs w:val="24"/>
          <w:u w:val="none"/>
        </w:rPr>
      </w:pPr>
      <w:r w:rsidRPr="004B31EC">
        <w:rPr>
          <w:rStyle w:val="Hyperlink"/>
          <w:rFonts w:ascii="Times New Roman" w:hAnsi="Times New Roman" w:cs="Times New Roman"/>
          <w:b/>
          <w:bCs/>
          <w:color w:val="000000" w:themeColor="text1"/>
          <w:sz w:val="24"/>
          <w:szCs w:val="24"/>
          <w:u w:val="none"/>
        </w:rPr>
        <w:t>Figure 5.5 Trends in the mental health and wellbeing outcomes of education professionals. Evidence from Health Survey for England.</w:t>
      </w:r>
    </w:p>
    <w:p w14:paraId="2F742DA1" w14:textId="77777777" w:rsidR="004B31EC" w:rsidRDefault="004B31EC" w:rsidP="004B31EC">
      <w:pPr>
        <w:jc w:val="center"/>
        <w:rPr>
          <w:rStyle w:val="Hyperlink"/>
          <w:rFonts w:ascii="Times New Roman" w:hAnsi="Times New Roman" w:cs="Times New Roman"/>
          <w:szCs w:val="24"/>
          <w:u w:val="none"/>
        </w:rPr>
      </w:pPr>
      <w:r>
        <w:rPr>
          <w:noProof/>
          <w:lang w:eastAsia="en-GB"/>
        </w:rPr>
        <w:drawing>
          <wp:inline distT="0" distB="0" distL="0" distR="0" wp14:anchorId="5E29C421" wp14:editId="03561DA7">
            <wp:extent cx="5895975" cy="3867150"/>
            <wp:effectExtent l="0" t="0" r="0" b="0"/>
            <wp:docPr id="32" name="Chart 32">
              <a:extLst xmlns:a="http://schemas.openxmlformats.org/drawingml/2006/main">
                <a:ext uri="{FF2B5EF4-FFF2-40B4-BE49-F238E27FC236}">
                  <a16:creationId xmlns:a16="http://schemas.microsoft.com/office/drawing/2014/main" id="{CFA63460-4AEE-4C51-814F-636A9E0A29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707422C" w14:textId="40AB5726" w:rsidR="004B31EC" w:rsidRPr="00B23E5B" w:rsidRDefault="004B31EC" w:rsidP="008B4E20">
      <w:pPr>
        <w:spacing w:after="240" w:line="240" w:lineRule="auto"/>
        <w:jc w:val="both"/>
        <w:rPr>
          <w:rStyle w:val="Hyperlink"/>
          <w:rFonts w:ascii="Times New Roman" w:hAnsi="Times New Roman" w:cs="Times New Roman"/>
          <w:color w:val="000000" w:themeColor="text1"/>
          <w:sz w:val="20"/>
          <w:szCs w:val="20"/>
          <w:u w:val="none"/>
        </w:rPr>
      </w:pPr>
      <w:r w:rsidRPr="00B23E5B">
        <w:rPr>
          <w:rStyle w:val="Hyperlink"/>
          <w:rFonts w:ascii="Times New Roman" w:hAnsi="Times New Roman" w:cs="Times New Roman"/>
          <w:color w:val="000000" w:themeColor="text1"/>
          <w:sz w:val="20"/>
          <w:szCs w:val="20"/>
          <w:u w:val="none"/>
        </w:rPr>
        <w:t>Notes: Figures refer to the percent</w:t>
      </w:r>
      <w:r w:rsidR="00DC73E8">
        <w:rPr>
          <w:rStyle w:val="Hyperlink"/>
          <w:rFonts w:ascii="Times New Roman" w:hAnsi="Times New Roman" w:cs="Times New Roman"/>
          <w:color w:val="000000" w:themeColor="text1"/>
          <w:sz w:val="20"/>
          <w:szCs w:val="20"/>
          <w:u w:val="none"/>
        </w:rPr>
        <w:t>age</w:t>
      </w:r>
      <w:r w:rsidRPr="00B23E5B">
        <w:rPr>
          <w:rStyle w:val="Hyperlink"/>
          <w:rFonts w:ascii="Times New Roman" w:hAnsi="Times New Roman" w:cs="Times New Roman"/>
          <w:color w:val="000000" w:themeColor="text1"/>
          <w:sz w:val="20"/>
          <w:szCs w:val="20"/>
          <w:u w:val="none"/>
        </w:rPr>
        <w:t xml:space="preserve"> of education professionals with high GHQ scores (squares), </w:t>
      </w:r>
      <w:r w:rsidR="00C662F2">
        <w:rPr>
          <w:rStyle w:val="Hyperlink"/>
          <w:rFonts w:ascii="Times New Roman" w:hAnsi="Times New Roman" w:cs="Times New Roman"/>
          <w:color w:val="000000" w:themeColor="text1"/>
          <w:sz w:val="20"/>
          <w:szCs w:val="20"/>
          <w:u w:val="none"/>
        </w:rPr>
        <w:t xml:space="preserve">who </w:t>
      </w:r>
      <w:r w:rsidRPr="00B23E5B">
        <w:rPr>
          <w:rStyle w:val="Hyperlink"/>
          <w:rFonts w:ascii="Times New Roman" w:hAnsi="Times New Roman" w:cs="Times New Roman"/>
          <w:color w:val="000000" w:themeColor="text1"/>
          <w:sz w:val="20"/>
          <w:szCs w:val="20"/>
          <w:u w:val="none"/>
        </w:rPr>
        <w:t xml:space="preserve">have had a mental health issue diagnosed (circles) and </w:t>
      </w:r>
      <w:r w:rsidR="00C662F2">
        <w:rPr>
          <w:rStyle w:val="Hyperlink"/>
          <w:rFonts w:ascii="Times New Roman" w:hAnsi="Times New Roman" w:cs="Times New Roman"/>
          <w:color w:val="000000" w:themeColor="text1"/>
          <w:sz w:val="20"/>
          <w:szCs w:val="20"/>
          <w:u w:val="none"/>
        </w:rPr>
        <w:t xml:space="preserve">who </w:t>
      </w:r>
      <w:r w:rsidRPr="00B23E5B">
        <w:rPr>
          <w:rStyle w:val="Hyperlink"/>
          <w:rFonts w:ascii="Times New Roman" w:hAnsi="Times New Roman" w:cs="Times New Roman"/>
          <w:color w:val="000000" w:themeColor="text1"/>
          <w:sz w:val="20"/>
          <w:szCs w:val="20"/>
          <w:u w:val="none"/>
        </w:rPr>
        <w:t xml:space="preserve">have been prescribed antidepressants (crosses). </w:t>
      </w:r>
      <w:r w:rsidRPr="00B23E5B">
        <w:rPr>
          <w:rFonts w:ascii="Times New Roman" w:hAnsi="Times New Roman" w:cs="Times New Roman"/>
          <w:sz w:val="20"/>
          <w:szCs w:val="20"/>
        </w:rPr>
        <w:t xml:space="preserve">For 1994, 1995, 1996 and 1999 it is not possible to identify either teachers or education professionals, as not sufficiently detailed </w:t>
      </w:r>
      <w:r>
        <w:rPr>
          <w:rFonts w:ascii="Times New Roman" w:hAnsi="Times New Roman" w:cs="Times New Roman"/>
          <w:sz w:val="20"/>
          <w:szCs w:val="20"/>
        </w:rPr>
        <w:t>occupation</w:t>
      </w:r>
      <w:r w:rsidRPr="00B23E5B">
        <w:rPr>
          <w:rFonts w:ascii="Times New Roman" w:hAnsi="Times New Roman" w:cs="Times New Roman"/>
          <w:sz w:val="20"/>
          <w:szCs w:val="20"/>
        </w:rPr>
        <w:t xml:space="preserve"> codes are available in the HSE dataset. Estimates are therefore not presented for these years. </w:t>
      </w:r>
      <w:r w:rsidRPr="00B23E5B">
        <w:rPr>
          <w:rStyle w:val="Hyperlink"/>
          <w:rFonts w:ascii="Times New Roman" w:hAnsi="Times New Roman" w:cs="Times New Roman"/>
          <w:color w:val="000000" w:themeColor="text1"/>
          <w:sz w:val="20"/>
          <w:szCs w:val="20"/>
          <w:u w:val="none"/>
        </w:rPr>
        <w:t xml:space="preserve"> Markers indicate the years where data is available. </w:t>
      </w:r>
      <w:r w:rsidR="0067647D" w:rsidRPr="00C15BFD">
        <w:rPr>
          <w:rFonts w:ascii="Times New Roman" w:hAnsi="Times New Roman" w:cs="Times New Roman"/>
          <w:sz w:val="20"/>
          <w:szCs w:val="20"/>
        </w:rPr>
        <w:t xml:space="preserve">Source = authors’ analysis of </w:t>
      </w:r>
      <w:r w:rsidR="0067647D">
        <w:rPr>
          <w:rFonts w:ascii="Times New Roman" w:hAnsi="Times New Roman" w:cs="Times New Roman"/>
          <w:sz w:val="20"/>
          <w:szCs w:val="20"/>
        </w:rPr>
        <w:t>the Health Survey for England dataset</w:t>
      </w:r>
      <w:r w:rsidR="0067647D" w:rsidRPr="00C15BFD">
        <w:rPr>
          <w:rFonts w:ascii="Times New Roman" w:hAnsi="Times New Roman" w:cs="Times New Roman"/>
          <w:sz w:val="20"/>
          <w:szCs w:val="20"/>
        </w:rPr>
        <w:t>.</w:t>
      </w:r>
    </w:p>
    <w:p w14:paraId="7DC944DD" w14:textId="0BDB9BD5"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There is however some suggestion that there has been an increase in the proportion of education professionals diagnosed with a mental health condition and who have been prescribed with antidepressant medication. In the early 1990s, we estimate that around </w:t>
      </w:r>
      <w:r w:rsidR="00A048DB">
        <w:rPr>
          <w:rFonts w:ascii="Times New Roman" w:hAnsi="Times New Roman" w:cs="Times New Roman"/>
          <w:sz w:val="24"/>
          <w:szCs w:val="24"/>
        </w:rPr>
        <w:t>3%</w:t>
      </w:r>
      <w:r w:rsidRPr="004B31EC">
        <w:rPr>
          <w:rFonts w:ascii="Times New Roman" w:hAnsi="Times New Roman" w:cs="Times New Roman"/>
          <w:sz w:val="24"/>
          <w:szCs w:val="24"/>
        </w:rPr>
        <w:t xml:space="preserve"> of education professionals were prescribed antidepressants, which rose to around </w:t>
      </w:r>
      <w:r w:rsidR="00A048DB">
        <w:rPr>
          <w:rFonts w:ascii="Times New Roman" w:hAnsi="Times New Roman" w:cs="Times New Roman"/>
          <w:sz w:val="24"/>
          <w:szCs w:val="24"/>
        </w:rPr>
        <w:t>5%</w:t>
      </w:r>
      <w:r w:rsidRPr="004B31EC">
        <w:rPr>
          <w:rFonts w:ascii="Times New Roman" w:hAnsi="Times New Roman" w:cs="Times New Roman"/>
          <w:sz w:val="24"/>
          <w:szCs w:val="24"/>
        </w:rPr>
        <w:t xml:space="preserve"> by the mid-2000s. Over the last decade this has risen further, to reach around </w:t>
      </w:r>
      <w:r w:rsidR="00A048DB">
        <w:rPr>
          <w:rFonts w:ascii="Times New Roman" w:hAnsi="Times New Roman" w:cs="Times New Roman"/>
          <w:sz w:val="24"/>
          <w:szCs w:val="24"/>
        </w:rPr>
        <w:t>7-8%</w:t>
      </w:r>
      <w:r w:rsidRPr="004B31EC">
        <w:rPr>
          <w:rFonts w:ascii="Times New Roman" w:hAnsi="Times New Roman" w:cs="Times New Roman"/>
          <w:sz w:val="24"/>
          <w:szCs w:val="24"/>
        </w:rPr>
        <w:t xml:space="preserve"> of the education profession today. A similar, though slightly less pronounced, pattern can also be observed in long-lasting mental health problems reported by education professionals over this period. This is consistent with results from the LFS, where we observed an increase in the percent</w:t>
      </w:r>
      <w:r w:rsidR="00A048DB">
        <w:rPr>
          <w:rFonts w:ascii="Times New Roman" w:hAnsi="Times New Roman" w:cs="Times New Roman"/>
          <w:sz w:val="24"/>
          <w:szCs w:val="24"/>
        </w:rPr>
        <w:t>age</w:t>
      </w:r>
      <w:r w:rsidRPr="004B31EC">
        <w:rPr>
          <w:rFonts w:ascii="Times New Roman" w:hAnsi="Times New Roman" w:cs="Times New Roman"/>
          <w:sz w:val="24"/>
          <w:szCs w:val="24"/>
        </w:rPr>
        <w:t xml:space="preserve"> of teachers reporting long-lasting mental health problems (particularly in recent years).</w:t>
      </w:r>
    </w:p>
    <w:p w14:paraId="2D63BDCF" w14:textId="77777777" w:rsidR="004B31EC"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lastRenderedPageBreak/>
        <w:t xml:space="preserve">Is this increasing use of antidepressants specific to education professionals? Or can a similar pattern also be observed amongst other professional groups? The answer can be found in Figure 5.6, where the trend in GHQ scores and prescription of antidepressant medications is compared between education and other professionals. </w:t>
      </w:r>
    </w:p>
    <w:p w14:paraId="66757AD9" w14:textId="02F6005E" w:rsidR="004B31EC" w:rsidRPr="004B31EC" w:rsidRDefault="004B31EC" w:rsidP="004B31EC">
      <w:pPr>
        <w:spacing w:line="240" w:lineRule="auto"/>
        <w:jc w:val="center"/>
        <w:rPr>
          <w:rStyle w:val="Hyperlink"/>
          <w:rFonts w:ascii="Times New Roman" w:hAnsi="Times New Roman" w:cs="Times New Roman"/>
          <w:b/>
          <w:bCs/>
          <w:color w:val="000000" w:themeColor="text1"/>
          <w:sz w:val="24"/>
          <w:szCs w:val="24"/>
          <w:u w:val="none"/>
        </w:rPr>
      </w:pPr>
      <w:r w:rsidRPr="004B31EC">
        <w:rPr>
          <w:rStyle w:val="Hyperlink"/>
          <w:rFonts w:ascii="Times New Roman" w:hAnsi="Times New Roman" w:cs="Times New Roman"/>
          <w:b/>
          <w:bCs/>
          <w:color w:val="000000" w:themeColor="text1"/>
          <w:sz w:val="24"/>
          <w:szCs w:val="24"/>
          <w:u w:val="none"/>
        </w:rPr>
        <w:t xml:space="preserve">Figure 5.6 </w:t>
      </w:r>
      <w:proofErr w:type="gramStart"/>
      <w:r w:rsidRPr="004B31EC">
        <w:rPr>
          <w:rStyle w:val="Hyperlink"/>
          <w:rFonts w:ascii="Times New Roman" w:hAnsi="Times New Roman" w:cs="Times New Roman"/>
          <w:b/>
          <w:bCs/>
          <w:color w:val="000000" w:themeColor="text1"/>
          <w:sz w:val="24"/>
          <w:szCs w:val="24"/>
          <w:u w:val="none"/>
        </w:rPr>
        <w:t>The</w:t>
      </w:r>
      <w:proofErr w:type="gramEnd"/>
      <w:r w:rsidRPr="004B31EC">
        <w:rPr>
          <w:rStyle w:val="Hyperlink"/>
          <w:rFonts w:ascii="Times New Roman" w:hAnsi="Times New Roman" w:cs="Times New Roman"/>
          <w:b/>
          <w:bCs/>
          <w:color w:val="000000" w:themeColor="text1"/>
          <w:sz w:val="24"/>
          <w:szCs w:val="24"/>
          <w:u w:val="none"/>
        </w:rPr>
        <w:t xml:space="preserve"> trend in GHQ scores and prescription of antidepressants. Education professionals compared to other professionals in Health Survey for England.</w:t>
      </w:r>
    </w:p>
    <w:p w14:paraId="43F6D011" w14:textId="3278BC4A" w:rsidR="004B31EC" w:rsidRPr="00B23E5B" w:rsidRDefault="004B31EC" w:rsidP="008B4E20">
      <w:pPr>
        <w:spacing w:after="240" w:line="240" w:lineRule="auto"/>
        <w:rPr>
          <w:rFonts w:ascii="Times New Roman" w:hAnsi="Times New Roman" w:cs="Times New Roman"/>
          <w:color w:val="0000FF"/>
          <w:szCs w:val="24"/>
        </w:rPr>
      </w:pPr>
      <w:r>
        <w:rPr>
          <w:noProof/>
          <w:lang w:eastAsia="en-GB"/>
        </w:rPr>
        <w:drawing>
          <wp:inline distT="0" distB="0" distL="0" distR="0" wp14:anchorId="19BC4638" wp14:editId="66DE8ECF">
            <wp:extent cx="5972175" cy="3867150"/>
            <wp:effectExtent l="0" t="0" r="0" b="0"/>
            <wp:docPr id="33" name="Chart 33">
              <a:extLst xmlns:a="http://schemas.openxmlformats.org/drawingml/2006/main">
                <a:ext uri="{FF2B5EF4-FFF2-40B4-BE49-F238E27FC236}">
                  <a16:creationId xmlns:a16="http://schemas.microsoft.com/office/drawing/2014/main" id="{032F0166-8E3B-4E59-AECE-478CE0DCB2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r w:rsidRPr="00B23E5B">
        <w:rPr>
          <w:rStyle w:val="Hyperlink"/>
          <w:rFonts w:ascii="Times New Roman" w:hAnsi="Times New Roman" w:cs="Times New Roman"/>
          <w:color w:val="000000" w:themeColor="text1"/>
          <w:sz w:val="20"/>
          <w:szCs w:val="20"/>
          <w:u w:val="none"/>
        </w:rPr>
        <w:t xml:space="preserve">Notes: Education professionals indicated with solid grey lines and filled markers; other professionals indicated with dashed lines and hollow markers. Results presented for antidepressants (squares) and for high GHQ scores (circles). </w:t>
      </w:r>
      <w:r w:rsidRPr="00B23E5B">
        <w:rPr>
          <w:rFonts w:ascii="Times New Roman" w:hAnsi="Times New Roman" w:cs="Times New Roman"/>
          <w:sz w:val="20"/>
          <w:szCs w:val="20"/>
        </w:rPr>
        <w:t xml:space="preserve">For 1994, 1995, 1996 and 1999 it is not possible to identify either teachers or education professionals, as not sufficiently detailed </w:t>
      </w:r>
      <w:r>
        <w:rPr>
          <w:rFonts w:ascii="Times New Roman" w:hAnsi="Times New Roman" w:cs="Times New Roman"/>
          <w:sz w:val="20"/>
          <w:szCs w:val="20"/>
        </w:rPr>
        <w:t>occupations</w:t>
      </w:r>
      <w:r w:rsidRPr="00B23E5B">
        <w:rPr>
          <w:rFonts w:ascii="Times New Roman" w:hAnsi="Times New Roman" w:cs="Times New Roman"/>
          <w:sz w:val="20"/>
          <w:szCs w:val="20"/>
        </w:rPr>
        <w:t xml:space="preserve"> codes are available in the HSE dataset. Estimates are therefore not presented for these years. </w:t>
      </w:r>
      <w:r w:rsidRPr="00B23E5B">
        <w:rPr>
          <w:rStyle w:val="Hyperlink"/>
          <w:rFonts w:ascii="Times New Roman" w:hAnsi="Times New Roman" w:cs="Times New Roman"/>
          <w:color w:val="000000" w:themeColor="text1"/>
          <w:sz w:val="20"/>
          <w:szCs w:val="20"/>
          <w:u w:val="none"/>
        </w:rPr>
        <w:t xml:space="preserve">Markers indicate the years where data is available. </w:t>
      </w:r>
      <w:r w:rsidR="003000FD" w:rsidRPr="00C15BFD">
        <w:rPr>
          <w:rFonts w:ascii="Times New Roman" w:hAnsi="Times New Roman" w:cs="Times New Roman"/>
          <w:sz w:val="20"/>
          <w:szCs w:val="20"/>
        </w:rPr>
        <w:t xml:space="preserve">Source = authors’ analysis of </w:t>
      </w:r>
      <w:r w:rsidR="003000FD">
        <w:rPr>
          <w:rFonts w:ascii="Times New Roman" w:hAnsi="Times New Roman" w:cs="Times New Roman"/>
          <w:sz w:val="20"/>
          <w:szCs w:val="20"/>
        </w:rPr>
        <w:t>the Health Survey for England dataset</w:t>
      </w:r>
      <w:r w:rsidR="003000FD" w:rsidRPr="00C15BFD">
        <w:rPr>
          <w:rFonts w:ascii="Times New Roman" w:hAnsi="Times New Roman" w:cs="Times New Roman"/>
          <w:sz w:val="20"/>
          <w:szCs w:val="20"/>
        </w:rPr>
        <w:t>.</w:t>
      </w:r>
    </w:p>
    <w:p w14:paraId="082378AB" w14:textId="5CDC27D1" w:rsidR="005D0431" w:rsidRPr="004B31EC" w:rsidRDefault="004B31EC" w:rsidP="004B31EC">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The increasing use of antidepressants amongst education professionals over the last 30 years broadly mirrors that for other professional groups; the lines with square markers in Figure 5.6 have a similar upward trend and sit close to each other. Similar findings again emerge with respect to the other mental health and wellbeing outcomes collected in HSE, including GHQ scores (as illustrated in Figure 5.6), WEMWBS mental wellbeing scores and the percent</w:t>
      </w:r>
      <w:r w:rsidR="008124DA">
        <w:rPr>
          <w:rFonts w:ascii="Times New Roman" w:hAnsi="Times New Roman" w:cs="Times New Roman"/>
          <w:sz w:val="24"/>
          <w:szCs w:val="24"/>
        </w:rPr>
        <w:t>age</w:t>
      </w:r>
      <w:r w:rsidRPr="004B31EC">
        <w:rPr>
          <w:rFonts w:ascii="Times New Roman" w:hAnsi="Times New Roman" w:cs="Times New Roman"/>
          <w:sz w:val="24"/>
          <w:szCs w:val="24"/>
        </w:rPr>
        <w:t xml:space="preserve"> of individuals diagnosed with a mental health issue. In each instance – and as per our results using the LFS and APS – the change over time observed for education professionals is similar to the change for other occupational groups. There is hence little evidence to suggest that individuals </w:t>
      </w:r>
      <w:r w:rsidRPr="004B31EC">
        <w:rPr>
          <w:rFonts w:ascii="Times New Roman" w:hAnsi="Times New Roman" w:cs="Times New Roman"/>
          <w:sz w:val="24"/>
          <w:szCs w:val="24"/>
        </w:rPr>
        <w:lastRenderedPageBreak/>
        <w:t xml:space="preserve">working in education have been particularly affected by an increase in mental health and wellbeing problems over recent years. </w:t>
      </w:r>
    </w:p>
    <w:p w14:paraId="7C87901B" w14:textId="77777777" w:rsidR="004B31EC" w:rsidRPr="004B31EC" w:rsidRDefault="004B31EC" w:rsidP="008B4E20">
      <w:pPr>
        <w:pStyle w:val="ListParagraph"/>
        <w:numPr>
          <w:ilvl w:val="1"/>
          <w:numId w:val="24"/>
        </w:numPr>
        <w:spacing w:line="360" w:lineRule="auto"/>
        <w:ind w:left="357" w:hanging="357"/>
        <w:jc w:val="both"/>
        <w:rPr>
          <w:rFonts w:ascii="Times New Roman" w:hAnsi="Times New Roman" w:cs="Times New Roman"/>
          <w:b/>
          <w:bCs/>
          <w:sz w:val="24"/>
          <w:szCs w:val="24"/>
        </w:rPr>
      </w:pPr>
      <w:r w:rsidRPr="004B31EC">
        <w:rPr>
          <w:rFonts w:ascii="Times New Roman" w:hAnsi="Times New Roman" w:cs="Times New Roman"/>
          <w:b/>
          <w:bCs/>
          <w:sz w:val="24"/>
          <w:szCs w:val="24"/>
        </w:rPr>
        <w:t>Summary</w:t>
      </w:r>
    </w:p>
    <w:p w14:paraId="3C0E9DBD" w14:textId="236D66D4" w:rsidR="004B31EC" w:rsidRDefault="004B31EC" w:rsidP="00F14950">
      <w:pPr>
        <w:spacing w:line="360" w:lineRule="auto"/>
        <w:jc w:val="both"/>
        <w:rPr>
          <w:rFonts w:ascii="Times New Roman" w:hAnsi="Times New Roman" w:cs="Times New Roman"/>
          <w:sz w:val="24"/>
          <w:szCs w:val="24"/>
        </w:rPr>
      </w:pPr>
      <w:r w:rsidRPr="004B31EC">
        <w:rPr>
          <w:rFonts w:ascii="Times New Roman" w:hAnsi="Times New Roman" w:cs="Times New Roman"/>
          <w:sz w:val="24"/>
          <w:szCs w:val="24"/>
        </w:rPr>
        <w:t xml:space="preserve">This chapter has illustrated how there has been an increase in the prevalence of long-lasting mental health problems reported by teachers over time, particularly the last decade. This has been accompanied by a recent rise in the percentage of education professionals who are taking prescribed antidepressant medication. At the same time, a range of widely used and validated instruments designed to measure personal wellbeing and depressive symptoms has remained broadly stable for teachers over the last 30 years. Moreover, the recent increase in mental health issues reported (and being treated) amongst teachers can also be observed for other professional groups. We consequently conclude that, although teachers are more likely to report mental health issues now and to get them treated, there is little evidence to suggest that actual levels of wellbeing and mental health amongst this group has declined - or that any trend is specific to those working in the education sector. </w:t>
      </w:r>
    </w:p>
    <w:p w14:paraId="74C76E17" w14:textId="7B99D70B" w:rsidR="001A10E6" w:rsidRDefault="001A10E6">
      <w:pPr>
        <w:spacing w:line="259" w:lineRule="auto"/>
        <w:rPr>
          <w:rFonts w:ascii="Times New Roman" w:eastAsiaTheme="majorEastAsia" w:hAnsi="Times New Roman" w:cs="Times New Roman"/>
          <w:b/>
          <w:color w:val="262626" w:themeColor="text1" w:themeTint="D9"/>
          <w:spacing w:val="-15"/>
          <w:sz w:val="24"/>
          <w:szCs w:val="24"/>
        </w:rPr>
      </w:pPr>
      <w:r>
        <w:rPr>
          <w:rFonts w:ascii="Times New Roman" w:hAnsi="Times New Roman" w:cs="Times New Roman"/>
          <w:sz w:val="24"/>
          <w:szCs w:val="24"/>
        </w:rPr>
        <w:br w:type="page"/>
      </w:r>
    </w:p>
    <w:p w14:paraId="4BAF4DEC" w14:textId="04F071F8" w:rsidR="007C75C5" w:rsidRDefault="007C75C5" w:rsidP="00221FC2">
      <w:pPr>
        <w:pStyle w:val="Heading1UCL"/>
        <w:rPr>
          <w:sz w:val="36"/>
          <w:szCs w:val="36"/>
          <w:lang w:eastAsia="en-GB"/>
        </w:rPr>
      </w:pPr>
      <w:bookmarkStart w:id="11" w:name="_Toc67406006"/>
      <w:bookmarkStart w:id="12" w:name="_Hlk20470878"/>
      <w:r>
        <w:rPr>
          <w:sz w:val="36"/>
          <w:szCs w:val="36"/>
          <w:lang w:eastAsia="en-GB"/>
        </w:rPr>
        <w:lastRenderedPageBreak/>
        <w:t xml:space="preserve">Chapter 6 </w:t>
      </w:r>
      <w:proofErr w:type="gramStart"/>
      <w:r>
        <w:rPr>
          <w:sz w:val="36"/>
          <w:szCs w:val="36"/>
          <w:lang w:eastAsia="en-GB"/>
        </w:rPr>
        <w:t>How</w:t>
      </w:r>
      <w:proofErr w:type="gramEnd"/>
      <w:r>
        <w:rPr>
          <w:sz w:val="36"/>
          <w:szCs w:val="36"/>
          <w:lang w:eastAsia="en-GB"/>
        </w:rPr>
        <w:t xml:space="preserve"> does unhappiness and anxiety amongst teachers in England vary over the academic year?</w:t>
      </w:r>
      <w:bookmarkEnd w:id="11"/>
    </w:p>
    <w:bookmarkEnd w:id="12"/>
    <w:p w14:paraId="1F4D2E41" w14:textId="77777777" w:rsidR="007C75C5" w:rsidRDefault="007C75C5" w:rsidP="007C75C5">
      <w:pPr>
        <w:jc w:val="both"/>
        <w:rPr>
          <w:rFonts w:ascii="Times New Roman" w:hAnsi="Times New Roman" w:cs="Times New Roman"/>
          <w:b/>
        </w:rPr>
      </w:pPr>
    </w:p>
    <w:p w14:paraId="6EF42D15" w14:textId="77777777" w:rsidR="007C75C5" w:rsidRPr="007C75C5" w:rsidRDefault="007C75C5" w:rsidP="007C75C5">
      <w:pPr>
        <w:spacing w:line="360" w:lineRule="auto"/>
        <w:jc w:val="both"/>
        <w:rPr>
          <w:rFonts w:ascii="Times New Roman" w:hAnsi="Times New Roman" w:cs="Times New Roman"/>
          <w:b/>
          <w:sz w:val="24"/>
          <w:szCs w:val="24"/>
        </w:rPr>
      </w:pPr>
      <w:r w:rsidRPr="007C75C5">
        <w:rPr>
          <w:rFonts w:ascii="Times New Roman" w:hAnsi="Times New Roman" w:cs="Times New Roman"/>
          <w:b/>
          <w:sz w:val="24"/>
          <w:szCs w:val="24"/>
        </w:rPr>
        <w:t>6.1 Introduction</w:t>
      </w:r>
    </w:p>
    <w:p w14:paraId="287264AF" w14:textId="6AF396E1"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In the previous chapter we considered a temporal dimension to teacher mental health and wellbeing, exploring how it has changed relative to other professional groups since the early 1990s. However, one can consider whether there is a temporal element to teachers’ mental health in other ways. In particular, note that the previous chapters have drawn upon survey data collected at a somewhat arbitrary point in the academic year. This is standard </w:t>
      </w:r>
      <w:r w:rsidR="00043CFB" w:rsidRPr="007C75C5">
        <w:rPr>
          <w:rFonts w:ascii="Times New Roman" w:hAnsi="Times New Roman" w:cs="Times New Roman"/>
          <w:sz w:val="24"/>
          <w:szCs w:val="24"/>
        </w:rPr>
        <w:t>practi</w:t>
      </w:r>
      <w:r w:rsidR="00043CFB">
        <w:rPr>
          <w:rFonts w:ascii="Times New Roman" w:hAnsi="Times New Roman" w:cs="Times New Roman"/>
          <w:sz w:val="24"/>
          <w:szCs w:val="24"/>
        </w:rPr>
        <w:t>c</w:t>
      </w:r>
      <w:r w:rsidR="00043CFB" w:rsidRPr="007C75C5">
        <w:rPr>
          <w:rFonts w:ascii="Times New Roman" w:hAnsi="Times New Roman" w:cs="Times New Roman"/>
          <w:sz w:val="24"/>
          <w:szCs w:val="24"/>
        </w:rPr>
        <w:t xml:space="preserve">e </w:t>
      </w:r>
      <w:r w:rsidRPr="007C75C5">
        <w:rPr>
          <w:rFonts w:ascii="Times New Roman" w:hAnsi="Times New Roman" w:cs="Times New Roman"/>
          <w:sz w:val="24"/>
          <w:szCs w:val="24"/>
        </w:rPr>
        <w:t>within this literature, with researchers drawing upon survey data from whenever the survey happened to be conducted. This means we currently have a very limited understanding about how teacher wellbeing varies over the course of an academic year – i.e. are there certain weeks or terms that are more stressful (with teachers more anxious and less happy) than others? This has important implications not only for our understanding of the epidemiology of teacher mental health, but also for practitioners looking to support teachers (i.e. when their services are most likely to be in demand) and for the design/timing of future data collections where teacher wellbeing is a key issue.</w:t>
      </w:r>
    </w:p>
    <w:p w14:paraId="478D5056" w14:textId="7AED5A1C"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There are also several reasons to suspect that the wellbeing of teachers may vary over the course of </w:t>
      </w:r>
      <w:r w:rsidR="001311FE">
        <w:rPr>
          <w:rFonts w:ascii="Times New Roman" w:hAnsi="Times New Roman" w:cs="Times New Roman"/>
          <w:sz w:val="24"/>
          <w:szCs w:val="24"/>
        </w:rPr>
        <w:t>a</w:t>
      </w:r>
      <w:r w:rsidR="00DD3896">
        <w:rPr>
          <w:rFonts w:ascii="Times New Roman" w:hAnsi="Times New Roman" w:cs="Times New Roman"/>
          <w:sz w:val="24"/>
          <w:szCs w:val="24"/>
        </w:rPr>
        <w:t xml:space="preserve"> </w:t>
      </w:r>
      <w:r w:rsidRPr="007C75C5">
        <w:rPr>
          <w:rFonts w:ascii="Times New Roman" w:hAnsi="Times New Roman" w:cs="Times New Roman"/>
          <w:sz w:val="24"/>
          <w:szCs w:val="24"/>
        </w:rPr>
        <w:t>year, including between term</w:t>
      </w:r>
      <w:r w:rsidR="00982DB9">
        <w:rPr>
          <w:rFonts w:ascii="Times New Roman" w:hAnsi="Times New Roman" w:cs="Times New Roman"/>
          <w:sz w:val="24"/>
          <w:szCs w:val="24"/>
        </w:rPr>
        <w:t xml:space="preserve"> </w:t>
      </w:r>
      <w:r w:rsidRPr="007C75C5">
        <w:rPr>
          <w:rFonts w:ascii="Times New Roman" w:hAnsi="Times New Roman" w:cs="Times New Roman"/>
          <w:sz w:val="24"/>
          <w:szCs w:val="24"/>
        </w:rPr>
        <w:t xml:space="preserve">time and school holidays. First, there could be variation in teacher workload, with marking, lesson planning and administration being more intensive at certain points during the year (see Chapter 9 for some empirical evidence on this issue). Such short-term workload pressures may lead to peaks and troughs in the stress and anxiety that teachers experience at certain </w:t>
      </w:r>
      <w:proofErr w:type="spellStart"/>
      <w:r w:rsidRPr="007C75C5">
        <w:rPr>
          <w:rFonts w:ascii="Times New Roman" w:hAnsi="Times New Roman" w:cs="Times New Roman"/>
          <w:sz w:val="24"/>
          <w:szCs w:val="24"/>
        </w:rPr>
        <w:t>timepoints</w:t>
      </w:r>
      <w:proofErr w:type="spellEnd"/>
      <w:r w:rsidRPr="007C75C5">
        <w:rPr>
          <w:rFonts w:ascii="Times New Roman" w:hAnsi="Times New Roman" w:cs="Times New Roman"/>
          <w:sz w:val="24"/>
          <w:szCs w:val="24"/>
        </w:rPr>
        <w:t>. Second, the build</w:t>
      </w:r>
      <w:r w:rsidR="001311FE">
        <w:rPr>
          <w:rFonts w:ascii="Times New Roman" w:hAnsi="Times New Roman" w:cs="Times New Roman"/>
          <w:sz w:val="24"/>
          <w:szCs w:val="24"/>
        </w:rPr>
        <w:t>-</w:t>
      </w:r>
      <w:r w:rsidRPr="007C75C5">
        <w:rPr>
          <w:rFonts w:ascii="Times New Roman" w:hAnsi="Times New Roman" w:cs="Times New Roman"/>
          <w:sz w:val="24"/>
          <w:szCs w:val="24"/>
        </w:rPr>
        <w:t xml:space="preserve">up to key events such as examinations may lead to heightened levels of anxiety and lower levels of teacher happiness, with teachers under increasing pressure from England’s high-stakes system of school accountability. Third, teachers may simply get worn down as they work their way through the school term. For instance, they may come back from the </w:t>
      </w:r>
      <w:r w:rsidR="00C31F02">
        <w:rPr>
          <w:rFonts w:ascii="Times New Roman" w:hAnsi="Times New Roman" w:cs="Times New Roman"/>
          <w:sz w:val="24"/>
          <w:szCs w:val="24"/>
        </w:rPr>
        <w:t>s</w:t>
      </w:r>
      <w:r w:rsidR="00C31F02" w:rsidRPr="007C75C5">
        <w:rPr>
          <w:rFonts w:ascii="Times New Roman" w:hAnsi="Times New Roman" w:cs="Times New Roman"/>
          <w:sz w:val="24"/>
          <w:szCs w:val="24"/>
        </w:rPr>
        <w:t>ummer</w:t>
      </w:r>
      <w:r w:rsidRPr="007C75C5">
        <w:rPr>
          <w:rFonts w:ascii="Times New Roman" w:hAnsi="Times New Roman" w:cs="Times New Roman"/>
          <w:sz w:val="24"/>
          <w:szCs w:val="24"/>
        </w:rPr>
        <w:t>, Christmas or Easter break feeling refreshed, but then the cumulative impact of working long hours for seven or eight</w:t>
      </w:r>
      <w:r w:rsidR="00C31F02">
        <w:rPr>
          <w:rFonts w:ascii="Times New Roman" w:hAnsi="Times New Roman" w:cs="Times New Roman"/>
          <w:sz w:val="24"/>
          <w:szCs w:val="24"/>
        </w:rPr>
        <w:t xml:space="preserve"> </w:t>
      </w:r>
      <w:r w:rsidRPr="007C75C5">
        <w:rPr>
          <w:rFonts w:ascii="Times New Roman" w:hAnsi="Times New Roman" w:cs="Times New Roman"/>
          <w:sz w:val="24"/>
          <w:szCs w:val="24"/>
        </w:rPr>
        <w:t xml:space="preserve">weeks non-stop leads them to becoming more anxious, unhappy and generally feeling run-down. Alternatively, teachers may feel particularly anxious or worried as the new school year (or even a new school term) is about to begin. This could be due to having new classes to teach, changing roles or responsibilities, or renewed concerns about their workload and how they are going to cope. The contribution of this chapter is to provide one of the first pieces of empirical </w:t>
      </w:r>
      <w:r w:rsidRPr="007C75C5">
        <w:rPr>
          <w:rFonts w:ascii="Times New Roman" w:hAnsi="Times New Roman" w:cs="Times New Roman"/>
          <w:sz w:val="24"/>
          <w:szCs w:val="24"/>
        </w:rPr>
        <w:lastRenderedPageBreak/>
        <w:t xml:space="preserve">evidence on how the happiness and anxiety levels of teachers varies across the course of the academic year. </w:t>
      </w:r>
    </w:p>
    <w:p w14:paraId="134FC704" w14:textId="77777777" w:rsidR="007C75C5" w:rsidRPr="007C75C5" w:rsidRDefault="007C75C5" w:rsidP="007C75C5">
      <w:pPr>
        <w:spacing w:line="360" w:lineRule="auto"/>
        <w:jc w:val="both"/>
        <w:rPr>
          <w:rFonts w:ascii="Times New Roman" w:hAnsi="Times New Roman" w:cs="Times New Roman"/>
          <w:b/>
          <w:sz w:val="24"/>
          <w:szCs w:val="24"/>
        </w:rPr>
      </w:pPr>
      <w:r w:rsidRPr="007C75C5">
        <w:rPr>
          <w:rFonts w:ascii="Times New Roman" w:hAnsi="Times New Roman" w:cs="Times New Roman"/>
          <w:b/>
          <w:sz w:val="24"/>
          <w:szCs w:val="24"/>
        </w:rPr>
        <w:t>6.2 Data and methodology.</w:t>
      </w:r>
    </w:p>
    <w:p w14:paraId="76929AC6" w14:textId="77777777"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The data used in this chapter is drawn from the APS gathered between March 2011 and December 2018. This included the following question, which specifically asked respondents about how they felt </w:t>
      </w:r>
      <w:r w:rsidRPr="007C75C5">
        <w:rPr>
          <w:rFonts w:ascii="Times New Roman" w:hAnsi="Times New Roman" w:cs="Times New Roman"/>
          <w:i/>
          <w:sz w:val="24"/>
          <w:szCs w:val="24"/>
          <w:u w:val="single"/>
        </w:rPr>
        <w:t>yesterday</w:t>
      </w:r>
      <w:r w:rsidRPr="007C75C5">
        <w:rPr>
          <w:rFonts w:ascii="Times New Roman" w:hAnsi="Times New Roman" w:cs="Times New Roman"/>
          <w:sz w:val="24"/>
          <w:szCs w:val="24"/>
        </w:rPr>
        <w:t>:</w:t>
      </w:r>
    </w:p>
    <w:p w14:paraId="71489237" w14:textId="5DF01388" w:rsidR="007C75C5" w:rsidRPr="007C75C5" w:rsidRDefault="007C75C5" w:rsidP="007C75C5">
      <w:pPr>
        <w:pStyle w:val="NoSpacing"/>
        <w:spacing w:line="360" w:lineRule="auto"/>
        <w:ind w:left="360"/>
        <w:jc w:val="both"/>
        <w:rPr>
          <w:rFonts w:ascii="Times New Roman" w:hAnsi="Times New Roman" w:cs="Times New Roman"/>
          <w:i/>
          <w:iCs/>
          <w:color w:val="000000"/>
          <w:szCs w:val="24"/>
        </w:rPr>
      </w:pPr>
      <w:r w:rsidRPr="007C75C5">
        <w:rPr>
          <w:rFonts w:ascii="Times New Roman" w:hAnsi="Times New Roman" w:cs="Times New Roman"/>
          <w:i/>
          <w:iCs/>
          <w:color w:val="000000"/>
          <w:szCs w:val="24"/>
        </w:rPr>
        <w:t xml:space="preserve">Next I would like to ask you four questions about your feelings on aspects of your life. There are no right or wrong answers. For each of these questions I’d like you to give an answer on a scale of 0 to 10, where 0 is </w:t>
      </w:r>
      <w:r w:rsidR="00BD20DB">
        <w:rPr>
          <w:rFonts w:ascii="Times New Roman" w:hAnsi="Times New Roman" w:cs="Times New Roman"/>
          <w:i/>
          <w:iCs/>
          <w:color w:val="000000"/>
          <w:szCs w:val="24"/>
        </w:rPr>
        <w:t>‘</w:t>
      </w:r>
      <w:r w:rsidRPr="007C75C5">
        <w:rPr>
          <w:rFonts w:ascii="Times New Roman" w:hAnsi="Times New Roman" w:cs="Times New Roman"/>
          <w:i/>
          <w:iCs/>
          <w:color w:val="000000"/>
          <w:szCs w:val="24"/>
        </w:rPr>
        <w:t>not at all</w:t>
      </w:r>
      <w:r w:rsidR="00BD20DB">
        <w:rPr>
          <w:rFonts w:ascii="Times New Roman" w:hAnsi="Times New Roman" w:cs="Times New Roman"/>
          <w:i/>
          <w:iCs/>
          <w:color w:val="000000"/>
          <w:szCs w:val="24"/>
        </w:rPr>
        <w:t>’</w:t>
      </w:r>
      <w:r w:rsidRPr="007C75C5">
        <w:rPr>
          <w:rFonts w:ascii="Times New Roman" w:hAnsi="Times New Roman" w:cs="Times New Roman"/>
          <w:i/>
          <w:iCs/>
          <w:color w:val="000000"/>
          <w:szCs w:val="24"/>
        </w:rPr>
        <w:t xml:space="preserve"> and 10 is </w:t>
      </w:r>
      <w:r w:rsidR="00BD20DB">
        <w:rPr>
          <w:rFonts w:ascii="Times New Roman" w:hAnsi="Times New Roman" w:cs="Times New Roman"/>
          <w:i/>
          <w:iCs/>
          <w:color w:val="000000"/>
          <w:szCs w:val="24"/>
        </w:rPr>
        <w:t>‘</w:t>
      </w:r>
      <w:r w:rsidRPr="007C75C5">
        <w:rPr>
          <w:rFonts w:ascii="Times New Roman" w:hAnsi="Times New Roman" w:cs="Times New Roman"/>
          <w:i/>
          <w:iCs/>
          <w:color w:val="000000"/>
          <w:szCs w:val="24"/>
        </w:rPr>
        <w:t>completely</w:t>
      </w:r>
      <w:r w:rsidR="00C75D90">
        <w:rPr>
          <w:rFonts w:ascii="Times New Roman" w:hAnsi="Times New Roman" w:cs="Times New Roman"/>
          <w:i/>
          <w:iCs/>
          <w:color w:val="000000"/>
          <w:szCs w:val="24"/>
        </w:rPr>
        <w:t>’</w:t>
      </w:r>
      <w:r w:rsidRPr="007C75C5">
        <w:rPr>
          <w:rFonts w:ascii="Times New Roman" w:hAnsi="Times New Roman" w:cs="Times New Roman"/>
          <w:i/>
          <w:iCs/>
          <w:color w:val="000000"/>
          <w:szCs w:val="24"/>
        </w:rPr>
        <w:t>.</w:t>
      </w:r>
    </w:p>
    <w:p w14:paraId="081E4497" w14:textId="77777777" w:rsidR="007C75C5" w:rsidRPr="008B4E20" w:rsidRDefault="007C75C5" w:rsidP="00697230">
      <w:pPr>
        <w:pStyle w:val="NoSpacing"/>
        <w:numPr>
          <w:ilvl w:val="0"/>
          <w:numId w:val="8"/>
        </w:numPr>
        <w:spacing w:line="360" w:lineRule="auto"/>
        <w:jc w:val="both"/>
        <w:rPr>
          <w:rFonts w:ascii="Times New Roman" w:hAnsi="Times New Roman" w:cs="Times New Roman"/>
          <w:i/>
          <w:iCs/>
          <w:color w:val="000000"/>
          <w:szCs w:val="24"/>
        </w:rPr>
      </w:pPr>
      <w:r w:rsidRPr="008B4E20">
        <w:rPr>
          <w:rFonts w:ascii="Times New Roman" w:hAnsi="Times New Roman" w:cs="Times New Roman"/>
          <w:i/>
          <w:iCs/>
          <w:color w:val="000000"/>
          <w:szCs w:val="24"/>
        </w:rPr>
        <w:t xml:space="preserve">Overall, how happy did you feel </w:t>
      </w:r>
      <w:r w:rsidRPr="008B4E20">
        <w:rPr>
          <w:rFonts w:ascii="Times New Roman" w:hAnsi="Times New Roman" w:cs="Times New Roman"/>
          <w:i/>
          <w:iCs/>
          <w:color w:val="000000"/>
          <w:szCs w:val="24"/>
          <w:u w:val="single"/>
        </w:rPr>
        <w:t>yesterday</w:t>
      </w:r>
      <w:r w:rsidRPr="008B4E20">
        <w:rPr>
          <w:rFonts w:ascii="Times New Roman" w:hAnsi="Times New Roman" w:cs="Times New Roman"/>
          <w:i/>
          <w:iCs/>
          <w:color w:val="000000"/>
          <w:szCs w:val="24"/>
        </w:rPr>
        <w:t>? (Happiness)</w:t>
      </w:r>
    </w:p>
    <w:p w14:paraId="0C3A0B08" w14:textId="6D41E143" w:rsidR="007C75C5" w:rsidRPr="008B4E20" w:rsidRDefault="007C75C5" w:rsidP="00697230">
      <w:pPr>
        <w:pStyle w:val="NoSpacing"/>
        <w:numPr>
          <w:ilvl w:val="0"/>
          <w:numId w:val="8"/>
        </w:numPr>
        <w:spacing w:line="360" w:lineRule="auto"/>
        <w:jc w:val="both"/>
        <w:rPr>
          <w:rFonts w:ascii="Times New Roman" w:hAnsi="Times New Roman" w:cs="Times New Roman"/>
          <w:i/>
          <w:iCs/>
          <w:color w:val="000000"/>
          <w:szCs w:val="24"/>
        </w:rPr>
      </w:pPr>
      <w:r w:rsidRPr="008B4E20">
        <w:rPr>
          <w:rFonts w:ascii="Times New Roman" w:hAnsi="Times New Roman" w:cs="Times New Roman"/>
          <w:i/>
          <w:iCs/>
          <w:color w:val="000000"/>
          <w:szCs w:val="24"/>
        </w:rPr>
        <w:t xml:space="preserve">On a scale where 0 is </w:t>
      </w:r>
      <w:r w:rsidR="00C75D90" w:rsidRPr="008B4E20">
        <w:rPr>
          <w:rFonts w:ascii="Times New Roman" w:hAnsi="Times New Roman" w:cs="Times New Roman"/>
          <w:i/>
          <w:iCs/>
          <w:color w:val="000000"/>
          <w:szCs w:val="24"/>
        </w:rPr>
        <w:t>‘</w:t>
      </w:r>
      <w:r w:rsidRPr="008B4E20">
        <w:rPr>
          <w:rFonts w:ascii="Times New Roman" w:hAnsi="Times New Roman" w:cs="Times New Roman"/>
          <w:i/>
          <w:iCs/>
          <w:color w:val="000000"/>
          <w:szCs w:val="24"/>
        </w:rPr>
        <w:t>not at all anxious</w:t>
      </w:r>
      <w:r w:rsidR="00C75D90" w:rsidRPr="008B4E20">
        <w:rPr>
          <w:rFonts w:ascii="Times New Roman" w:hAnsi="Times New Roman" w:cs="Times New Roman"/>
          <w:i/>
          <w:iCs/>
          <w:color w:val="000000"/>
          <w:szCs w:val="24"/>
        </w:rPr>
        <w:t>’</w:t>
      </w:r>
      <w:r w:rsidRPr="008B4E20">
        <w:rPr>
          <w:rFonts w:ascii="Times New Roman" w:hAnsi="Times New Roman" w:cs="Times New Roman"/>
          <w:i/>
          <w:iCs/>
          <w:color w:val="000000"/>
          <w:szCs w:val="24"/>
        </w:rPr>
        <w:t xml:space="preserve"> and 10 is </w:t>
      </w:r>
      <w:r w:rsidR="00C75D90" w:rsidRPr="008B4E20">
        <w:rPr>
          <w:rFonts w:ascii="Times New Roman" w:hAnsi="Times New Roman" w:cs="Times New Roman"/>
          <w:i/>
          <w:iCs/>
          <w:color w:val="000000"/>
          <w:szCs w:val="24"/>
        </w:rPr>
        <w:t>‘</w:t>
      </w:r>
      <w:r w:rsidRPr="008B4E20">
        <w:rPr>
          <w:rFonts w:ascii="Times New Roman" w:hAnsi="Times New Roman" w:cs="Times New Roman"/>
          <w:i/>
          <w:iCs/>
          <w:color w:val="000000"/>
          <w:szCs w:val="24"/>
        </w:rPr>
        <w:t>completely anxious</w:t>
      </w:r>
      <w:r w:rsidR="00C75D90" w:rsidRPr="008B4E20">
        <w:rPr>
          <w:rFonts w:ascii="Times New Roman" w:hAnsi="Times New Roman" w:cs="Times New Roman"/>
          <w:i/>
          <w:iCs/>
          <w:color w:val="000000"/>
          <w:szCs w:val="24"/>
        </w:rPr>
        <w:t>’</w:t>
      </w:r>
      <w:r w:rsidRPr="008B4E20">
        <w:rPr>
          <w:rFonts w:ascii="Times New Roman" w:hAnsi="Times New Roman" w:cs="Times New Roman"/>
          <w:i/>
          <w:iCs/>
          <w:color w:val="000000"/>
          <w:szCs w:val="24"/>
        </w:rPr>
        <w:t xml:space="preserve">, overall, how anxious did you feel </w:t>
      </w:r>
      <w:r w:rsidRPr="008B4E20">
        <w:rPr>
          <w:rFonts w:ascii="Times New Roman" w:hAnsi="Times New Roman" w:cs="Times New Roman"/>
          <w:i/>
          <w:iCs/>
          <w:color w:val="000000"/>
          <w:szCs w:val="24"/>
          <w:u w:val="single"/>
        </w:rPr>
        <w:t>yesterday</w:t>
      </w:r>
      <w:r w:rsidRPr="008B4E20">
        <w:rPr>
          <w:rFonts w:ascii="Times New Roman" w:hAnsi="Times New Roman" w:cs="Times New Roman"/>
          <w:i/>
          <w:iCs/>
          <w:color w:val="000000"/>
          <w:szCs w:val="24"/>
        </w:rPr>
        <w:t>? (Anxiety)</w:t>
      </w:r>
    </w:p>
    <w:p w14:paraId="29DDBCAD" w14:textId="26211048" w:rsidR="007C75C5" w:rsidRPr="007C75C5" w:rsidRDefault="007C75C5" w:rsidP="008B4E20">
      <w:pPr>
        <w:autoSpaceDE w:val="0"/>
        <w:autoSpaceDN w:val="0"/>
        <w:adjustRightInd w:val="0"/>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Within the secure access version of the APS, exact day, month and year of the interview is </w:t>
      </w:r>
      <w:r w:rsidR="001812B6">
        <w:rPr>
          <w:rFonts w:ascii="Times New Roman" w:hAnsi="Times New Roman" w:cs="Times New Roman"/>
          <w:sz w:val="24"/>
          <w:szCs w:val="24"/>
        </w:rPr>
        <w:t>available</w:t>
      </w:r>
      <w:r w:rsidRPr="007C75C5">
        <w:rPr>
          <w:rStyle w:val="FootnoteReference"/>
          <w:rFonts w:ascii="Times New Roman" w:hAnsi="Times New Roman" w:cs="Times New Roman"/>
          <w:sz w:val="24"/>
          <w:szCs w:val="24"/>
        </w:rPr>
        <w:footnoteReference w:id="9"/>
      </w:r>
      <w:r w:rsidRPr="007C75C5">
        <w:rPr>
          <w:rFonts w:ascii="Times New Roman" w:hAnsi="Times New Roman" w:cs="Times New Roman"/>
          <w:sz w:val="24"/>
          <w:szCs w:val="24"/>
        </w:rPr>
        <w:t>, meaning we know the exact day these questions refer to. For each APS year between 2011 and 2018, we code ‘week 1’ as the week starting the first Monday in September, corresponding with the start of the new academic year in England. We then code all subsequent weeks through to week 52. One complication is that precise school holiday dates vary between</w:t>
      </w:r>
      <w:r w:rsidR="001812B6">
        <w:rPr>
          <w:rFonts w:ascii="Times New Roman" w:hAnsi="Times New Roman" w:cs="Times New Roman"/>
          <w:sz w:val="24"/>
          <w:szCs w:val="24"/>
        </w:rPr>
        <w:t xml:space="preserve"> geographic</w:t>
      </w:r>
      <w:r w:rsidR="00C532E7">
        <w:rPr>
          <w:rFonts w:ascii="Times New Roman" w:hAnsi="Times New Roman" w:cs="Times New Roman"/>
          <w:sz w:val="24"/>
          <w:szCs w:val="24"/>
        </w:rPr>
        <w:t>ally</w:t>
      </w:r>
      <w:r w:rsidRPr="007C75C5">
        <w:rPr>
          <w:rFonts w:ascii="Times New Roman" w:hAnsi="Times New Roman" w:cs="Times New Roman"/>
          <w:sz w:val="24"/>
          <w:szCs w:val="24"/>
        </w:rPr>
        <w:t xml:space="preserve"> different areas - and between different schools - in England, although the variation in school holiday dates is generally quite small (usually adjacent weeks)</w:t>
      </w:r>
      <w:r w:rsidRPr="007C75C5">
        <w:rPr>
          <w:rStyle w:val="FootnoteReference"/>
          <w:rFonts w:ascii="Times New Roman" w:hAnsi="Times New Roman" w:cs="Times New Roman"/>
          <w:sz w:val="24"/>
          <w:szCs w:val="24"/>
        </w:rPr>
        <w:footnoteReference w:id="10"/>
      </w:r>
      <w:r w:rsidRPr="007C75C5">
        <w:rPr>
          <w:rFonts w:ascii="Times New Roman" w:hAnsi="Times New Roman" w:cs="Times New Roman"/>
          <w:sz w:val="24"/>
          <w:szCs w:val="24"/>
        </w:rPr>
        <w:t>. The appendix provides a detailed list of the school holiday dates used for each APS year, and how this corresponds to the survey week number</w:t>
      </w:r>
      <w:r w:rsidRPr="007C75C5">
        <w:rPr>
          <w:rStyle w:val="FootnoteReference"/>
          <w:rFonts w:ascii="Times New Roman" w:hAnsi="Times New Roman" w:cs="Times New Roman"/>
          <w:sz w:val="24"/>
          <w:szCs w:val="24"/>
        </w:rPr>
        <w:footnoteReference w:id="11"/>
      </w:r>
      <w:r w:rsidRPr="007C75C5">
        <w:rPr>
          <w:rFonts w:ascii="Times New Roman" w:hAnsi="Times New Roman" w:cs="Times New Roman"/>
          <w:sz w:val="24"/>
          <w:szCs w:val="24"/>
        </w:rPr>
        <w:t>. The typical sample size is approximately 250 teachers responding per survey week, within the pooled sample.</w:t>
      </w:r>
      <w:r w:rsidR="00C63413">
        <w:rPr>
          <w:rFonts w:ascii="Times New Roman" w:hAnsi="Times New Roman" w:cs="Times New Roman"/>
          <w:sz w:val="24"/>
          <w:szCs w:val="24"/>
        </w:rPr>
        <w:t xml:space="preserve"> Throughout this chapter, teachers include primary and secondary teachers, as well as school leaders.</w:t>
      </w:r>
    </w:p>
    <w:p w14:paraId="3A9C148F" w14:textId="77777777"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The percentage of teachers who are ‘anxious’ (anxiety scores </w:t>
      </w:r>
      <w:proofErr w:type="gramStart"/>
      <w:r w:rsidRPr="007C75C5">
        <w:rPr>
          <w:rFonts w:ascii="Times New Roman" w:hAnsi="Times New Roman" w:cs="Times New Roman"/>
          <w:sz w:val="24"/>
          <w:szCs w:val="24"/>
        </w:rPr>
        <w:t>between 6-10</w:t>
      </w:r>
      <w:proofErr w:type="gramEnd"/>
      <w:r w:rsidRPr="007C75C5">
        <w:rPr>
          <w:rFonts w:ascii="Times New Roman" w:hAnsi="Times New Roman" w:cs="Times New Roman"/>
          <w:sz w:val="24"/>
          <w:szCs w:val="24"/>
        </w:rPr>
        <w:t xml:space="preserve">) and ‘not happy’ (happiness score of 0-6) will first be plotted by survey week. This will be followed by a comparison of the percentage of teachers who are anxious and not happy in each of the six school terms and the six main school holiday periods in England. Specifically, propensity score matching estimates will be used to match each teacher who responded to the APS personal </w:t>
      </w:r>
      <w:r w:rsidRPr="007C75C5">
        <w:rPr>
          <w:rFonts w:ascii="Times New Roman" w:hAnsi="Times New Roman" w:cs="Times New Roman"/>
          <w:sz w:val="24"/>
          <w:szCs w:val="24"/>
        </w:rPr>
        <w:lastRenderedPageBreak/>
        <w:t>wellbeing questions during term 1 (start of September to middle of October) to an observationally equivalent teacher who responded to the questions in one of the other five school terms and during the school holidays</w:t>
      </w:r>
      <w:r w:rsidRPr="007C75C5">
        <w:rPr>
          <w:rStyle w:val="FootnoteReference"/>
          <w:rFonts w:ascii="Times New Roman" w:hAnsi="Times New Roman" w:cs="Times New Roman"/>
          <w:sz w:val="24"/>
          <w:szCs w:val="24"/>
        </w:rPr>
        <w:footnoteReference w:id="12"/>
      </w:r>
      <w:r w:rsidRPr="007C75C5">
        <w:rPr>
          <w:rFonts w:ascii="Times New Roman" w:hAnsi="Times New Roman" w:cs="Times New Roman"/>
          <w:sz w:val="24"/>
          <w:szCs w:val="24"/>
        </w:rPr>
        <w:t xml:space="preserve">. The motivation for using this approach is to ensure results are not driven by teachers with different characteristics responding in different survey weeks (either by chance due to random sampling or due to selective non-response to the survey/questions at particular points in the year). </w:t>
      </w:r>
    </w:p>
    <w:p w14:paraId="10CD9861" w14:textId="77777777" w:rsidR="007C75C5" w:rsidRPr="007C75C5" w:rsidRDefault="007C75C5" w:rsidP="00697230">
      <w:pPr>
        <w:pStyle w:val="ListParagraph"/>
        <w:numPr>
          <w:ilvl w:val="1"/>
          <w:numId w:val="25"/>
        </w:numPr>
        <w:spacing w:after="200" w:line="360" w:lineRule="auto"/>
        <w:rPr>
          <w:rFonts w:ascii="Times New Roman" w:hAnsi="Times New Roman" w:cs="Times New Roman"/>
          <w:b/>
          <w:sz w:val="24"/>
          <w:szCs w:val="24"/>
        </w:rPr>
      </w:pPr>
      <w:r w:rsidRPr="007C75C5">
        <w:rPr>
          <w:rFonts w:ascii="Times New Roman" w:hAnsi="Times New Roman" w:cs="Times New Roman"/>
          <w:b/>
          <w:sz w:val="24"/>
          <w:szCs w:val="24"/>
        </w:rPr>
        <w:t>Results</w:t>
      </w:r>
    </w:p>
    <w:p w14:paraId="3A5B8054" w14:textId="41ACB24F"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Figure 6.1 provides the headline results, with the percent</w:t>
      </w:r>
      <w:r w:rsidR="00311C13">
        <w:rPr>
          <w:rFonts w:ascii="Times New Roman" w:hAnsi="Times New Roman" w:cs="Times New Roman"/>
          <w:sz w:val="24"/>
          <w:szCs w:val="24"/>
        </w:rPr>
        <w:t>age</w:t>
      </w:r>
      <w:r w:rsidRPr="007C75C5">
        <w:rPr>
          <w:rFonts w:ascii="Times New Roman" w:hAnsi="Times New Roman" w:cs="Times New Roman"/>
          <w:sz w:val="24"/>
          <w:szCs w:val="24"/>
        </w:rPr>
        <w:t xml:space="preserve"> of anxious (solid dark-grey line) and unhappy (dashed light-grey line) teachers plotted by week of the academic year (where week 1 is where schools return at the start of September). There are three key points to note.</w:t>
      </w:r>
    </w:p>
    <w:p w14:paraId="6356EE1B" w14:textId="5D7A721F" w:rsidR="007C75C5" w:rsidRPr="007C75C5" w:rsidRDefault="007C75C5" w:rsidP="007C75C5">
      <w:pPr>
        <w:spacing w:line="240" w:lineRule="auto"/>
        <w:jc w:val="center"/>
        <w:rPr>
          <w:rFonts w:ascii="Times New Roman" w:hAnsi="Times New Roman" w:cs="Times New Roman"/>
          <w:b/>
          <w:sz w:val="24"/>
          <w:szCs w:val="24"/>
        </w:rPr>
      </w:pPr>
      <w:r w:rsidRPr="007C75C5">
        <w:rPr>
          <w:rFonts w:ascii="Times New Roman" w:hAnsi="Times New Roman" w:cs="Times New Roman"/>
          <w:b/>
          <w:sz w:val="24"/>
          <w:szCs w:val="24"/>
        </w:rPr>
        <w:t xml:space="preserve">Figure 6.1 </w:t>
      </w:r>
      <w:proofErr w:type="gramStart"/>
      <w:r w:rsidRPr="007C75C5">
        <w:rPr>
          <w:rFonts w:ascii="Times New Roman" w:hAnsi="Times New Roman" w:cs="Times New Roman"/>
          <w:b/>
          <w:sz w:val="24"/>
          <w:szCs w:val="24"/>
        </w:rPr>
        <w:t>The</w:t>
      </w:r>
      <w:proofErr w:type="gramEnd"/>
      <w:r w:rsidRPr="007C75C5">
        <w:rPr>
          <w:rFonts w:ascii="Times New Roman" w:hAnsi="Times New Roman" w:cs="Times New Roman"/>
          <w:b/>
          <w:sz w:val="24"/>
          <w:szCs w:val="24"/>
        </w:rPr>
        <w:t xml:space="preserve"> percentage of teachers who report being unhappy or feeling anxious by week of the academic year</w:t>
      </w:r>
    </w:p>
    <w:p w14:paraId="18F9689D" w14:textId="63FD8BD2" w:rsidR="007C75C5" w:rsidRPr="00804ADD" w:rsidRDefault="007C75C5" w:rsidP="001812B6">
      <w:pPr>
        <w:spacing w:line="240" w:lineRule="auto"/>
        <w:jc w:val="both"/>
        <w:rPr>
          <w:rFonts w:ascii="Times New Roman" w:hAnsi="Times New Roman" w:cs="Times New Roman"/>
          <w:b/>
        </w:rPr>
      </w:pPr>
      <w:r>
        <w:rPr>
          <w:noProof/>
          <w:lang w:eastAsia="en-GB"/>
        </w:rPr>
        <w:drawing>
          <wp:inline distT="0" distB="0" distL="0" distR="0" wp14:anchorId="50C28678" wp14:editId="5C30E623">
            <wp:extent cx="5810250" cy="4114800"/>
            <wp:effectExtent l="0" t="0" r="0" b="0"/>
            <wp:docPr id="34" name="Chart 34">
              <a:extLst xmlns:a="http://schemas.openxmlformats.org/drawingml/2006/main">
                <a:ext uri="{FF2B5EF4-FFF2-40B4-BE49-F238E27FC236}">
                  <a16:creationId xmlns:a16="http://schemas.microsoft.com/office/drawing/2014/main" id="{4983FC63-C82D-4715-AE33-9435F84ADE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r w:rsidRPr="00624F55">
        <w:rPr>
          <w:rFonts w:ascii="Times New Roman" w:hAnsi="Times New Roman" w:cs="Times New Roman"/>
          <w:sz w:val="20"/>
          <w:szCs w:val="20"/>
        </w:rPr>
        <w:t>Note</w:t>
      </w:r>
      <w:r w:rsidR="004D1DD9">
        <w:rPr>
          <w:rFonts w:ascii="Times New Roman" w:hAnsi="Times New Roman" w:cs="Times New Roman"/>
          <w:sz w:val="20"/>
          <w:szCs w:val="20"/>
        </w:rPr>
        <w:t>s</w:t>
      </w:r>
      <w:r w:rsidRPr="00624F55">
        <w:rPr>
          <w:rFonts w:ascii="Times New Roman" w:hAnsi="Times New Roman" w:cs="Times New Roman"/>
          <w:sz w:val="20"/>
          <w:szCs w:val="20"/>
        </w:rPr>
        <w:t xml:space="preserve">: Week 1 refers to </w:t>
      </w:r>
      <w:r w:rsidR="000E42DF">
        <w:rPr>
          <w:rFonts w:ascii="Times New Roman" w:hAnsi="Times New Roman" w:cs="Times New Roman"/>
          <w:sz w:val="20"/>
          <w:szCs w:val="20"/>
        </w:rPr>
        <w:t>the beginning of the academic year</w:t>
      </w:r>
      <w:r w:rsidRPr="00624F55">
        <w:rPr>
          <w:rFonts w:ascii="Times New Roman" w:hAnsi="Times New Roman" w:cs="Times New Roman"/>
          <w:sz w:val="20"/>
          <w:szCs w:val="20"/>
        </w:rPr>
        <w:t xml:space="preserve"> at the start of September. Sample sizes are around 250 responding teachers per survey week.</w:t>
      </w:r>
      <w:r w:rsidR="001812B6">
        <w:rPr>
          <w:rFonts w:ascii="Times New Roman" w:hAnsi="Times New Roman" w:cs="Times New Roman"/>
          <w:sz w:val="20"/>
          <w:szCs w:val="20"/>
        </w:rPr>
        <w:t xml:space="preserve"> HT = half-term (a school holiday typically lasting for one</w:t>
      </w:r>
      <w:r w:rsidR="005614FB">
        <w:rPr>
          <w:rFonts w:ascii="Times New Roman" w:hAnsi="Times New Roman" w:cs="Times New Roman"/>
          <w:sz w:val="20"/>
          <w:szCs w:val="20"/>
        </w:rPr>
        <w:t xml:space="preserve"> </w:t>
      </w:r>
      <w:r w:rsidR="001812B6">
        <w:rPr>
          <w:rFonts w:ascii="Times New Roman" w:hAnsi="Times New Roman" w:cs="Times New Roman"/>
          <w:sz w:val="20"/>
          <w:szCs w:val="20"/>
        </w:rPr>
        <w:t>week in the middle of a term).</w:t>
      </w:r>
      <w:r w:rsidR="003000FD">
        <w:rPr>
          <w:rFonts w:ascii="Times New Roman" w:hAnsi="Times New Roman" w:cs="Times New Roman"/>
          <w:sz w:val="20"/>
          <w:szCs w:val="20"/>
        </w:rPr>
        <w:t xml:space="preserve"> </w:t>
      </w:r>
      <w:r w:rsidR="003000FD" w:rsidRPr="00C15BFD">
        <w:rPr>
          <w:rFonts w:ascii="Times New Roman" w:hAnsi="Times New Roman" w:cs="Times New Roman"/>
          <w:sz w:val="20"/>
          <w:szCs w:val="20"/>
        </w:rPr>
        <w:t xml:space="preserve">Source = authors’ analysis of </w:t>
      </w:r>
      <w:r w:rsidR="003000FD">
        <w:rPr>
          <w:rFonts w:ascii="Times New Roman" w:hAnsi="Times New Roman" w:cs="Times New Roman"/>
          <w:sz w:val="20"/>
          <w:szCs w:val="20"/>
        </w:rPr>
        <w:t>the Annual Population Survey</w:t>
      </w:r>
      <w:r w:rsidR="003000FD" w:rsidRPr="00C15BFD">
        <w:rPr>
          <w:rFonts w:ascii="Times New Roman" w:hAnsi="Times New Roman" w:cs="Times New Roman"/>
          <w:sz w:val="20"/>
          <w:szCs w:val="20"/>
        </w:rPr>
        <w:t>.</w:t>
      </w:r>
    </w:p>
    <w:p w14:paraId="332F0A9B" w14:textId="3D7BC85D"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lastRenderedPageBreak/>
        <w:t>First, anxiety and unhappiness levels of teachers are low throughout the summer holidays (e.g. approximately 15</w:t>
      </w:r>
      <w:r w:rsidR="0065702E">
        <w:rPr>
          <w:rFonts w:ascii="Times New Roman" w:hAnsi="Times New Roman" w:cs="Times New Roman"/>
          <w:sz w:val="24"/>
          <w:szCs w:val="24"/>
        </w:rPr>
        <w:t>%</w:t>
      </w:r>
      <w:r w:rsidRPr="007C75C5">
        <w:rPr>
          <w:rFonts w:ascii="Times New Roman" w:hAnsi="Times New Roman" w:cs="Times New Roman"/>
          <w:sz w:val="24"/>
          <w:szCs w:val="24"/>
        </w:rPr>
        <w:t xml:space="preserve"> of teachers feel anxious during this period), as illustrated at the right</w:t>
      </w:r>
      <w:r w:rsidR="0065702E">
        <w:rPr>
          <w:rFonts w:ascii="Times New Roman" w:hAnsi="Times New Roman" w:cs="Times New Roman"/>
          <w:sz w:val="24"/>
          <w:szCs w:val="24"/>
        </w:rPr>
        <w:t>-</w:t>
      </w:r>
      <w:r w:rsidRPr="007C75C5">
        <w:rPr>
          <w:rFonts w:ascii="Times New Roman" w:hAnsi="Times New Roman" w:cs="Times New Roman"/>
          <w:sz w:val="24"/>
          <w:szCs w:val="24"/>
        </w:rPr>
        <w:t>hand side of Figure 6.1 (weeks 47-52). However, figures then suddenly spike at the start of the academic year (weeks 1</w:t>
      </w:r>
      <w:r w:rsidR="0065702E">
        <w:rPr>
          <w:rFonts w:ascii="Times New Roman" w:hAnsi="Times New Roman" w:cs="Times New Roman"/>
          <w:sz w:val="24"/>
          <w:szCs w:val="24"/>
        </w:rPr>
        <w:t>-</w:t>
      </w:r>
      <w:r w:rsidRPr="007C75C5">
        <w:rPr>
          <w:rFonts w:ascii="Times New Roman" w:hAnsi="Times New Roman" w:cs="Times New Roman"/>
          <w:sz w:val="24"/>
          <w:szCs w:val="24"/>
        </w:rPr>
        <w:t>3) where almost double the number of teachers (approximately 27</w:t>
      </w:r>
      <w:r w:rsidR="0065702E">
        <w:rPr>
          <w:rFonts w:ascii="Times New Roman" w:hAnsi="Times New Roman" w:cs="Times New Roman"/>
          <w:sz w:val="24"/>
          <w:szCs w:val="24"/>
        </w:rPr>
        <w:t>%</w:t>
      </w:r>
      <w:r w:rsidRPr="007C75C5">
        <w:rPr>
          <w:rFonts w:ascii="Times New Roman" w:hAnsi="Times New Roman" w:cs="Times New Roman"/>
          <w:sz w:val="24"/>
          <w:szCs w:val="24"/>
        </w:rPr>
        <w:t xml:space="preserve">) report feeling anxious the previous day. This demonstrates how anxiety levels are likely to change very quickly for some teachers as they return to work. </w:t>
      </w:r>
    </w:p>
    <w:p w14:paraId="2EB69F4C" w14:textId="4CD2B881"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Second, the aforementioned result reflects a somewhat broader pattern, where anxiety and unhappiness levels are notably lower amongst teachers during school holidays relative to term</w:t>
      </w:r>
      <w:r w:rsidR="00982DB9">
        <w:rPr>
          <w:rFonts w:ascii="Times New Roman" w:hAnsi="Times New Roman" w:cs="Times New Roman"/>
          <w:sz w:val="24"/>
          <w:szCs w:val="24"/>
        </w:rPr>
        <w:t xml:space="preserve"> </w:t>
      </w:r>
      <w:r w:rsidRPr="007C75C5">
        <w:rPr>
          <w:rFonts w:ascii="Times New Roman" w:hAnsi="Times New Roman" w:cs="Times New Roman"/>
          <w:sz w:val="24"/>
          <w:szCs w:val="24"/>
        </w:rPr>
        <w:t>time. This seems to hold true</w:t>
      </w:r>
      <w:r w:rsidR="003C71C7" w:rsidRPr="003C71C7">
        <w:rPr>
          <w:rFonts w:ascii="Times New Roman" w:hAnsi="Times New Roman" w:cs="Times New Roman"/>
          <w:sz w:val="24"/>
          <w:szCs w:val="24"/>
        </w:rPr>
        <w:t xml:space="preserve"> </w:t>
      </w:r>
      <w:r w:rsidR="003C71C7" w:rsidRPr="007C75C5">
        <w:rPr>
          <w:rFonts w:ascii="Times New Roman" w:hAnsi="Times New Roman" w:cs="Times New Roman"/>
          <w:sz w:val="24"/>
          <w:szCs w:val="24"/>
        </w:rPr>
        <w:t>particularly</w:t>
      </w:r>
      <w:r w:rsidRPr="007C75C5">
        <w:rPr>
          <w:rFonts w:ascii="Times New Roman" w:hAnsi="Times New Roman" w:cs="Times New Roman"/>
          <w:sz w:val="24"/>
          <w:szCs w:val="24"/>
        </w:rPr>
        <w:t xml:space="preserve"> during the longer school holiday periods at Christmas, Easter and </w:t>
      </w:r>
      <w:r w:rsidR="00D054F7">
        <w:rPr>
          <w:rFonts w:ascii="Times New Roman" w:hAnsi="Times New Roman" w:cs="Times New Roman"/>
          <w:sz w:val="24"/>
          <w:szCs w:val="24"/>
        </w:rPr>
        <w:t xml:space="preserve">in </w:t>
      </w:r>
      <w:r w:rsidRPr="007C75C5">
        <w:rPr>
          <w:rFonts w:ascii="Times New Roman" w:hAnsi="Times New Roman" w:cs="Times New Roman"/>
          <w:sz w:val="24"/>
          <w:szCs w:val="24"/>
        </w:rPr>
        <w:t xml:space="preserve">the </w:t>
      </w:r>
      <w:r w:rsidR="00D054F7">
        <w:rPr>
          <w:rFonts w:ascii="Times New Roman" w:hAnsi="Times New Roman" w:cs="Times New Roman"/>
          <w:sz w:val="24"/>
          <w:szCs w:val="24"/>
        </w:rPr>
        <w:t>s</w:t>
      </w:r>
      <w:r w:rsidR="00D054F7" w:rsidRPr="007C75C5">
        <w:rPr>
          <w:rFonts w:ascii="Times New Roman" w:hAnsi="Times New Roman" w:cs="Times New Roman"/>
          <w:sz w:val="24"/>
          <w:szCs w:val="24"/>
        </w:rPr>
        <w:t>ummer</w:t>
      </w:r>
      <w:r w:rsidRPr="007C75C5">
        <w:rPr>
          <w:rFonts w:ascii="Times New Roman" w:hAnsi="Times New Roman" w:cs="Times New Roman"/>
          <w:sz w:val="24"/>
          <w:szCs w:val="24"/>
        </w:rPr>
        <w:t xml:space="preserve">. </w:t>
      </w:r>
    </w:p>
    <w:p w14:paraId="2F09E8EC" w14:textId="4AFD11A4"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Finally, there is little evidence of a clear pattern either within or between school terms. For instance, anxiety levels do not consistently start at a low (or high) level at the start of a term and then either increase or decrease. Likewise, there does not seem to be any one term where anxiety and unhappiness levels stand out as particularly low or particularly high. In other words, there is no obvious term or half-term where teachers report feeling particularly anxious and/or miserable. (Nor is there any term </w:t>
      </w:r>
      <w:r w:rsidR="00197B5D" w:rsidRPr="007C75C5">
        <w:rPr>
          <w:rFonts w:ascii="Times New Roman" w:hAnsi="Times New Roman" w:cs="Times New Roman"/>
          <w:sz w:val="24"/>
          <w:szCs w:val="24"/>
        </w:rPr>
        <w:t>o</w:t>
      </w:r>
      <w:r w:rsidR="00197B5D">
        <w:rPr>
          <w:rFonts w:ascii="Times New Roman" w:hAnsi="Times New Roman" w:cs="Times New Roman"/>
          <w:sz w:val="24"/>
          <w:szCs w:val="24"/>
        </w:rPr>
        <w:t>r</w:t>
      </w:r>
      <w:r w:rsidR="00197B5D" w:rsidRPr="007C75C5">
        <w:rPr>
          <w:rFonts w:ascii="Times New Roman" w:hAnsi="Times New Roman" w:cs="Times New Roman"/>
          <w:sz w:val="24"/>
          <w:szCs w:val="24"/>
        </w:rPr>
        <w:t xml:space="preserve"> </w:t>
      </w:r>
      <w:r w:rsidRPr="007C75C5">
        <w:rPr>
          <w:rFonts w:ascii="Times New Roman" w:hAnsi="Times New Roman" w:cs="Times New Roman"/>
          <w:sz w:val="24"/>
          <w:szCs w:val="24"/>
        </w:rPr>
        <w:t xml:space="preserve">half-term where teachers are clearly happier and more relaxed).   </w:t>
      </w:r>
    </w:p>
    <w:p w14:paraId="2BB6207D" w14:textId="2524DD3A" w:rsidR="004812D3" w:rsidRDefault="007C75C5" w:rsidP="00214A9D">
      <w:pPr>
        <w:spacing w:after="0"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These findings are formalised in Table 6.1, where we use propensity score matching to compare how the percentage of anxious and unhappy teachers differs across the various school terms and school holidays. </w:t>
      </w:r>
    </w:p>
    <w:p w14:paraId="1247CD2B" w14:textId="77777777" w:rsidR="004812D3" w:rsidRDefault="004812D3">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7972EC7F" w14:textId="6CE6183D" w:rsidR="007C75C5" w:rsidRDefault="007C75C5" w:rsidP="00214A9D">
      <w:pPr>
        <w:spacing w:after="0" w:line="240" w:lineRule="auto"/>
        <w:jc w:val="center"/>
        <w:rPr>
          <w:rFonts w:ascii="Times New Roman" w:hAnsi="Times New Roman" w:cs="Times New Roman"/>
          <w:b/>
          <w:sz w:val="24"/>
          <w:szCs w:val="24"/>
        </w:rPr>
      </w:pPr>
      <w:r w:rsidRPr="007C75C5">
        <w:rPr>
          <w:rFonts w:ascii="Times New Roman" w:hAnsi="Times New Roman" w:cs="Times New Roman"/>
          <w:b/>
          <w:sz w:val="24"/>
          <w:szCs w:val="24"/>
        </w:rPr>
        <w:lastRenderedPageBreak/>
        <w:t>Table 6.1. Percent</w:t>
      </w:r>
      <w:r w:rsidR="00A77B0A">
        <w:rPr>
          <w:rFonts w:ascii="Times New Roman" w:hAnsi="Times New Roman" w:cs="Times New Roman"/>
          <w:b/>
          <w:sz w:val="24"/>
          <w:szCs w:val="24"/>
        </w:rPr>
        <w:t>age</w:t>
      </w:r>
      <w:r w:rsidRPr="007C75C5">
        <w:rPr>
          <w:rFonts w:ascii="Times New Roman" w:hAnsi="Times New Roman" w:cs="Times New Roman"/>
          <w:b/>
          <w:sz w:val="24"/>
          <w:szCs w:val="24"/>
        </w:rPr>
        <w:t xml:space="preserve"> of anxious and unhappy teachers. Term</w:t>
      </w:r>
      <w:r w:rsidR="00982DB9">
        <w:rPr>
          <w:rFonts w:ascii="Times New Roman" w:hAnsi="Times New Roman" w:cs="Times New Roman"/>
          <w:b/>
          <w:sz w:val="24"/>
          <w:szCs w:val="24"/>
        </w:rPr>
        <w:t xml:space="preserve"> </w:t>
      </w:r>
      <w:r w:rsidRPr="007C75C5">
        <w:rPr>
          <w:rFonts w:ascii="Times New Roman" w:hAnsi="Times New Roman" w:cs="Times New Roman"/>
          <w:b/>
          <w:sz w:val="24"/>
          <w:szCs w:val="24"/>
        </w:rPr>
        <w:t>time versus school holidays</w:t>
      </w:r>
    </w:p>
    <w:p w14:paraId="403364EF" w14:textId="77777777" w:rsidR="00556F66" w:rsidRPr="007C75C5" w:rsidRDefault="00556F66" w:rsidP="00376FA0">
      <w:pPr>
        <w:spacing w:after="0" w:line="240" w:lineRule="auto"/>
        <w:jc w:val="center"/>
        <w:rPr>
          <w:rFonts w:ascii="Times New Roman" w:hAnsi="Times New Roman" w:cs="Times New Roman"/>
          <w:b/>
          <w:sz w:val="24"/>
          <w:szCs w:val="24"/>
        </w:rPr>
      </w:pPr>
    </w:p>
    <w:tbl>
      <w:tblPr>
        <w:tblW w:w="5257" w:type="dxa"/>
        <w:jc w:val="center"/>
        <w:tblLook w:val="04A0" w:firstRow="1" w:lastRow="0" w:firstColumn="1" w:lastColumn="0" w:noHBand="0" w:noVBand="1"/>
      </w:tblPr>
      <w:tblGrid>
        <w:gridCol w:w="1842"/>
        <w:gridCol w:w="1263"/>
        <w:gridCol w:w="1159"/>
        <w:gridCol w:w="993"/>
      </w:tblGrid>
      <w:tr w:rsidR="007C75C5" w:rsidRPr="000C356B" w14:paraId="65C9FA34" w14:textId="77777777" w:rsidTr="008B4E20">
        <w:trPr>
          <w:trHeight w:val="300"/>
          <w:jc w:val="center"/>
        </w:trPr>
        <w:tc>
          <w:tcPr>
            <w:tcW w:w="1842" w:type="dxa"/>
            <w:tcBorders>
              <w:top w:val="single" w:sz="4" w:space="0" w:color="auto"/>
              <w:left w:val="nil"/>
              <w:bottom w:val="single" w:sz="4" w:space="0" w:color="auto"/>
              <w:right w:val="nil"/>
            </w:tcBorders>
            <w:shd w:val="clear" w:color="000000" w:fill="B8CCE4"/>
            <w:noWrap/>
            <w:vAlign w:val="center"/>
            <w:hideMark/>
          </w:tcPr>
          <w:p w14:paraId="48E7B62D" w14:textId="77777777" w:rsidR="007C75C5" w:rsidRPr="000C356B" w:rsidRDefault="007C75C5" w:rsidP="00440E80">
            <w:pPr>
              <w:spacing w:after="0" w:line="240" w:lineRule="auto"/>
              <w:rPr>
                <w:rFonts w:ascii="Times New Roman" w:eastAsia="Times New Roman" w:hAnsi="Times New Roman" w:cs="Times New Roman"/>
                <w:b/>
                <w:bCs/>
                <w:color w:val="000000"/>
                <w:lang w:eastAsia="en-GB"/>
              </w:rPr>
            </w:pPr>
            <w:r w:rsidRPr="000C356B">
              <w:rPr>
                <w:rFonts w:ascii="Times New Roman" w:eastAsia="Times New Roman" w:hAnsi="Times New Roman" w:cs="Times New Roman"/>
                <w:b/>
                <w:bCs/>
                <w:color w:val="000000"/>
                <w:lang w:eastAsia="en-GB"/>
              </w:rPr>
              <w:t> </w:t>
            </w:r>
          </w:p>
        </w:tc>
        <w:tc>
          <w:tcPr>
            <w:tcW w:w="1263" w:type="dxa"/>
            <w:tcBorders>
              <w:top w:val="single" w:sz="4" w:space="0" w:color="auto"/>
              <w:left w:val="nil"/>
              <w:bottom w:val="single" w:sz="4" w:space="0" w:color="auto"/>
              <w:right w:val="nil"/>
            </w:tcBorders>
            <w:shd w:val="clear" w:color="000000" w:fill="B8CCE4"/>
            <w:noWrap/>
            <w:vAlign w:val="center"/>
            <w:hideMark/>
          </w:tcPr>
          <w:p w14:paraId="7C44C7DE" w14:textId="77777777" w:rsidR="007C75C5" w:rsidRPr="000C356B" w:rsidRDefault="007C75C5" w:rsidP="00440E80">
            <w:pPr>
              <w:spacing w:after="0" w:line="240" w:lineRule="auto"/>
              <w:jc w:val="center"/>
              <w:rPr>
                <w:rFonts w:ascii="Times New Roman" w:eastAsia="Times New Roman" w:hAnsi="Times New Roman" w:cs="Times New Roman"/>
                <w:b/>
                <w:bCs/>
                <w:color w:val="000000"/>
                <w:lang w:eastAsia="en-GB"/>
              </w:rPr>
            </w:pPr>
            <w:r w:rsidRPr="000C356B">
              <w:rPr>
                <w:rFonts w:ascii="Times New Roman" w:eastAsia="Times New Roman" w:hAnsi="Times New Roman" w:cs="Times New Roman"/>
                <w:b/>
                <w:bCs/>
                <w:color w:val="000000"/>
                <w:lang w:eastAsia="en-GB"/>
              </w:rPr>
              <w:t>Anxious</w:t>
            </w:r>
          </w:p>
        </w:tc>
        <w:tc>
          <w:tcPr>
            <w:tcW w:w="1159" w:type="dxa"/>
            <w:tcBorders>
              <w:top w:val="single" w:sz="4" w:space="0" w:color="auto"/>
              <w:left w:val="nil"/>
              <w:bottom w:val="single" w:sz="4" w:space="0" w:color="auto"/>
              <w:right w:val="nil"/>
            </w:tcBorders>
            <w:shd w:val="clear" w:color="000000" w:fill="B8CCE4"/>
            <w:noWrap/>
            <w:vAlign w:val="center"/>
            <w:hideMark/>
          </w:tcPr>
          <w:p w14:paraId="75B48296" w14:textId="77777777" w:rsidR="007C75C5" w:rsidRPr="000C356B" w:rsidRDefault="007C75C5" w:rsidP="00440E80">
            <w:pPr>
              <w:spacing w:after="0" w:line="240" w:lineRule="auto"/>
              <w:jc w:val="center"/>
              <w:rPr>
                <w:rFonts w:ascii="Times New Roman" w:eastAsia="Times New Roman" w:hAnsi="Times New Roman" w:cs="Times New Roman"/>
                <w:b/>
                <w:bCs/>
                <w:color w:val="000000"/>
                <w:lang w:eastAsia="en-GB"/>
              </w:rPr>
            </w:pPr>
            <w:r w:rsidRPr="000C356B">
              <w:rPr>
                <w:rFonts w:ascii="Times New Roman" w:eastAsia="Times New Roman" w:hAnsi="Times New Roman" w:cs="Times New Roman"/>
                <w:b/>
                <w:bCs/>
                <w:color w:val="000000"/>
                <w:lang w:eastAsia="en-GB"/>
              </w:rPr>
              <w:t>Unhappy</w:t>
            </w:r>
          </w:p>
        </w:tc>
        <w:tc>
          <w:tcPr>
            <w:tcW w:w="993" w:type="dxa"/>
            <w:tcBorders>
              <w:top w:val="single" w:sz="4" w:space="0" w:color="auto"/>
              <w:left w:val="nil"/>
              <w:bottom w:val="single" w:sz="4" w:space="0" w:color="auto"/>
              <w:right w:val="nil"/>
            </w:tcBorders>
            <w:shd w:val="clear" w:color="000000" w:fill="B8CCE4"/>
            <w:noWrap/>
            <w:vAlign w:val="center"/>
            <w:hideMark/>
          </w:tcPr>
          <w:p w14:paraId="2902A6E9" w14:textId="77777777" w:rsidR="007C75C5" w:rsidRPr="000C356B" w:rsidRDefault="007C75C5" w:rsidP="00440E80">
            <w:pPr>
              <w:spacing w:after="0" w:line="240" w:lineRule="auto"/>
              <w:jc w:val="center"/>
              <w:rPr>
                <w:rFonts w:ascii="Times New Roman" w:eastAsia="Times New Roman" w:hAnsi="Times New Roman" w:cs="Times New Roman"/>
                <w:b/>
                <w:bCs/>
                <w:color w:val="000000"/>
                <w:lang w:eastAsia="en-GB"/>
              </w:rPr>
            </w:pPr>
            <w:r w:rsidRPr="000C356B">
              <w:rPr>
                <w:rFonts w:ascii="Times New Roman" w:eastAsia="Times New Roman" w:hAnsi="Times New Roman" w:cs="Times New Roman"/>
                <w:b/>
                <w:bCs/>
                <w:color w:val="000000"/>
                <w:lang w:eastAsia="en-GB"/>
              </w:rPr>
              <w:t>Total N</w:t>
            </w:r>
          </w:p>
        </w:tc>
      </w:tr>
      <w:tr w:rsidR="007C75C5" w:rsidRPr="000C356B" w14:paraId="69DD741D" w14:textId="77777777" w:rsidTr="008B4E20">
        <w:trPr>
          <w:trHeight w:val="300"/>
          <w:jc w:val="center"/>
        </w:trPr>
        <w:tc>
          <w:tcPr>
            <w:tcW w:w="1842" w:type="dxa"/>
            <w:tcBorders>
              <w:top w:val="nil"/>
              <w:left w:val="nil"/>
              <w:bottom w:val="nil"/>
              <w:right w:val="nil"/>
            </w:tcBorders>
            <w:shd w:val="clear" w:color="auto" w:fill="auto"/>
            <w:noWrap/>
            <w:vAlign w:val="center"/>
            <w:hideMark/>
          </w:tcPr>
          <w:p w14:paraId="10909AA0"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Autumn term 1</w:t>
            </w:r>
          </w:p>
        </w:tc>
        <w:tc>
          <w:tcPr>
            <w:tcW w:w="1263" w:type="dxa"/>
            <w:tcBorders>
              <w:top w:val="nil"/>
              <w:left w:val="nil"/>
              <w:bottom w:val="nil"/>
              <w:right w:val="nil"/>
            </w:tcBorders>
            <w:shd w:val="clear" w:color="auto" w:fill="auto"/>
            <w:noWrap/>
            <w:vAlign w:val="center"/>
            <w:hideMark/>
          </w:tcPr>
          <w:p w14:paraId="168897A9"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25%</w:t>
            </w:r>
          </w:p>
        </w:tc>
        <w:tc>
          <w:tcPr>
            <w:tcW w:w="1159" w:type="dxa"/>
            <w:tcBorders>
              <w:top w:val="nil"/>
              <w:left w:val="nil"/>
              <w:bottom w:val="nil"/>
              <w:right w:val="nil"/>
            </w:tcBorders>
            <w:shd w:val="clear" w:color="auto" w:fill="auto"/>
            <w:noWrap/>
            <w:vAlign w:val="center"/>
            <w:hideMark/>
          </w:tcPr>
          <w:p w14:paraId="112EF654"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24%</w:t>
            </w:r>
          </w:p>
        </w:tc>
        <w:tc>
          <w:tcPr>
            <w:tcW w:w="993" w:type="dxa"/>
            <w:tcBorders>
              <w:top w:val="nil"/>
              <w:left w:val="nil"/>
              <w:bottom w:val="nil"/>
              <w:right w:val="nil"/>
            </w:tcBorders>
            <w:shd w:val="clear" w:color="auto" w:fill="auto"/>
            <w:noWrap/>
            <w:vAlign w:val="center"/>
            <w:hideMark/>
          </w:tcPr>
          <w:p w14:paraId="51ACB660"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1,880</w:t>
            </w:r>
          </w:p>
        </w:tc>
      </w:tr>
      <w:tr w:rsidR="007C75C5" w:rsidRPr="000C356B" w14:paraId="6CB3EDB4" w14:textId="77777777" w:rsidTr="008B4E20">
        <w:trPr>
          <w:trHeight w:val="300"/>
          <w:jc w:val="center"/>
        </w:trPr>
        <w:tc>
          <w:tcPr>
            <w:tcW w:w="1842" w:type="dxa"/>
            <w:tcBorders>
              <w:top w:val="nil"/>
              <w:left w:val="nil"/>
              <w:bottom w:val="nil"/>
              <w:right w:val="nil"/>
            </w:tcBorders>
            <w:shd w:val="clear" w:color="000000" w:fill="BFBFBF"/>
            <w:noWrap/>
            <w:vAlign w:val="center"/>
            <w:hideMark/>
          </w:tcPr>
          <w:p w14:paraId="6FBC644F"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Autumn HT</w:t>
            </w:r>
          </w:p>
        </w:tc>
        <w:tc>
          <w:tcPr>
            <w:tcW w:w="1263" w:type="dxa"/>
            <w:tcBorders>
              <w:top w:val="nil"/>
              <w:left w:val="nil"/>
              <w:bottom w:val="nil"/>
              <w:right w:val="nil"/>
            </w:tcBorders>
            <w:shd w:val="clear" w:color="000000" w:fill="BFBFBF"/>
            <w:noWrap/>
            <w:vAlign w:val="center"/>
            <w:hideMark/>
          </w:tcPr>
          <w:p w14:paraId="29611A7E"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20%</w:t>
            </w:r>
          </w:p>
        </w:tc>
        <w:tc>
          <w:tcPr>
            <w:tcW w:w="1159" w:type="dxa"/>
            <w:tcBorders>
              <w:top w:val="nil"/>
              <w:left w:val="nil"/>
              <w:bottom w:val="nil"/>
              <w:right w:val="nil"/>
            </w:tcBorders>
            <w:shd w:val="clear" w:color="000000" w:fill="BFBFBF"/>
            <w:noWrap/>
            <w:vAlign w:val="center"/>
            <w:hideMark/>
          </w:tcPr>
          <w:p w14:paraId="0D422DEA"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20%</w:t>
            </w:r>
          </w:p>
        </w:tc>
        <w:tc>
          <w:tcPr>
            <w:tcW w:w="993" w:type="dxa"/>
            <w:tcBorders>
              <w:top w:val="nil"/>
              <w:left w:val="nil"/>
              <w:bottom w:val="nil"/>
              <w:right w:val="nil"/>
            </w:tcBorders>
            <w:shd w:val="clear" w:color="000000" w:fill="BFBFBF"/>
            <w:noWrap/>
            <w:vAlign w:val="center"/>
            <w:hideMark/>
          </w:tcPr>
          <w:p w14:paraId="3EE83131"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598</w:t>
            </w:r>
          </w:p>
        </w:tc>
      </w:tr>
      <w:tr w:rsidR="007C75C5" w:rsidRPr="000C356B" w14:paraId="7C3011F9" w14:textId="77777777" w:rsidTr="008B4E20">
        <w:trPr>
          <w:trHeight w:val="300"/>
          <w:jc w:val="center"/>
        </w:trPr>
        <w:tc>
          <w:tcPr>
            <w:tcW w:w="1842" w:type="dxa"/>
            <w:tcBorders>
              <w:top w:val="nil"/>
              <w:left w:val="nil"/>
              <w:bottom w:val="nil"/>
              <w:right w:val="nil"/>
            </w:tcBorders>
            <w:shd w:val="clear" w:color="auto" w:fill="auto"/>
            <w:noWrap/>
            <w:vAlign w:val="center"/>
            <w:hideMark/>
          </w:tcPr>
          <w:p w14:paraId="4DB3087A"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Autumn term 2</w:t>
            </w:r>
          </w:p>
        </w:tc>
        <w:tc>
          <w:tcPr>
            <w:tcW w:w="1263" w:type="dxa"/>
            <w:tcBorders>
              <w:top w:val="nil"/>
              <w:left w:val="nil"/>
              <w:bottom w:val="nil"/>
              <w:right w:val="nil"/>
            </w:tcBorders>
            <w:shd w:val="clear" w:color="auto" w:fill="auto"/>
            <w:noWrap/>
            <w:vAlign w:val="center"/>
            <w:hideMark/>
          </w:tcPr>
          <w:p w14:paraId="68591459"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24%</w:t>
            </w:r>
          </w:p>
        </w:tc>
        <w:tc>
          <w:tcPr>
            <w:tcW w:w="1159" w:type="dxa"/>
            <w:tcBorders>
              <w:top w:val="nil"/>
              <w:left w:val="nil"/>
              <w:bottom w:val="nil"/>
              <w:right w:val="nil"/>
            </w:tcBorders>
            <w:shd w:val="clear" w:color="auto" w:fill="auto"/>
            <w:noWrap/>
            <w:vAlign w:val="center"/>
            <w:hideMark/>
          </w:tcPr>
          <w:p w14:paraId="3C6E86FB"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22%</w:t>
            </w:r>
          </w:p>
        </w:tc>
        <w:tc>
          <w:tcPr>
            <w:tcW w:w="993" w:type="dxa"/>
            <w:tcBorders>
              <w:top w:val="nil"/>
              <w:left w:val="nil"/>
              <w:bottom w:val="nil"/>
              <w:right w:val="nil"/>
            </w:tcBorders>
            <w:shd w:val="clear" w:color="auto" w:fill="auto"/>
            <w:noWrap/>
            <w:vAlign w:val="center"/>
            <w:hideMark/>
          </w:tcPr>
          <w:p w14:paraId="773D0D31"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1,622</w:t>
            </w:r>
          </w:p>
        </w:tc>
      </w:tr>
      <w:tr w:rsidR="007C75C5" w:rsidRPr="000C356B" w14:paraId="228424EB" w14:textId="77777777" w:rsidTr="008B4E20">
        <w:trPr>
          <w:trHeight w:val="300"/>
          <w:jc w:val="center"/>
        </w:trPr>
        <w:tc>
          <w:tcPr>
            <w:tcW w:w="1842" w:type="dxa"/>
            <w:tcBorders>
              <w:top w:val="nil"/>
              <w:left w:val="nil"/>
              <w:bottom w:val="nil"/>
              <w:right w:val="nil"/>
            </w:tcBorders>
            <w:shd w:val="clear" w:color="000000" w:fill="BFBFBF"/>
            <w:noWrap/>
            <w:vAlign w:val="center"/>
            <w:hideMark/>
          </w:tcPr>
          <w:p w14:paraId="5B2E835A"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Xmas holiday</w:t>
            </w:r>
          </w:p>
        </w:tc>
        <w:tc>
          <w:tcPr>
            <w:tcW w:w="1263" w:type="dxa"/>
            <w:tcBorders>
              <w:top w:val="nil"/>
              <w:left w:val="nil"/>
              <w:bottom w:val="nil"/>
              <w:right w:val="nil"/>
            </w:tcBorders>
            <w:shd w:val="clear" w:color="000000" w:fill="BFBFBF"/>
            <w:noWrap/>
            <w:vAlign w:val="center"/>
            <w:hideMark/>
          </w:tcPr>
          <w:p w14:paraId="22720451"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18%</w:t>
            </w:r>
          </w:p>
        </w:tc>
        <w:tc>
          <w:tcPr>
            <w:tcW w:w="1159" w:type="dxa"/>
            <w:tcBorders>
              <w:top w:val="nil"/>
              <w:left w:val="nil"/>
              <w:bottom w:val="nil"/>
              <w:right w:val="nil"/>
            </w:tcBorders>
            <w:shd w:val="clear" w:color="000000" w:fill="BFBFBF"/>
            <w:noWrap/>
            <w:vAlign w:val="center"/>
            <w:hideMark/>
          </w:tcPr>
          <w:p w14:paraId="0B1C4B21"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17%</w:t>
            </w:r>
          </w:p>
        </w:tc>
        <w:tc>
          <w:tcPr>
            <w:tcW w:w="993" w:type="dxa"/>
            <w:tcBorders>
              <w:top w:val="nil"/>
              <w:left w:val="nil"/>
              <w:bottom w:val="nil"/>
              <w:right w:val="nil"/>
            </w:tcBorders>
            <w:shd w:val="clear" w:color="000000" w:fill="BFBFBF"/>
            <w:noWrap/>
            <w:vAlign w:val="center"/>
            <w:hideMark/>
          </w:tcPr>
          <w:p w14:paraId="577AF133"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796</w:t>
            </w:r>
          </w:p>
        </w:tc>
      </w:tr>
      <w:tr w:rsidR="007C75C5" w:rsidRPr="000C356B" w14:paraId="520EA220" w14:textId="77777777" w:rsidTr="008B4E20">
        <w:trPr>
          <w:trHeight w:val="300"/>
          <w:jc w:val="center"/>
        </w:trPr>
        <w:tc>
          <w:tcPr>
            <w:tcW w:w="1842" w:type="dxa"/>
            <w:tcBorders>
              <w:top w:val="nil"/>
              <w:left w:val="nil"/>
              <w:bottom w:val="nil"/>
              <w:right w:val="nil"/>
            </w:tcBorders>
            <w:shd w:val="clear" w:color="auto" w:fill="auto"/>
            <w:noWrap/>
            <w:vAlign w:val="center"/>
            <w:hideMark/>
          </w:tcPr>
          <w:p w14:paraId="42891AB8"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Spring term 1</w:t>
            </w:r>
          </w:p>
        </w:tc>
        <w:tc>
          <w:tcPr>
            <w:tcW w:w="1263" w:type="dxa"/>
            <w:tcBorders>
              <w:top w:val="nil"/>
              <w:left w:val="nil"/>
              <w:bottom w:val="nil"/>
              <w:right w:val="nil"/>
            </w:tcBorders>
            <w:shd w:val="clear" w:color="auto" w:fill="auto"/>
            <w:noWrap/>
            <w:vAlign w:val="center"/>
            <w:hideMark/>
          </w:tcPr>
          <w:p w14:paraId="20D2EC66"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24%</w:t>
            </w:r>
          </w:p>
        </w:tc>
        <w:tc>
          <w:tcPr>
            <w:tcW w:w="1159" w:type="dxa"/>
            <w:tcBorders>
              <w:top w:val="nil"/>
              <w:left w:val="nil"/>
              <w:bottom w:val="nil"/>
              <w:right w:val="nil"/>
            </w:tcBorders>
            <w:shd w:val="clear" w:color="auto" w:fill="auto"/>
            <w:noWrap/>
            <w:vAlign w:val="center"/>
            <w:hideMark/>
          </w:tcPr>
          <w:p w14:paraId="56C3B994"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23%</w:t>
            </w:r>
          </w:p>
        </w:tc>
        <w:tc>
          <w:tcPr>
            <w:tcW w:w="993" w:type="dxa"/>
            <w:tcBorders>
              <w:top w:val="nil"/>
              <w:left w:val="nil"/>
              <w:bottom w:val="nil"/>
              <w:right w:val="nil"/>
            </w:tcBorders>
            <w:shd w:val="clear" w:color="auto" w:fill="auto"/>
            <w:noWrap/>
            <w:vAlign w:val="center"/>
            <w:hideMark/>
          </w:tcPr>
          <w:p w14:paraId="2DB34945"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1,183</w:t>
            </w:r>
          </w:p>
        </w:tc>
      </w:tr>
      <w:tr w:rsidR="007C75C5" w:rsidRPr="000C356B" w14:paraId="04CBBD7D" w14:textId="77777777" w:rsidTr="008B4E20">
        <w:trPr>
          <w:trHeight w:val="300"/>
          <w:jc w:val="center"/>
        </w:trPr>
        <w:tc>
          <w:tcPr>
            <w:tcW w:w="1842" w:type="dxa"/>
            <w:tcBorders>
              <w:top w:val="nil"/>
              <w:left w:val="nil"/>
              <w:bottom w:val="nil"/>
              <w:right w:val="nil"/>
            </w:tcBorders>
            <w:shd w:val="clear" w:color="000000" w:fill="BFBFBF"/>
            <w:noWrap/>
            <w:vAlign w:val="center"/>
            <w:hideMark/>
          </w:tcPr>
          <w:p w14:paraId="166E7919"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Spring HT</w:t>
            </w:r>
          </w:p>
        </w:tc>
        <w:tc>
          <w:tcPr>
            <w:tcW w:w="1263" w:type="dxa"/>
            <w:tcBorders>
              <w:top w:val="nil"/>
              <w:left w:val="nil"/>
              <w:bottom w:val="nil"/>
              <w:right w:val="nil"/>
            </w:tcBorders>
            <w:shd w:val="clear" w:color="000000" w:fill="BFBFBF"/>
            <w:noWrap/>
            <w:vAlign w:val="center"/>
            <w:hideMark/>
          </w:tcPr>
          <w:p w14:paraId="272874E6"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20%</w:t>
            </w:r>
          </w:p>
        </w:tc>
        <w:tc>
          <w:tcPr>
            <w:tcW w:w="1159" w:type="dxa"/>
            <w:tcBorders>
              <w:top w:val="nil"/>
              <w:left w:val="nil"/>
              <w:bottom w:val="nil"/>
              <w:right w:val="nil"/>
            </w:tcBorders>
            <w:shd w:val="clear" w:color="000000" w:fill="BFBFBF"/>
            <w:noWrap/>
            <w:vAlign w:val="center"/>
            <w:hideMark/>
          </w:tcPr>
          <w:p w14:paraId="5619539A"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18%</w:t>
            </w:r>
          </w:p>
        </w:tc>
        <w:tc>
          <w:tcPr>
            <w:tcW w:w="993" w:type="dxa"/>
            <w:tcBorders>
              <w:top w:val="nil"/>
              <w:left w:val="nil"/>
              <w:bottom w:val="nil"/>
              <w:right w:val="nil"/>
            </w:tcBorders>
            <w:shd w:val="clear" w:color="000000" w:fill="BFBFBF"/>
            <w:noWrap/>
            <w:vAlign w:val="center"/>
            <w:hideMark/>
          </w:tcPr>
          <w:p w14:paraId="24A90FB1"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466</w:t>
            </w:r>
          </w:p>
        </w:tc>
      </w:tr>
      <w:tr w:rsidR="007C75C5" w:rsidRPr="000C356B" w14:paraId="6823555F" w14:textId="77777777" w:rsidTr="008B4E20">
        <w:trPr>
          <w:trHeight w:val="300"/>
          <w:jc w:val="center"/>
        </w:trPr>
        <w:tc>
          <w:tcPr>
            <w:tcW w:w="1842" w:type="dxa"/>
            <w:tcBorders>
              <w:top w:val="nil"/>
              <w:left w:val="nil"/>
              <w:bottom w:val="nil"/>
              <w:right w:val="nil"/>
            </w:tcBorders>
            <w:shd w:val="clear" w:color="auto" w:fill="auto"/>
            <w:noWrap/>
            <w:vAlign w:val="center"/>
            <w:hideMark/>
          </w:tcPr>
          <w:p w14:paraId="17312321"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Spring term 2</w:t>
            </w:r>
          </w:p>
        </w:tc>
        <w:tc>
          <w:tcPr>
            <w:tcW w:w="1263" w:type="dxa"/>
            <w:tcBorders>
              <w:top w:val="nil"/>
              <w:left w:val="nil"/>
              <w:bottom w:val="nil"/>
              <w:right w:val="nil"/>
            </w:tcBorders>
            <w:shd w:val="clear" w:color="auto" w:fill="auto"/>
            <w:noWrap/>
            <w:vAlign w:val="center"/>
            <w:hideMark/>
          </w:tcPr>
          <w:p w14:paraId="531D5DBD"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22%</w:t>
            </w:r>
          </w:p>
        </w:tc>
        <w:tc>
          <w:tcPr>
            <w:tcW w:w="1159" w:type="dxa"/>
            <w:tcBorders>
              <w:top w:val="nil"/>
              <w:left w:val="nil"/>
              <w:bottom w:val="nil"/>
              <w:right w:val="nil"/>
            </w:tcBorders>
            <w:shd w:val="clear" w:color="auto" w:fill="auto"/>
            <w:noWrap/>
            <w:vAlign w:val="center"/>
            <w:hideMark/>
          </w:tcPr>
          <w:p w14:paraId="28A1F0B5"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24%</w:t>
            </w:r>
          </w:p>
        </w:tc>
        <w:tc>
          <w:tcPr>
            <w:tcW w:w="993" w:type="dxa"/>
            <w:tcBorders>
              <w:top w:val="nil"/>
              <w:left w:val="nil"/>
              <w:bottom w:val="nil"/>
              <w:right w:val="nil"/>
            </w:tcBorders>
            <w:shd w:val="clear" w:color="auto" w:fill="auto"/>
            <w:noWrap/>
            <w:vAlign w:val="center"/>
            <w:hideMark/>
          </w:tcPr>
          <w:p w14:paraId="679C0972"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1,042</w:t>
            </w:r>
          </w:p>
        </w:tc>
      </w:tr>
      <w:tr w:rsidR="007C75C5" w:rsidRPr="000C356B" w14:paraId="261095D4" w14:textId="77777777" w:rsidTr="008B4E20">
        <w:trPr>
          <w:trHeight w:val="300"/>
          <w:jc w:val="center"/>
        </w:trPr>
        <w:tc>
          <w:tcPr>
            <w:tcW w:w="1842" w:type="dxa"/>
            <w:tcBorders>
              <w:top w:val="nil"/>
              <w:left w:val="nil"/>
              <w:bottom w:val="nil"/>
              <w:right w:val="nil"/>
            </w:tcBorders>
            <w:shd w:val="clear" w:color="000000" w:fill="BFBFBF"/>
            <w:noWrap/>
            <w:vAlign w:val="center"/>
            <w:hideMark/>
          </w:tcPr>
          <w:p w14:paraId="2E8EFA20"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Easter holidays</w:t>
            </w:r>
          </w:p>
        </w:tc>
        <w:tc>
          <w:tcPr>
            <w:tcW w:w="1263" w:type="dxa"/>
            <w:tcBorders>
              <w:top w:val="nil"/>
              <w:left w:val="nil"/>
              <w:bottom w:val="nil"/>
              <w:right w:val="nil"/>
            </w:tcBorders>
            <w:shd w:val="clear" w:color="000000" w:fill="BFBFBF"/>
            <w:noWrap/>
            <w:vAlign w:val="center"/>
            <w:hideMark/>
          </w:tcPr>
          <w:p w14:paraId="3E1E6495"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11%</w:t>
            </w:r>
          </w:p>
        </w:tc>
        <w:tc>
          <w:tcPr>
            <w:tcW w:w="1159" w:type="dxa"/>
            <w:tcBorders>
              <w:top w:val="nil"/>
              <w:left w:val="nil"/>
              <w:bottom w:val="nil"/>
              <w:right w:val="nil"/>
            </w:tcBorders>
            <w:shd w:val="clear" w:color="000000" w:fill="BFBFBF"/>
            <w:noWrap/>
            <w:vAlign w:val="center"/>
            <w:hideMark/>
          </w:tcPr>
          <w:p w14:paraId="2F05827E"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13%</w:t>
            </w:r>
          </w:p>
        </w:tc>
        <w:tc>
          <w:tcPr>
            <w:tcW w:w="993" w:type="dxa"/>
            <w:tcBorders>
              <w:top w:val="nil"/>
              <w:left w:val="nil"/>
              <w:bottom w:val="nil"/>
              <w:right w:val="nil"/>
            </w:tcBorders>
            <w:shd w:val="clear" w:color="000000" w:fill="BFBFBF"/>
            <w:noWrap/>
            <w:vAlign w:val="center"/>
            <w:hideMark/>
          </w:tcPr>
          <w:p w14:paraId="016BF7DD"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495</w:t>
            </w:r>
          </w:p>
        </w:tc>
      </w:tr>
      <w:tr w:rsidR="007C75C5" w:rsidRPr="000C356B" w14:paraId="2D0BFB64" w14:textId="77777777" w:rsidTr="008B4E20">
        <w:trPr>
          <w:trHeight w:val="300"/>
          <w:jc w:val="center"/>
        </w:trPr>
        <w:tc>
          <w:tcPr>
            <w:tcW w:w="1842" w:type="dxa"/>
            <w:tcBorders>
              <w:top w:val="nil"/>
              <w:left w:val="nil"/>
              <w:bottom w:val="nil"/>
              <w:right w:val="nil"/>
            </w:tcBorders>
            <w:shd w:val="clear" w:color="auto" w:fill="auto"/>
            <w:noWrap/>
            <w:vAlign w:val="center"/>
            <w:hideMark/>
          </w:tcPr>
          <w:p w14:paraId="6550B6DD"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Summer term 1</w:t>
            </w:r>
          </w:p>
        </w:tc>
        <w:tc>
          <w:tcPr>
            <w:tcW w:w="1263" w:type="dxa"/>
            <w:tcBorders>
              <w:top w:val="nil"/>
              <w:left w:val="nil"/>
              <w:bottom w:val="nil"/>
              <w:right w:val="nil"/>
            </w:tcBorders>
            <w:shd w:val="clear" w:color="auto" w:fill="auto"/>
            <w:noWrap/>
            <w:vAlign w:val="center"/>
            <w:hideMark/>
          </w:tcPr>
          <w:p w14:paraId="64842140"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22%</w:t>
            </w:r>
          </w:p>
        </w:tc>
        <w:tc>
          <w:tcPr>
            <w:tcW w:w="1159" w:type="dxa"/>
            <w:tcBorders>
              <w:top w:val="nil"/>
              <w:left w:val="nil"/>
              <w:bottom w:val="nil"/>
              <w:right w:val="nil"/>
            </w:tcBorders>
            <w:shd w:val="clear" w:color="auto" w:fill="auto"/>
            <w:noWrap/>
            <w:vAlign w:val="center"/>
            <w:hideMark/>
          </w:tcPr>
          <w:p w14:paraId="3BFC780E"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24%</w:t>
            </w:r>
          </w:p>
        </w:tc>
        <w:tc>
          <w:tcPr>
            <w:tcW w:w="993" w:type="dxa"/>
            <w:tcBorders>
              <w:top w:val="nil"/>
              <w:left w:val="nil"/>
              <w:bottom w:val="nil"/>
              <w:right w:val="nil"/>
            </w:tcBorders>
            <w:shd w:val="clear" w:color="auto" w:fill="auto"/>
            <w:noWrap/>
            <w:vAlign w:val="center"/>
            <w:hideMark/>
          </w:tcPr>
          <w:p w14:paraId="5F9688D3"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1,442</w:t>
            </w:r>
          </w:p>
        </w:tc>
      </w:tr>
      <w:tr w:rsidR="007C75C5" w:rsidRPr="000C356B" w14:paraId="65432510" w14:textId="77777777" w:rsidTr="008B4E20">
        <w:trPr>
          <w:trHeight w:val="300"/>
          <w:jc w:val="center"/>
        </w:trPr>
        <w:tc>
          <w:tcPr>
            <w:tcW w:w="1842" w:type="dxa"/>
            <w:tcBorders>
              <w:top w:val="nil"/>
              <w:left w:val="nil"/>
              <w:bottom w:val="nil"/>
              <w:right w:val="nil"/>
            </w:tcBorders>
            <w:shd w:val="clear" w:color="000000" w:fill="BFBFBF"/>
            <w:noWrap/>
            <w:vAlign w:val="center"/>
            <w:hideMark/>
          </w:tcPr>
          <w:p w14:paraId="3FB80505"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Summer HT</w:t>
            </w:r>
          </w:p>
        </w:tc>
        <w:tc>
          <w:tcPr>
            <w:tcW w:w="1263" w:type="dxa"/>
            <w:tcBorders>
              <w:top w:val="nil"/>
              <w:left w:val="nil"/>
              <w:bottom w:val="nil"/>
              <w:right w:val="nil"/>
            </w:tcBorders>
            <w:shd w:val="clear" w:color="000000" w:fill="BFBFBF"/>
            <w:noWrap/>
            <w:vAlign w:val="center"/>
            <w:hideMark/>
          </w:tcPr>
          <w:p w14:paraId="11A5548E"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15%</w:t>
            </w:r>
          </w:p>
        </w:tc>
        <w:tc>
          <w:tcPr>
            <w:tcW w:w="1159" w:type="dxa"/>
            <w:tcBorders>
              <w:top w:val="nil"/>
              <w:left w:val="nil"/>
              <w:bottom w:val="nil"/>
              <w:right w:val="nil"/>
            </w:tcBorders>
            <w:shd w:val="clear" w:color="000000" w:fill="BFBFBF"/>
            <w:noWrap/>
            <w:vAlign w:val="center"/>
            <w:hideMark/>
          </w:tcPr>
          <w:p w14:paraId="0EA986DC"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19%</w:t>
            </w:r>
          </w:p>
        </w:tc>
        <w:tc>
          <w:tcPr>
            <w:tcW w:w="993" w:type="dxa"/>
            <w:tcBorders>
              <w:top w:val="nil"/>
              <w:left w:val="nil"/>
              <w:bottom w:val="nil"/>
              <w:right w:val="nil"/>
            </w:tcBorders>
            <w:shd w:val="clear" w:color="000000" w:fill="BFBFBF"/>
            <w:noWrap/>
            <w:vAlign w:val="center"/>
            <w:hideMark/>
          </w:tcPr>
          <w:p w14:paraId="18A74D0A"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207</w:t>
            </w:r>
          </w:p>
        </w:tc>
      </w:tr>
      <w:tr w:rsidR="007C75C5" w:rsidRPr="000C356B" w14:paraId="726BC9B8" w14:textId="77777777" w:rsidTr="008B4E20">
        <w:trPr>
          <w:trHeight w:val="300"/>
          <w:jc w:val="center"/>
        </w:trPr>
        <w:tc>
          <w:tcPr>
            <w:tcW w:w="1842" w:type="dxa"/>
            <w:tcBorders>
              <w:top w:val="nil"/>
              <w:left w:val="nil"/>
              <w:bottom w:val="nil"/>
              <w:right w:val="nil"/>
            </w:tcBorders>
            <w:shd w:val="clear" w:color="auto" w:fill="auto"/>
            <w:noWrap/>
            <w:vAlign w:val="center"/>
            <w:hideMark/>
          </w:tcPr>
          <w:p w14:paraId="5BF1CC00"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Summer term 2</w:t>
            </w:r>
          </w:p>
        </w:tc>
        <w:tc>
          <w:tcPr>
            <w:tcW w:w="1263" w:type="dxa"/>
            <w:tcBorders>
              <w:top w:val="nil"/>
              <w:left w:val="nil"/>
              <w:bottom w:val="nil"/>
              <w:right w:val="nil"/>
            </w:tcBorders>
            <w:shd w:val="clear" w:color="auto" w:fill="auto"/>
            <w:noWrap/>
            <w:vAlign w:val="center"/>
            <w:hideMark/>
          </w:tcPr>
          <w:p w14:paraId="662BF922"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22%</w:t>
            </w:r>
          </w:p>
        </w:tc>
        <w:tc>
          <w:tcPr>
            <w:tcW w:w="1159" w:type="dxa"/>
            <w:tcBorders>
              <w:top w:val="nil"/>
              <w:left w:val="nil"/>
              <w:bottom w:val="nil"/>
              <w:right w:val="nil"/>
            </w:tcBorders>
            <w:shd w:val="clear" w:color="auto" w:fill="auto"/>
            <w:noWrap/>
            <w:vAlign w:val="center"/>
            <w:hideMark/>
          </w:tcPr>
          <w:p w14:paraId="40018516"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21%</w:t>
            </w:r>
          </w:p>
        </w:tc>
        <w:tc>
          <w:tcPr>
            <w:tcW w:w="993" w:type="dxa"/>
            <w:tcBorders>
              <w:top w:val="nil"/>
              <w:left w:val="nil"/>
              <w:bottom w:val="nil"/>
              <w:right w:val="nil"/>
            </w:tcBorders>
            <w:shd w:val="clear" w:color="auto" w:fill="auto"/>
            <w:noWrap/>
            <w:vAlign w:val="center"/>
            <w:hideMark/>
          </w:tcPr>
          <w:p w14:paraId="155B80E0"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1,758</w:t>
            </w:r>
          </w:p>
        </w:tc>
      </w:tr>
      <w:tr w:rsidR="007C75C5" w:rsidRPr="000C356B" w14:paraId="7B2097F1" w14:textId="77777777" w:rsidTr="008B4E20">
        <w:trPr>
          <w:trHeight w:val="315"/>
          <w:jc w:val="center"/>
        </w:trPr>
        <w:tc>
          <w:tcPr>
            <w:tcW w:w="1842" w:type="dxa"/>
            <w:tcBorders>
              <w:top w:val="nil"/>
              <w:left w:val="nil"/>
              <w:bottom w:val="single" w:sz="8" w:space="0" w:color="auto"/>
              <w:right w:val="nil"/>
            </w:tcBorders>
            <w:shd w:val="clear" w:color="000000" w:fill="BFBFBF"/>
            <w:noWrap/>
            <w:vAlign w:val="center"/>
            <w:hideMark/>
          </w:tcPr>
          <w:p w14:paraId="2C268876" w14:textId="77777777" w:rsidR="007C75C5" w:rsidRPr="000C356B" w:rsidRDefault="007C75C5" w:rsidP="00440E80">
            <w:pPr>
              <w:spacing w:after="0" w:line="240" w:lineRule="auto"/>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Summer holidays</w:t>
            </w:r>
          </w:p>
        </w:tc>
        <w:tc>
          <w:tcPr>
            <w:tcW w:w="1263" w:type="dxa"/>
            <w:tcBorders>
              <w:top w:val="nil"/>
              <w:left w:val="nil"/>
              <w:bottom w:val="single" w:sz="8" w:space="0" w:color="auto"/>
              <w:right w:val="nil"/>
            </w:tcBorders>
            <w:shd w:val="clear" w:color="000000" w:fill="BFBFBF"/>
            <w:noWrap/>
            <w:vAlign w:val="center"/>
            <w:hideMark/>
          </w:tcPr>
          <w:p w14:paraId="5D4DF101"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16%</w:t>
            </w:r>
          </w:p>
        </w:tc>
        <w:tc>
          <w:tcPr>
            <w:tcW w:w="1159" w:type="dxa"/>
            <w:tcBorders>
              <w:top w:val="nil"/>
              <w:left w:val="nil"/>
              <w:bottom w:val="single" w:sz="8" w:space="0" w:color="auto"/>
              <w:right w:val="nil"/>
            </w:tcBorders>
            <w:shd w:val="clear" w:color="000000" w:fill="BFBFBF"/>
            <w:noWrap/>
            <w:vAlign w:val="center"/>
            <w:hideMark/>
          </w:tcPr>
          <w:p w14:paraId="1223A0E9"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13%</w:t>
            </w:r>
          </w:p>
        </w:tc>
        <w:tc>
          <w:tcPr>
            <w:tcW w:w="993" w:type="dxa"/>
            <w:tcBorders>
              <w:top w:val="nil"/>
              <w:left w:val="nil"/>
              <w:bottom w:val="single" w:sz="8" w:space="0" w:color="auto"/>
              <w:right w:val="nil"/>
            </w:tcBorders>
            <w:shd w:val="clear" w:color="000000" w:fill="BFBFBF"/>
            <w:noWrap/>
            <w:vAlign w:val="center"/>
            <w:hideMark/>
          </w:tcPr>
          <w:p w14:paraId="7BE0D38C" w14:textId="77777777" w:rsidR="007C75C5" w:rsidRPr="000C356B" w:rsidRDefault="007C75C5" w:rsidP="00440E80">
            <w:pPr>
              <w:spacing w:after="0" w:line="240" w:lineRule="auto"/>
              <w:jc w:val="center"/>
              <w:rPr>
                <w:rFonts w:ascii="Times New Roman" w:eastAsia="Times New Roman" w:hAnsi="Times New Roman" w:cs="Times New Roman"/>
                <w:color w:val="000000"/>
                <w:lang w:eastAsia="en-GB"/>
              </w:rPr>
            </w:pPr>
            <w:r w:rsidRPr="000C356B">
              <w:rPr>
                <w:rFonts w:ascii="Times New Roman" w:eastAsia="Times New Roman" w:hAnsi="Times New Roman" w:cs="Times New Roman"/>
                <w:color w:val="000000"/>
                <w:lang w:eastAsia="en-GB"/>
              </w:rPr>
              <w:t>1,870</w:t>
            </w:r>
          </w:p>
        </w:tc>
      </w:tr>
    </w:tbl>
    <w:p w14:paraId="2C7202F2" w14:textId="23736ED8" w:rsidR="007C75C5" w:rsidRPr="000C356B" w:rsidRDefault="007C75C5" w:rsidP="008B4E20">
      <w:pPr>
        <w:spacing w:after="240" w:line="240" w:lineRule="auto"/>
        <w:jc w:val="both"/>
        <w:rPr>
          <w:rFonts w:ascii="Times New Roman" w:hAnsi="Times New Roman" w:cs="Times New Roman"/>
          <w:sz w:val="20"/>
          <w:szCs w:val="20"/>
        </w:rPr>
      </w:pPr>
      <w:r w:rsidRPr="000C356B">
        <w:rPr>
          <w:rFonts w:ascii="Times New Roman" w:hAnsi="Times New Roman" w:cs="Times New Roman"/>
          <w:sz w:val="20"/>
          <w:szCs w:val="20"/>
        </w:rPr>
        <w:t xml:space="preserve">Notes: Propensity score matching estimates, where teachers responding within each half-term/school holiday is matched to a demographically similar individual who responded to the survey during the first half of the autumn term (‘autumn term 1’). </w:t>
      </w:r>
      <w:r w:rsidR="00C712B3" w:rsidRPr="00C15BFD">
        <w:rPr>
          <w:rFonts w:ascii="Times New Roman" w:hAnsi="Times New Roman" w:cs="Times New Roman"/>
          <w:sz w:val="20"/>
          <w:szCs w:val="20"/>
        </w:rPr>
        <w:t xml:space="preserve">Source = authors’ analysis of </w:t>
      </w:r>
      <w:r w:rsidR="00C712B3">
        <w:rPr>
          <w:rFonts w:ascii="Times New Roman" w:hAnsi="Times New Roman" w:cs="Times New Roman"/>
          <w:sz w:val="20"/>
          <w:szCs w:val="20"/>
        </w:rPr>
        <w:t>the Annual Population Survey</w:t>
      </w:r>
      <w:r w:rsidR="00C712B3" w:rsidRPr="00C15BFD">
        <w:rPr>
          <w:rFonts w:ascii="Times New Roman" w:hAnsi="Times New Roman" w:cs="Times New Roman"/>
          <w:sz w:val="20"/>
          <w:szCs w:val="20"/>
        </w:rPr>
        <w:t>.</w:t>
      </w:r>
    </w:p>
    <w:p w14:paraId="2CE7C446" w14:textId="19524518"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The results presented in Table 6.1 further confirm that the percentage of unhappy and anxious teachers is broadly similar across the six school half-terms – none stand out where anxiety and unhappiness levels are either particularly low or high. For instance, the percentage of anxious teachers consistently falls </w:t>
      </w:r>
      <w:r w:rsidR="004040AF">
        <w:rPr>
          <w:rFonts w:ascii="Times New Roman" w:hAnsi="Times New Roman" w:cs="Times New Roman"/>
          <w:sz w:val="24"/>
          <w:szCs w:val="24"/>
        </w:rPr>
        <w:t xml:space="preserve">to </w:t>
      </w:r>
      <w:r w:rsidRPr="007C75C5">
        <w:rPr>
          <w:rFonts w:ascii="Times New Roman" w:hAnsi="Times New Roman" w:cs="Times New Roman"/>
          <w:sz w:val="24"/>
          <w:szCs w:val="24"/>
        </w:rPr>
        <w:t>between around 22</w:t>
      </w:r>
      <w:r w:rsidR="005F7105">
        <w:rPr>
          <w:rFonts w:ascii="Times New Roman" w:hAnsi="Times New Roman" w:cs="Times New Roman"/>
          <w:sz w:val="24"/>
          <w:szCs w:val="24"/>
        </w:rPr>
        <w:t>-</w:t>
      </w:r>
      <w:r w:rsidRPr="007C75C5">
        <w:rPr>
          <w:rFonts w:ascii="Times New Roman" w:hAnsi="Times New Roman" w:cs="Times New Roman"/>
          <w:sz w:val="24"/>
          <w:szCs w:val="24"/>
        </w:rPr>
        <w:t>25</w:t>
      </w:r>
      <w:r w:rsidR="005F7105">
        <w:rPr>
          <w:rFonts w:ascii="Times New Roman" w:hAnsi="Times New Roman" w:cs="Times New Roman"/>
          <w:sz w:val="24"/>
          <w:szCs w:val="24"/>
        </w:rPr>
        <w:t>%</w:t>
      </w:r>
      <w:r w:rsidRPr="007C75C5">
        <w:rPr>
          <w:rFonts w:ascii="Times New Roman" w:hAnsi="Times New Roman" w:cs="Times New Roman"/>
          <w:sz w:val="24"/>
          <w:szCs w:val="24"/>
        </w:rPr>
        <w:t>. Second, there is clearly a dip in anxiety and unhappiness levels during the school holidays – particularly Easter (when 11</w:t>
      </w:r>
      <w:r w:rsidR="005F7105">
        <w:rPr>
          <w:rFonts w:ascii="Times New Roman" w:hAnsi="Times New Roman" w:cs="Times New Roman"/>
          <w:sz w:val="24"/>
          <w:szCs w:val="24"/>
        </w:rPr>
        <w:t>%</w:t>
      </w:r>
      <w:r w:rsidRPr="007C75C5">
        <w:rPr>
          <w:rFonts w:ascii="Times New Roman" w:hAnsi="Times New Roman" w:cs="Times New Roman"/>
          <w:sz w:val="24"/>
          <w:szCs w:val="24"/>
        </w:rPr>
        <w:t xml:space="preserve"> of teacher</w:t>
      </w:r>
      <w:r w:rsidR="005F7105">
        <w:rPr>
          <w:rFonts w:ascii="Times New Roman" w:hAnsi="Times New Roman" w:cs="Times New Roman"/>
          <w:sz w:val="24"/>
          <w:szCs w:val="24"/>
        </w:rPr>
        <w:t>s</w:t>
      </w:r>
      <w:r w:rsidRPr="007C75C5">
        <w:rPr>
          <w:rFonts w:ascii="Times New Roman" w:hAnsi="Times New Roman" w:cs="Times New Roman"/>
          <w:sz w:val="24"/>
          <w:szCs w:val="24"/>
        </w:rPr>
        <w:t xml:space="preserve"> are anxious), the summer half-term (when 15</w:t>
      </w:r>
      <w:r w:rsidR="005F7105">
        <w:rPr>
          <w:rFonts w:ascii="Times New Roman" w:hAnsi="Times New Roman" w:cs="Times New Roman"/>
          <w:sz w:val="24"/>
          <w:szCs w:val="24"/>
        </w:rPr>
        <w:t>%</w:t>
      </w:r>
      <w:r w:rsidRPr="007C75C5">
        <w:rPr>
          <w:rFonts w:ascii="Times New Roman" w:hAnsi="Times New Roman" w:cs="Times New Roman"/>
          <w:sz w:val="24"/>
          <w:szCs w:val="24"/>
        </w:rPr>
        <w:t xml:space="preserve"> of teachers are anxious) and the summer holidays (16</w:t>
      </w:r>
      <w:r w:rsidR="005F7105">
        <w:rPr>
          <w:rFonts w:ascii="Times New Roman" w:hAnsi="Times New Roman" w:cs="Times New Roman"/>
          <w:sz w:val="24"/>
          <w:szCs w:val="24"/>
        </w:rPr>
        <w:t>%</w:t>
      </w:r>
      <w:r w:rsidRPr="007C75C5">
        <w:rPr>
          <w:rFonts w:ascii="Times New Roman" w:hAnsi="Times New Roman" w:cs="Times New Roman"/>
          <w:sz w:val="24"/>
          <w:szCs w:val="24"/>
        </w:rPr>
        <w:t>). Together, this broadly confirms the central messages drawn from Figure 6.1.</w:t>
      </w:r>
    </w:p>
    <w:p w14:paraId="52617A69" w14:textId="77777777" w:rsidR="007C75C5" w:rsidRPr="007C75C5" w:rsidRDefault="007C75C5" w:rsidP="008B4E20">
      <w:pPr>
        <w:pStyle w:val="ListParagraph"/>
        <w:numPr>
          <w:ilvl w:val="1"/>
          <w:numId w:val="25"/>
        </w:numPr>
        <w:spacing w:line="360" w:lineRule="auto"/>
        <w:ind w:left="357" w:hanging="357"/>
        <w:rPr>
          <w:rFonts w:ascii="Times New Roman" w:hAnsi="Times New Roman" w:cs="Times New Roman"/>
          <w:b/>
          <w:sz w:val="24"/>
          <w:szCs w:val="24"/>
        </w:rPr>
      </w:pPr>
      <w:r w:rsidRPr="007C75C5">
        <w:rPr>
          <w:rFonts w:ascii="Times New Roman" w:hAnsi="Times New Roman" w:cs="Times New Roman"/>
          <w:b/>
          <w:sz w:val="24"/>
          <w:szCs w:val="24"/>
        </w:rPr>
        <w:t>Summary and implications</w:t>
      </w:r>
    </w:p>
    <w:p w14:paraId="00A1E4D7" w14:textId="77213E31" w:rsidR="007C75C5" w:rsidRPr="007C75C5" w:rsidRDefault="007C75C5" w:rsidP="007C75C5">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This chapter has presented two clear findings. First, anxiety and unhappiness levels of teachers change quickly between the school holidays and term</w:t>
      </w:r>
      <w:r w:rsidR="00982DB9">
        <w:rPr>
          <w:rFonts w:ascii="Times New Roman" w:hAnsi="Times New Roman" w:cs="Times New Roman"/>
          <w:sz w:val="24"/>
          <w:szCs w:val="24"/>
        </w:rPr>
        <w:t xml:space="preserve"> </w:t>
      </w:r>
      <w:r w:rsidRPr="007C75C5">
        <w:rPr>
          <w:rFonts w:ascii="Times New Roman" w:hAnsi="Times New Roman" w:cs="Times New Roman"/>
          <w:sz w:val="24"/>
          <w:szCs w:val="24"/>
        </w:rPr>
        <w:t>time. This is perhaps most notable as teachers return from the summer holiday (when anxiety levels are low) into the start of the autumn term (when the proportion of anxious teachers nearly doubles). Second, no particular term (or half-term) stands out as where anxiety and unhappiness levels amongst teachers are either particularly low or particularly high. Likewise, there is no clear evidence of variation within terms (although the sample size available to detect such subtle differences is limited).</w:t>
      </w:r>
    </w:p>
    <w:p w14:paraId="7A26B76E" w14:textId="515BD89C" w:rsidR="00C63413" w:rsidRPr="00C712B3" w:rsidRDefault="007C75C5" w:rsidP="00C712B3">
      <w:pPr>
        <w:spacing w:line="360" w:lineRule="auto"/>
        <w:jc w:val="both"/>
        <w:rPr>
          <w:rFonts w:ascii="Times New Roman" w:hAnsi="Times New Roman" w:cs="Times New Roman"/>
          <w:sz w:val="24"/>
          <w:szCs w:val="24"/>
        </w:rPr>
      </w:pPr>
      <w:r w:rsidRPr="007C75C5">
        <w:rPr>
          <w:rFonts w:ascii="Times New Roman" w:hAnsi="Times New Roman" w:cs="Times New Roman"/>
          <w:sz w:val="24"/>
          <w:szCs w:val="24"/>
        </w:rPr>
        <w:t xml:space="preserve">In terms of policy and </w:t>
      </w:r>
      <w:r w:rsidR="00982DB9" w:rsidRPr="007C75C5">
        <w:rPr>
          <w:rFonts w:ascii="Times New Roman" w:hAnsi="Times New Roman" w:cs="Times New Roman"/>
          <w:sz w:val="24"/>
          <w:szCs w:val="24"/>
        </w:rPr>
        <w:t>practi</w:t>
      </w:r>
      <w:r w:rsidR="00982DB9">
        <w:rPr>
          <w:rFonts w:ascii="Times New Roman" w:hAnsi="Times New Roman" w:cs="Times New Roman"/>
          <w:sz w:val="24"/>
          <w:szCs w:val="24"/>
        </w:rPr>
        <w:t>c</w:t>
      </w:r>
      <w:r w:rsidR="00982DB9" w:rsidRPr="007C75C5">
        <w:rPr>
          <w:rFonts w:ascii="Times New Roman" w:hAnsi="Times New Roman" w:cs="Times New Roman"/>
          <w:sz w:val="24"/>
          <w:szCs w:val="24"/>
        </w:rPr>
        <w:t>e</w:t>
      </w:r>
      <w:r w:rsidRPr="007C75C5">
        <w:rPr>
          <w:rFonts w:ascii="Times New Roman" w:hAnsi="Times New Roman" w:cs="Times New Roman"/>
          <w:sz w:val="24"/>
          <w:szCs w:val="24"/>
        </w:rPr>
        <w:t xml:space="preserve">, the clearest implication of this work is that education policymakers and school leaders should ensure that there is support for staff as they return at the start of each new term. This is the point when anxiety and unhappiness levels seem to shift the most, in quite a short space of time. Managing this likely change in emotions is likely to be </w:t>
      </w:r>
      <w:r w:rsidRPr="007C75C5">
        <w:rPr>
          <w:rFonts w:ascii="Times New Roman" w:hAnsi="Times New Roman" w:cs="Times New Roman"/>
          <w:sz w:val="24"/>
          <w:szCs w:val="24"/>
        </w:rPr>
        <w:lastRenderedPageBreak/>
        <w:t>important to teachers in maintaining good mental health. In particular, school leaders should reach out to colleagues over this period in particular to try and identify any of their colleagues who may be struggling, and to guide them in the right direction to receive any necessary support.</w:t>
      </w:r>
    </w:p>
    <w:p w14:paraId="2C78D7C9" w14:textId="77777777" w:rsidR="001A10E6" w:rsidRDefault="001A10E6">
      <w:pPr>
        <w:spacing w:line="259" w:lineRule="auto"/>
        <w:rPr>
          <w:rFonts w:ascii="Times New Roman" w:hAnsi="Times New Roman" w:cs="Times New Roman"/>
          <w:b/>
          <w:sz w:val="40"/>
          <w:szCs w:val="40"/>
        </w:rPr>
      </w:pPr>
      <w:r>
        <w:rPr>
          <w:rFonts w:ascii="Times New Roman" w:hAnsi="Times New Roman" w:cs="Times New Roman"/>
          <w:b/>
          <w:sz w:val="40"/>
          <w:szCs w:val="40"/>
        </w:rPr>
        <w:br w:type="page"/>
      </w:r>
    </w:p>
    <w:p w14:paraId="2BF123BD" w14:textId="653D3CFA" w:rsidR="00D5024D" w:rsidRDefault="00577A69" w:rsidP="008B4E20">
      <w:pPr>
        <w:pStyle w:val="Heading1UCL"/>
      </w:pPr>
      <w:bookmarkStart w:id="13" w:name="_Toc67406007"/>
      <w:r>
        <w:lastRenderedPageBreak/>
        <w:t xml:space="preserve">Chapter 7 </w:t>
      </w:r>
      <w:proofErr w:type="gramStart"/>
      <w:r>
        <w:t>The</w:t>
      </w:r>
      <w:proofErr w:type="gramEnd"/>
      <w:r>
        <w:t xml:space="preserve"> wellbeing and lifestyles of recently qualified teachers</w:t>
      </w:r>
      <w:bookmarkEnd w:id="13"/>
    </w:p>
    <w:p w14:paraId="33211CEB" w14:textId="77777777" w:rsidR="00577A69" w:rsidRDefault="00577A69" w:rsidP="008B4E20">
      <w:pPr>
        <w:pStyle w:val="Heading1UCL"/>
        <w:rPr>
          <w:rFonts w:cs="Times New Roman"/>
          <w:bCs/>
        </w:rPr>
      </w:pPr>
    </w:p>
    <w:p w14:paraId="69D3C8A9" w14:textId="6F421C4D" w:rsidR="007540C4" w:rsidRPr="00404DB0" w:rsidRDefault="00577A69" w:rsidP="008B4E20">
      <w:pPr>
        <w:pStyle w:val="NoSpacing"/>
        <w:spacing w:after="160" w:line="360" w:lineRule="auto"/>
        <w:jc w:val="both"/>
        <w:rPr>
          <w:rFonts w:ascii="Times New Roman" w:hAnsi="Times New Roman" w:cs="Times New Roman"/>
          <w:b/>
          <w:bCs/>
        </w:rPr>
      </w:pPr>
      <w:r>
        <w:rPr>
          <w:rFonts w:ascii="Times New Roman" w:hAnsi="Times New Roman" w:cs="Times New Roman"/>
          <w:b/>
          <w:bCs/>
        </w:rPr>
        <w:t xml:space="preserve">7.1 </w:t>
      </w:r>
      <w:r w:rsidRPr="00404DB0">
        <w:rPr>
          <w:rFonts w:ascii="Times New Roman" w:hAnsi="Times New Roman" w:cs="Times New Roman"/>
          <w:b/>
          <w:bCs/>
        </w:rPr>
        <w:t>Introduction</w:t>
      </w:r>
    </w:p>
    <w:p w14:paraId="6067E976" w14:textId="6FA36370" w:rsidR="007540C4" w:rsidRDefault="00577A69" w:rsidP="008B4E20">
      <w:pPr>
        <w:pStyle w:val="NoSpacing"/>
        <w:spacing w:after="160" w:line="360" w:lineRule="auto"/>
        <w:jc w:val="both"/>
        <w:rPr>
          <w:rFonts w:ascii="Times New Roman" w:hAnsi="Times New Roman" w:cs="Times New Roman"/>
        </w:rPr>
      </w:pPr>
      <w:r>
        <w:rPr>
          <w:rFonts w:ascii="Times New Roman" w:hAnsi="Times New Roman" w:cs="Times New Roman"/>
        </w:rPr>
        <w:t xml:space="preserve">The preceding chapters of this report have focused upon teachers of all ages and stages of their career. This is standard within the literature on teacher wellbeing and mental health, which has rarely focused upon results for specific subgroups. In contrast, this chapter pays specific attention to the lives of young, recently qualified teachers. This is important as </w:t>
      </w:r>
      <w:r w:rsidRPr="00404DB0">
        <w:rPr>
          <w:rFonts w:ascii="Times New Roman" w:hAnsi="Times New Roman" w:cs="Times New Roman"/>
        </w:rPr>
        <w:t>early</w:t>
      </w:r>
      <w:r w:rsidR="00D64552">
        <w:rPr>
          <w:rFonts w:ascii="Times New Roman" w:hAnsi="Times New Roman" w:cs="Times New Roman"/>
        </w:rPr>
        <w:t xml:space="preserve"> </w:t>
      </w:r>
      <w:r w:rsidRPr="00404DB0">
        <w:rPr>
          <w:rFonts w:ascii="Times New Roman" w:hAnsi="Times New Roman" w:cs="Times New Roman"/>
        </w:rPr>
        <w:t>career teachers are a key group where retention is particularly low</w:t>
      </w:r>
      <w:r>
        <w:rPr>
          <w:rFonts w:ascii="Times New Roman" w:hAnsi="Times New Roman" w:cs="Times New Roman"/>
        </w:rPr>
        <w:t xml:space="preserve"> and</w:t>
      </w:r>
      <w:r w:rsidRPr="00404DB0">
        <w:rPr>
          <w:rFonts w:ascii="Times New Roman" w:hAnsi="Times New Roman" w:cs="Times New Roman"/>
        </w:rPr>
        <w:t xml:space="preserve"> are hence worthy of specific attention in their own right.</w:t>
      </w:r>
      <w:r>
        <w:rPr>
          <w:rFonts w:ascii="Times New Roman" w:hAnsi="Times New Roman" w:cs="Times New Roman"/>
        </w:rPr>
        <w:t xml:space="preserve"> Moreover, all the evidence on teacher mental health and wellbeing presented in this report thus far has been cross-sectional, using data from a sample of teachers at just a single point in time. Again, this is standard </w:t>
      </w:r>
      <w:r w:rsidR="00725478">
        <w:rPr>
          <w:rFonts w:ascii="Times New Roman" w:hAnsi="Times New Roman" w:cs="Times New Roman"/>
        </w:rPr>
        <w:t xml:space="preserve">practice </w:t>
      </w:r>
      <w:r>
        <w:rPr>
          <w:rFonts w:ascii="Times New Roman" w:hAnsi="Times New Roman" w:cs="Times New Roman"/>
        </w:rPr>
        <w:t xml:space="preserve">within this literature. This means, however, that little can be said about </w:t>
      </w:r>
      <w:r w:rsidRPr="00404DB0">
        <w:rPr>
          <w:rFonts w:ascii="Times New Roman" w:hAnsi="Times New Roman" w:cs="Times New Roman"/>
        </w:rPr>
        <w:t>how young people’s lives change after entering teaching (e.g. does their life</w:t>
      </w:r>
      <w:r w:rsidR="007540C4">
        <w:rPr>
          <w:rFonts w:ascii="Times New Roman" w:hAnsi="Times New Roman" w:cs="Times New Roman"/>
        </w:rPr>
        <w:t xml:space="preserve"> </w:t>
      </w:r>
      <w:r w:rsidRPr="00404DB0">
        <w:rPr>
          <w:rFonts w:ascii="Times New Roman" w:hAnsi="Times New Roman" w:cs="Times New Roman"/>
        </w:rPr>
        <w:t>satisfaction decline after entering teaching compared to before)</w:t>
      </w:r>
      <w:r>
        <w:rPr>
          <w:rFonts w:ascii="Times New Roman" w:hAnsi="Times New Roman" w:cs="Times New Roman"/>
        </w:rPr>
        <w:t>. By using longitudinal data – tracking a cohort of young people before and after they enter teaching – this chapter can shed new light on this issue.</w:t>
      </w:r>
    </w:p>
    <w:p w14:paraId="6F0F350A" w14:textId="15F7BEA0" w:rsidR="00577A69" w:rsidRDefault="00577A69" w:rsidP="008B4E20">
      <w:pPr>
        <w:pStyle w:val="NoSpacing"/>
        <w:spacing w:after="160" w:line="360" w:lineRule="auto"/>
        <w:jc w:val="both"/>
        <w:rPr>
          <w:rFonts w:ascii="Times New Roman" w:hAnsi="Times New Roman" w:cs="Times New Roman"/>
          <w:b/>
          <w:bCs/>
        </w:rPr>
      </w:pPr>
      <w:r w:rsidRPr="00404DB0">
        <w:rPr>
          <w:rFonts w:ascii="Times New Roman" w:hAnsi="Times New Roman" w:cs="Times New Roman"/>
        </w:rPr>
        <w:t xml:space="preserve">The </w:t>
      </w:r>
      <w:r>
        <w:rPr>
          <w:rFonts w:ascii="Times New Roman" w:hAnsi="Times New Roman" w:cs="Times New Roman"/>
        </w:rPr>
        <w:t xml:space="preserve">main </w:t>
      </w:r>
      <w:r w:rsidRPr="00404DB0">
        <w:rPr>
          <w:rFonts w:ascii="Times New Roman" w:hAnsi="Times New Roman" w:cs="Times New Roman"/>
        </w:rPr>
        <w:t xml:space="preserve">aim of this </w:t>
      </w:r>
      <w:r>
        <w:rPr>
          <w:rFonts w:ascii="Times New Roman" w:hAnsi="Times New Roman" w:cs="Times New Roman"/>
        </w:rPr>
        <w:t>chapter</w:t>
      </w:r>
      <w:r w:rsidRPr="00404DB0">
        <w:rPr>
          <w:rFonts w:ascii="Times New Roman" w:hAnsi="Times New Roman" w:cs="Times New Roman"/>
        </w:rPr>
        <w:t xml:space="preserve"> is</w:t>
      </w:r>
      <w:r>
        <w:rPr>
          <w:rFonts w:ascii="Times New Roman" w:hAnsi="Times New Roman" w:cs="Times New Roman"/>
        </w:rPr>
        <w:t xml:space="preserve"> hence</w:t>
      </w:r>
      <w:r w:rsidRPr="00404DB0">
        <w:rPr>
          <w:rFonts w:ascii="Times New Roman" w:hAnsi="Times New Roman" w:cs="Times New Roman"/>
        </w:rPr>
        <w:t xml:space="preserve"> to find out more about the happiness, wellbeing, health and working lives of recently qualified teachers (i.e. teachers who have been working in the job for approximately three years or less). This group have chosen to teach for their career; yet many will quit for alterative employment before they turn 30</w:t>
      </w:r>
      <w:r w:rsidR="001812B6">
        <w:rPr>
          <w:rFonts w:ascii="Times New Roman" w:hAnsi="Times New Roman" w:cs="Times New Roman"/>
        </w:rPr>
        <w:t xml:space="preserve"> (Foster</w:t>
      </w:r>
      <w:r w:rsidR="00B82F65">
        <w:rPr>
          <w:rFonts w:ascii="Times New Roman" w:hAnsi="Times New Roman" w:cs="Times New Roman"/>
        </w:rPr>
        <w:t>,</w:t>
      </w:r>
      <w:r w:rsidR="001812B6">
        <w:rPr>
          <w:rFonts w:ascii="Times New Roman" w:hAnsi="Times New Roman" w:cs="Times New Roman"/>
        </w:rPr>
        <w:t xml:space="preserve"> 2019)</w:t>
      </w:r>
      <w:r w:rsidRPr="00404DB0">
        <w:rPr>
          <w:rFonts w:ascii="Times New Roman" w:hAnsi="Times New Roman" w:cs="Times New Roman"/>
        </w:rPr>
        <w:t>. They are hence individuals who schools desperately need to retain. It is therefore vital that we develop a better understanding of their lives, the most pressing challenges that they face and how this compares to their peers working in other jobs. We are specifically interested in potential factors that may end up ‘pushing’ recently qualified teachers out of the teaching profession, such as having low levels of life</w:t>
      </w:r>
      <w:r w:rsidR="005D36D7">
        <w:rPr>
          <w:rFonts w:ascii="Times New Roman" w:hAnsi="Times New Roman" w:cs="Times New Roman"/>
        </w:rPr>
        <w:t xml:space="preserve"> </w:t>
      </w:r>
      <w:r w:rsidRPr="00404DB0">
        <w:rPr>
          <w:rFonts w:ascii="Times New Roman" w:hAnsi="Times New Roman" w:cs="Times New Roman"/>
        </w:rPr>
        <w:t xml:space="preserve">satisfaction, whether they are showing signs of developing mental health problems, whether they have excessive workloads, if they manage to have a reasonable work-life balance and whether they are adequately paid. </w:t>
      </w:r>
    </w:p>
    <w:p w14:paraId="0A0E5ADF" w14:textId="5C58C270" w:rsidR="00577A69" w:rsidRDefault="00577A69" w:rsidP="008B4E20">
      <w:pPr>
        <w:pStyle w:val="NoSpacing"/>
        <w:spacing w:after="160" w:line="360" w:lineRule="auto"/>
        <w:jc w:val="both"/>
        <w:rPr>
          <w:rFonts w:ascii="Times New Roman" w:hAnsi="Times New Roman" w:cs="Times New Roman"/>
          <w:u w:val="single"/>
        </w:rPr>
      </w:pPr>
      <w:r>
        <w:rPr>
          <w:rFonts w:ascii="Times New Roman" w:hAnsi="Times New Roman" w:cs="Times New Roman"/>
          <w:b/>
          <w:bCs/>
        </w:rPr>
        <w:t xml:space="preserve">7.2. Data and methodology </w:t>
      </w:r>
    </w:p>
    <w:p w14:paraId="78588E14" w14:textId="08C75AAB" w:rsidR="00577A69" w:rsidRPr="003D309D" w:rsidRDefault="00577A69" w:rsidP="008B4E20">
      <w:pPr>
        <w:pStyle w:val="NoSpacing"/>
        <w:spacing w:after="160" w:line="360" w:lineRule="auto"/>
        <w:jc w:val="both"/>
        <w:rPr>
          <w:rFonts w:ascii="Times New Roman" w:hAnsi="Times New Roman" w:cs="Times New Roman"/>
        </w:rPr>
      </w:pPr>
      <w:r w:rsidRPr="00404DB0">
        <w:rPr>
          <w:rFonts w:ascii="Times New Roman" w:hAnsi="Times New Roman" w:cs="Times New Roman"/>
        </w:rPr>
        <w:t>Th</w:t>
      </w:r>
      <w:r>
        <w:rPr>
          <w:rFonts w:ascii="Times New Roman" w:hAnsi="Times New Roman" w:cs="Times New Roman"/>
        </w:rPr>
        <w:t>is chapter uses data from the</w:t>
      </w:r>
      <w:r w:rsidRPr="00404DB0">
        <w:rPr>
          <w:rFonts w:ascii="Times New Roman" w:hAnsi="Times New Roman" w:cs="Times New Roman"/>
        </w:rPr>
        <w:t xml:space="preserve"> Next Steps study</w:t>
      </w:r>
      <w:r>
        <w:rPr>
          <w:rFonts w:ascii="Times New Roman" w:hAnsi="Times New Roman" w:cs="Times New Roman"/>
        </w:rPr>
        <w:t>, tracking a cohort of y</w:t>
      </w:r>
      <w:r w:rsidRPr="00404DB0">
        <w:rPr>
          <w:rFonts w:ascii="Times New Roman" w:hAnsi="Times New Roman" w:cs="Times New Roman"/>
        </w:rPr>
        <w:t xml:space="preserve">oung people </w:t>
      </w:r>
      <w:r>
        <w:rPr>
          <w:rFonts w:ascii="Times New Roman" w:hAnsi="Times New Roman" w:cs="Times New Roman"/>
        </w:rPr>
        <w:t>(</w:t>
      </w:r>
      <w:r w:rsidRPr="00404DB0">
        <w:rPr>
          <w:rFonts w:ascii="Times New Roman" w:hAnsi="Times New Roman" w:cs="Times New Roman"/>
        </w:rPr>
        <w:t>born in 1989/1990</w:t>
      </w:r>
      <w:r>
        <w:rPr>
          <w:rFonts w:ascii="Times New Roman" w:hAnsi="Times New Roman" w:cs="Times New Roman"/>
        </w:rPr>
        <w:t xml:space="preserve">) from age 14 through to age 26, when a total of </w:t>
      </w:r>
      <w:r w:rsidRPr="00404DB0">
        <w:rPr>
          <w:rFonts w:ascii="Times New Roman" w:hAnsi="Times New Roman" w:cs="Times New Roman"/>
        </w:rPr>
        <w:t>291</w:t>
      </w:r>
      <w:r>
        <w:rPr>
          <w:rFonts w:ascii="Times New Roman" w:hAnsi="Times New Roman" w:cs="Times New Roman"/>
        </w:rPr>
        <w:t xml:space="preserve"> were working as teachers</w:t>
      </w:r>
      <w:r w:rsidR="00C63413">
        <w:rPr>
          <w:rFonts w:ascii="Times New Roman" w:hAnsi="Times New Roman" w:cs="Times New Roman"/>
        </w:rPr>
        <w:t xml:space="preserve"> (defined as primary or secondary school teaching staff)</w:t>
      </w:r>
      <w:r w:rsidRPr="00404DB0">
        <w:rPr>
          <w:rFonts w:ascii="Times New Roman" w:hAnsi="Times New Roman" w:cs="Times New Roman"/>
        </w:rPr>
        <w:t>.</w:t>
      </w:r>
      <w:r>
        <w:rPr>
          <w:rFonts w:ascii="Times New Roman" w:hAnsi="Times New Roman" w:cs="Times New Roman"/>
        </w:rPr>
        <w:t xml:space="preserve"> Throughout the analysis, outcomes for these teachers are compared to outcomes for their school peers who are: </w:t>
      </w:r>
      <w:r w:rsidRPr="00404DB0">
        <w:rPr>
          <w:rFonts w:ascii="Times New Roman" w:hAnsi="Times New Roman" w:cs="Times New Roman"/>
        </w:rPr>
        <w:t xml:space="preserve">(a) employed in lower </w:t>
      </w:r>
      <w:r w:rsidRPr="00404DB0">
        <w:rPr>
          <w:rFonts w:ascii="Times New Roman" w:hAnsi="Times New Roman" w:cs="Times New Roman"/>
        </w:rPr>
        <w:lastRenderedPageBreak/>
        <w:t>professional or managerial occupations</w:t>
      </w:r>
      <w:r w:rsidRPr="00404DB0">
        <w:rPr>
          <w:rStyle w:val="FootnoteReference"/>
          <w:rFonts w:ascii="Times New Roman" w:hAnsi="Times New Roman" w:cs="Times New Roman"/>
        </w:rPr>
        <w:footnoteReference w:id="13"/>
      </w:r>
      <w:r w:rsidR="00B873A6">
        <w:rPr>
          <w:rFonts w:ascii="Times New Roman" w:hAnsi="Times New Roman" w:cs="Times New Roman"/>
        </w:rPr>
        <w:t>,</w:t>
      </w:r>
      <w:r w:rsidRPr="00404DB0">
        <w:rPr>
          <w:rFonts w:ascii="Times New Roman" w:hAnsi="Times New Roman" w:cs="Times New Roman"/>
        </w:rPr>
        <w:t xml:space="preserve"> (b) </w:t>
      </w:r>
      <w:r>
        <w:rPr>
          <w:rFonts w:ascii="Times New Roman" w:hAnsi="Times New Roman" w:cs="Times New Roman"/>
        </w:rPr>
        <w:t>a</w:t>
      </w:r>
      <w:r w:rsidRPr="00404DB0">
        <w:rPr>
          <w:rFonts w:ascii="Times New Roman" w:hAnsi="Times New Roman" w:cs="Times New Roman"/>
        </w:rPr>
        <w:t xml:space="preserve"> university graduate</w:t>
      </w:r>
      <w:r w:rsidR="00B873A6">
        <w:rPr>
          <w:rFonts w:ascii="Times New Roman" w:hAnsi="Times New Roman" w:cs="Times New Roman"/>
        </w:rPr>
        <w:t>,</w:t>
      </w:r>
      <w:r w:rsidRPr="00404DB0">
        <w:rPr>
          <w:rFonts w:ascii="Times New Roman" w:hAnsi="Times New Roman" w:cs="Times New Roman"/>
        </w:rPr>
        <w:t xml:space="preserve"> (c) working in health-based occupations</w:t>
      </w:r>
      <w:r w:rsidRPr="00404DB0">
        <w:rPr>
          <w:rStyle w:val="FootnoteReference"/>
          <w:rFonts w:ascii="Times New Roman" w:hAnsi="Times New Roman" w:cs="Times New Roman"/>
        </w:rPr>
        <w:footnoteReference w:id="14"/>
      </w:r>
      <w:r w:rsidR="00B873A6">
        <w:rPr>
          <w:rFonts w:ascii="Times New Roman" w:hAnsi="Times New Roman" w:cs="Times New Roman"/>
        </w:rPr>
        <w:t>,</w:t>
      </w:r>
      <w:r w:rsidRPr="00404DB0">
        <w:rPr>
          <w:rFonts w:ascii="Times New Roman" w:hAnsi="Times New Roman" w:cs="Times New Roman"/>
        </w:rPr>
        <w:t xml:space="preserve"> and (d) working in selected office jobs</w:t>
      </w:r>
      <w:r w:rsidRPr="00404DB0">
        <w:rPr>
          <w:rStyle w:val="FootnoteReference"/>
          <w:rFonts w:ascii="Times New Roman" w:hAnsi="Times New Roman" w:cs="Times New Roman"/>
        </w:rPr>
        <w:footnoteReference w:id="15"/>
      </w:r>
      <w:r w:rsidRPr="00404DB0">
        <w:rPr>
          <w:rFonts w:ascii="Times New Roman" w:hAnsi="Times New Roman" w:cs="Times New Roman"/>
        </w:rPr>
        <w:t xml:space="preserve">. </w:t>
      </w:r>
      <w:r>
        <w:rPr>
          <w:rFonts w:ascii="Times New Roman" w:hAnsi="Times New Roman" w:cs="Times New Roman"/>
        </w:rPr>
        <w:t>Comparisons include their general health, life</w:t>
      </w:r>
      <w:r w:rsidR="00B873A6">
        <w:rPr>
          <w:rFonts w:ascii="Times New Roman" w:hAnsi="Times New Roman" w:cs="Times New Roman"/>
        </w:rPr>
        <w:t xml:space="preserve"> </w:t>
      </w:r>
      <w:r>
        <w:rPr>
          <w:rFonts w:ascii="Times New Roman" w:hAnsi="Times New Roman" w:cs="Times New Roman"/>
        </w:rPr>
        <w:t>satisfaction, weekly hours worked, whether they believe that hard work is rewarded</w:t>
      </w:r>
      <w:r>
        <w:rPr>
          <w:rStyle w:val="FootnoteReference"/>
          <w:rFonts w:ascii="Times New Roman" w:hAnsi="Times New Roman" w:cs="Times New Roman"/>
        </w:rPr>
        <w:footnoteReference w:id="16"/>
      </w:r>
      <w:r>
        <w:rPr>
          <w:rFonts w:ascii="Times New Roman" w:hAnsi="Times New Roman" w:cs="Times New Roman"/>
        </w:rPr>
        <w:t>, the percent</w:t>
      </w:r>
      <w:r w:rsidR="00B873A6">
        <w:rPr>
          <w:rFonts w:ascii="Times New Roman" w:hAnsi="Times New Roman" w:cs="Times New Roman"/>
        </w:rPr>
        <w:t>age</w:t>
      </w:r>
      <w:r>
        <w:rPr>
          <w:rFonts w:ascii="Times New Roman" w:hAnsi="Times New Roman" w:cs="Times New Roman"/>
        </w:rPr>
        <w:t xml:space="preserve"> showing signs of anxiety depression (based upon GHQ scores), information on their quality and quantity of sleep, alcohol consumption and social activities. Further details on how these measures have been derived can be found in Jerrim (2020). </w:t>
      </w:r>
    </w:p>
    <w:p w14:paraId="2BA54680" w14:textId="7A814411" w:rsidR="00577A69" w:rsidRDefault="00577A69" w:rsidP="008B4E20">
      <w:pPr>
        <w:pStyle w:val="NoSpacing"/>
        <w:spacing w:after="160" w:line="360" w:lineRule="auto"/>
        <w:jc w:val="both"/>
        <w:rPr>
          <w:rFonts w:ascii="Times New Roman" w:hAnsi="Times New Roman" w:cs="Times New Roman"/>
          <w:b/>
          <w:bCs/>
        </w:rPr>
      </w:pPr>
      <w:r>
        <w:rPr>
          <w:rFonts w:ascii="Times New Roman" w:hAnsi="Times New Roman" w:cs="Times New Roman"/>
        </w:rPr>
        <w:t>R</w:t>
      </w:r>
      <w:r w:rsidRPr="00404DB0">
        <w:rPr>
          <w:rFonts w:ascii="Times New Roman" w:hAnsi="Times New Roman" w:cs="Times New Roman"/>
        </w:rPr>
        <w:t>esults</w:t>
      </w:r>
      <w:r>
        <w:rPr>
          <w:rFonts w:ascii="Times New Roman" w:hAnsi="Times New Roman" w:cs="Times New Roman"/>
        </w:rPr>
        <w:t xml:space="preserve"> are presented</w:t>
      </w:r>
      <w:r w:rsidRPr="00404DB0">
        <w:rPr>
          <w:rFonts w:ascii="Times New Roman" w:hAnsi="Times New Roman" w:cs="Times New Roman"/>
        </w:rPr>
        <w:t xml:space="preserve"> in the form of descriptive statistics. These illustrate the distribution of the responses by teachers (and workers in selected other occupations) to the Next Steps survey questions. Critically, where possible, we illustrate how individuals responded to the question before they entered the workplace (from the age 20 survey sweep and before) to those at age 26 (when most graduates are in the workplace). Thus, for teachers, we can investigate whether their responses to the questions changed before and after they started working in their job. </w:t>
      </w:r>
      <w:r>
        <w:rPr>
          <w:rFonts w:ascii="Times New Roman" w:hAnsi="Times New Roman" w:cs="Times New Roman"/>
        </w:rPr>
        <w:t>T</w:t>
      </w:r>
      <w:r w:rsidRPr="00404DB0">
        <w:rPr>
          <w:rFonts w:ascii="Times New Roman" w:hAnsi="Times New Roman" w:cs="Times New Roman"/>
        </w:rPr>
        <w:t xml:space="preserve">wo additional approaches </w:t>
      </w:r>
      <w:r>
        <w:rPr>
          <w:rFonts w:ascii="Times New Roman" w:hAnsi="Times New Roman" w:cs="Times New Roman"/>
        </w:rPr>
        <w:t>have been used to</w:t>
      </w:r>
      <w:r w:rsidRPr="00404DB0">
        <w:rPr>
          <w:rFonts w:ascii="Times New Roman" w:hAnsi="Times New Roman" w:cs="Times New Roman"/>
        </w:rPr>
        <w:t xml:space="preserve"> investigate the robustness of </w:t>
      </w:r>
      <w:r>
        <w:rPr>
          <w:rFonts w:ascii="Times New Roman" w:hAnsi="Times New Roman" w:cs="Times New Roman"/>
        </w:rPr>
        <w:t>the</w:t>
      </w:r>
      <w:r w:rsidRPr="00404DB0">
        <w:rPr>
          <w:rFonts w:ascii="Times New Roman" w:hAnsi="Times New Roman" w:cs="Times New Roman"/>
        </w:rPr>
        <w:t xml:space="preserve"> key findings</w:t>
      </w:r>
      <w:r>
        <w:rPr>
          <w:rFonts w:ascii="Times New Roman" w:hAnsi="Times New Roman" w:cs="Times New Roman"/>
        </w:rPr>
        <w:t xml:space="preserve"> reported</w:t>
      </w:r>
      <w:r w:rsidRPr="00404DB0">
        <w:rPr>
          <w:rFonts w:ascii="Times New Roman" w:hAnsi="Times New Roman" w:cs="Times New Roman"/>
        </w:rPr>
        <w:t xml:space="preserve"> </w:t>
      </w:r>
      <w:r>
        <w:rPr>
          <w:rFonts w:ascii="Times New Roman" w:hAnsi="Times New Roman" w:cs="Times New Roman"/>
        </w:rPr>
        <w:t>(</w:t>
      </w:r>
      <w:r w:rsidRPr="00404DB0">
        <w:rPr>
          <w:rFonts w:ascii="Times New Roman" w:hAnsi="Times New Roman" w:cs="Times New Roman"/>
        </w:rPr>
        <w:t>regression analyses and propensity score matching).</w:t>
      </w:r>
      <w:r>
        <w:rPr>
          <w:rFonts w:ascii="Times New Roman" w:hAnsi="Times New Roman" w:cs="Times New Roman"/>
        </w:rPr>
        <w:t xml:space="preserve"> These more complex methodologies were found not </w:t>
      </w:r>
      <w:r w:rsidR="00A520EA">
        <w:rPr>
          <w:rFonts w:ascii="Times New Roman" w:hAnsi="Times New Roman" w:cs="Times New Roman"/>
        </w:rPr>
        <w:t xml:space="preserve">to </w:t>
      </w:r>
      <w:r>
        <w:rPr>
          <w:rFonts w:ascii="Times New Roman" w:hAnsi="Times New Roman" w:cs="Times New Roman"/>
        </w:rPr>
        <w:t>alter the substantive results and so are not reported here (see Jerrim</w:t>
      </w:r>
      <w:r w:rsidR="007E689C">
        <w:rPr>
          <w:rFonts w:ascii="Times New Roman" w:hAnsi="Times New Roman" w:cs="Times New Roman"/>
        </w:rPr>
        <w:t>,</w:t>
      </w:r>
      <w:r>
        <w:rPr>
          <w:rFonts w:ascii="Times New Roman" w:hAnsi="Times New Roman" w:cs="Times New Roman"/>
        </w:rPr>
        <w:t xml:space="preserve"> 2020 for further details).</w:t>
      </w:r>
      <w:r w:rsidRPr="00404DB0">
        <w:rPr>
          <w:rFonts w:ascii="Times New Roman" w:hAnsi="Times New Roman" w:cs="Times New Roman"/>
        </w:rPr>
        <w:t xml:space="preserve"> </w:t>
      </w:r>
    </w:p>
    <w:p w14:paraId="3D7D52D3" w14:textId="4C1D33DD" w:rsidR="00577A69" w:rsidRPr="00684FF5" w:rsidRDefault="00577A69" w:rsidP="008B4E20">
      <w:pPr>
        <w:pStyle w:val="NoSpacing"/>
        <w:numPr>
          <w:ilvl w:val="1"/>
          <w:numId w:val="26"/>
        </w:numPr>
        <w:spacing w:after="160" w:line="360" w:lineRule="auto"/>
        <w:jc w:val="both"/>
        <w:rPr>
          <w:rFonts w:ascii="Times New Roman" w:hAnsi="Times New Roman" w:cs="Times New Roman"/>
          <w:b/>
          <w:bCs/>
        </w:rPr>
      </w:pPr>
      <w:r w:rsidRPr="00684FF5">
        <w:rPr>
          <w:rFonts w:ascii="Times New Roman" w:hAnsi="Times New Roman" w:cs="Times New Roman"/>
          <w:b/>
          <w:bCs/>
        </w:rPr>
        <w:t xml:space="preserve">Results for </w:t>
      </w:r>
      <w:r w:rsidRPr="00684FF5">
        <w:rPr>
          <w:rFonts w:ascii="Times New Roman" w:hAnsi="Times New Roman" w:cs="Times New Roman"/>
          <w:b/>
        </w:rPr>
        <w:t>general health and life</w:t>
      </w:r>
      <w:r w:rsidR="00A520EA">
        <w:rPr>
          <w:rFonts w:ascii="Times New Roman" w:hAnsi="Times New Roman" w:cs="Times New Roman"/>
          <w:b/>
        </w:rPr>
        <w:t xml:space="preserve"> </w:t>
      </w:r>
      <w:r w:rsidRPr="00684FF5">
        <w:rPr>
          <w:rFonts w:ascii="Times New Roman" w:hAnsi="Times New Roman" w:cs="Times New Roman"/>
          <w:b/>
        </w:rPr>
        <w:t>satisfaction</w:t>
      </w:r>
    </w:p>
    <w:p w14:paraId="1837B08E" w14:textId="22A66161" w:rsidR="00577A69" w:rsidRDefault="00577A69" w:rsidP="008B4E20">
      <w:pPr>
        <w:pStyle w:val="NoSpacing"/>
        <w:spacing w:after="160" w:line="360" w:lineRule="auto"/>
        <w:jc w:val="both"/>
        <w:rPr>
          <w:rFonts w:ascii="Times New Roman" w:hAnsi="Times New Roman" w:cs="Times New Roman"/>
        </w:rPr>
      </w:pPr>
      <w:r w:rsidRPr="00404DB0">
        <w:rPr>
          <w:rFonts w:ascii="Times New Roman" w:hAnsi="Times New Roman" w:cs="Times New Roman"/>
        </w:rPr>
        <w:t xml:space="preserve">Table </w:t>
      </w:r>
      <w:r>
        <w:rPr>
          <w:rFonts w:ascii="Times New Roman" w:hAnsi="Times New Roman" w:cs="Times New Roman"/>
        </w:rPr>
        <w:t>7.</w:t>
      </w:r>
      <w:r w:rsidRPr="00404DB0">
        <w:rPr>
          <w:rFonts w:ascii="Times New Roman" w:hAnsi="Times New Roman" w:cs="Times New Roman"/>
        </w:rPr>
        <w:t>1 begins by presenting results for two global measures of health and wellbeing – overall life</w:t>
      </w:r>
      <w:r w:rsidR="00F17ECA">
        <w:rPr>
          <w:rFonts w:ascii="Times New Roman" w:hAnsi="Times New Roman" w:cs="Times New Roman"/>
        </w:rPr>
        <w:t xml:space="preserve"> </w:t>
      </w:r>
      <w:r w:rsidRPr="00404DB0">
        <w:rPr>
          <w:rFonts w:ascii="Times New Roman" w:hAnsi="Times New Roman" w:cs="Times New Roman"/>
        </w:rPr>
        <w:t>satisfaction and general health. Starting with the former, there are three key points of note. First, the distribution of life</w:t>
      </w:r>
      <w:r w:rsidR="00F17ECA">
        <w:rPr>
          <w:rFonts w:ascii="Times New Roman" w:hAnsi="Times New Roman" w:cs="Times New Roman"/>
        </w:rPr>
        <w:t xml:space="preserve"> </w:t>
      </w:r>
      <w:r w:rsidRPr="00404DB0">
        <w:rPr>
          <w:rFonts w:ascii="Times New Roman" w:hAnsi="Times New Roman" w:cs="Times New Roman"/>
        </w:rPr>
        <w:t xml:space="preserve">satisfaction scores for individuals who chose to become teachers is very similar at age 20 (before they started work) and age 26 (once they have started work). In other words, recently qualified teachers are just as satisfied with their life as they were before they started working </w:t>
      </w:r>
      <w:r w:rsidR="00F17ECA">
        <w:rPr>
          <w:rFonts w:ascii="Times New Roman" w:hAnsi="Times New Roman" w:cs="Times New Roman"/>
        </w:rPr>
        <w:t xml:space="preserve">in </w:t>
      </w:r>
      <w:r w:rsidRPr="00404DB0">
        <w:rPr>
          <w:rFonts w:ascii="Times New Roman" w:hAnsi="Times New Roman" w:cs="Times New Roman"/>
        </w:rPr>
        <w:t xml:space="preserve">their career. Second, the same does not seem to hold true for the other occupational groups. In particular, there is a decline in the percentage of individuals who report being </w:t>
      </w:r>
      <w:r w:rsidR="00073654">
        <w:rPr>
          <w:rFonts w:ascii="Times New Roman" w:hAnsi="Times New Roman" w:cs="Times New Roman"/>
        </w:rPr>
        <w:t>‘</w:t>
      </w:r>
      <w:r w:rsidRPr="00404DB0">
        <w:rPr>
          <w:rFonts w:ascii="Times New Roman" w:hAnsi="Times New Roman" w:cs="Times New Roman"/>
        </w:rPr>
        <w:t>very satisfied</w:t>
      </w:r>
      <w:r w:rsidR="00073654">
        <w:rPr>
          <w:rFonts w:ascii="Times New Roman" w:hAnsi="Times New Roman" w:cs="Times New Roman"/>
        </w:rPr>
        <w:t>’</w:t>
      </w:r>
      <w:r w:rsidRPr="00404DB0">
        <w:rPr>
          <w:rFonts w:ascii="Times New Roman" w:hAnsi="Times New Roman" w:cs="Times New Roman"/>
        </w:rPr>
        <w:t xml:space="preserve"> between age 20 and age 26 amongst lower managerial workers (32</w:t>
      </w:r>
      <w:r w:rsidR="00073654">
        <w:rPr>
          <w:rFonts w:ascii="Times New Roman" w:hAnsi="Times New Roman" w:cs="Times New Roman"/>
        </w:rPr>
        <w:t>-</w:t>
      </w:r>
      <w:r w:rsidRPr="00404DB0">
        <w:rPr>
          <w:rFonts w:ascii="Times New Roman" w:hAnsi="Times New Roman" w:cs="Times New Roman"/>
        </w:rPr>
        <w:t>26</w:t>
      </w:r>
      <w:r w:rsidR="00073654">
        <w:rPr>
          <w:rFonts w:ascii="Times New Roman" w:hAnsi="Times New Roman" w:cs="Times New Roman"/>
        </w:rPr>
        <w:t>%</w:t>
      </w:r>
      <w:r w:rsidRPr="00404DB0">
        <w:rPr>
          <w:rFonts w:ascii="Times New Roman" w:hAnsi="Times New Roman" w:cs="Times New Roman"/>
        </w:rPr>
        <w:t>), graduates (32</w:t>
      </w:r>
      <w:r w:rsidR="00073654">
        <w:rPr>
          <w:rFonts w:ascii="Times New Roman" w:hAnsi="Times New Roman" w:cs="Times New Roman"/>
        </w:rPr>
        <w:t>-</w:t>
      </w:r>
      <w:r w:rsidRPr="00404DB0">
        <w:rPr>
          <w:rFonts w:ascii="Times New Roman" w:hAnsi="Times New Roman" w:cs="Times New Roman"/>
        </w:rPr>
        <w:t>25</w:t>
      </w:r>
      <w:r w:rsidR="00073654">
        <w:rPr>
          <w:rFonts w:ascii="Times New Roman" w:hAnsi="Times New Roman" w:cs="Times New Roman"/>
        </w:rPr>
        <w:t>%</w:t>
      </w:r>
      <w:r w:rsidRPr="00404DB0">
        <w:rPr>
          <w:rFonts w:ascii="Times New Roman" w:hAnsi="Times New Roman" w:cs="Times New Roman"/>
        </w:rPr>
        <w:t>) and those in office jobs (34</w:t>
      </w:r>
      <w:r w:rsidR="00073654">
        <w:rPr>
          <w:rFonts w:ascii="Times New Roman" w:hAnsi="Times New Roman" w:cs="Times New Roman"/>
        </w:rPr>
        <w:t>-</w:t>
      </w:r>
      <w:r w:rsidRPr="00404DB0">
        <w:rPr>
          <w:rFonts w:ascii="Times New Roman" w:hAnsi="Times New Roman" w:cs="Times New Roman"/>
        </w:rPr>
        <w:t>25</w:t>
      </w:r>
      <w:r w:rsidR="00073654">
        <w:rPr>
          <w:rFonts w:ascii="Times New Roman" w:hAnsi="Times New Roman" w:cs="Times New Roman"/>
        </w:rPr>
        <w:t>%</w:t>
      </w:r>
      <w:r w:rsidRPr="00404DB0">
        <w:rPr>
          <w:rFonts w:ascii="Times New Roman" w:hAnsi="Times New Roman" w:cs="Times New Roman"/>
        </w:rPr>
        <w:t>) – whereas the figure remains stable for teachers (37% at age 20 and age 26). Finally, life</w:t>
      </w:r>
      <w:r w:rsidR="00CC5EE8">
        <w:rPr>
          <w:rFonts w:ascii="Times New Roman" w:hAnsi="Times New Roman" w:cs="Times New Roman"/>
        </w:rPr>
        <w:t xml:space="preserve"> </w:t>
      </w:r>
      <w:r w:rsidRPr="00404DB0">
        <w:rPr>
          <w:rFonts w:ascii="Times New Roman" w:hAnsi="Times New Roman" w:cs="Times New Roman"/>
        </w:rPr>
        <w:t xml:space="preserve">satisfaction scores amongst recently qualified </w:t>
      </w:r>
      <w:r w:rsidRPr="00404DB0">
        <w:rPr>
          <w:rFonts w:ascii="Times New Roman" w:hAnsi="Times New Roman" w:cs="Times New Roman"/>
        </w:rPr>
        <w:lastRenderedPageBreak/>
        <w:t xml:space="preserve">teachers (and health workers) are generally at a higher level than for the other occupational groups. We consequently conclude that overall life satisfaction is </w:t>
      </w:r>
      <w:r w:rsidRPr="00404DB0">
        <w:rPr>
          <w:rFonts w:ascii="Times New Roman" w:hAnsi="Times New Roman" w:cs="Times New Roman"/>
          <w:i/>
          <w:iCs/>
          <w:u w:val="single"/>
        </w:rPr>
        <w:t>higher</w:t>
      </w:r>
      <w:r w:rsidRPr="00404DB0">
        <w:rPr>
          <w:rFonts w:ascii="Times New Roman" w:hAnsi="Times New Roman" w:cs="Times New Roman"/>
        </w:rPr>
        <w:t xml:space="preserve"> amongst junior teachers than for young people who have chosen to work in other jobs. </w:t>
      </w:r>
    </w:p>
    <w:p w14:paraId="0FBFFD2F" w14:textId="44B33BF6" w:rsidR="00556F66" w:rsidRPr="00404DB0" w:rsidRDefault="00577A69" w:rsidP="00577A69">
      <w:pPr>
        <w:pStyle w:val="NoSpacing"/>
        <w:jc w:val="center"/>
        <w:rPr>
          <w:rFonts w:ascii="Times New Roman" w:hAnsi="Times New Roman" w:cs="Times New Roman"/>
          <w:b/>
          <w:bCs/>
        </w:rPr>
      </w:pPr>
      <w:r w:rsidRPr="00404DB0">
        <w:rPr>
          <w:rFonts w:ascii="Times New Roman" w:hAnsi="Times New Roman" w:cs="Times New Roman"/>
          <w:b/>
          <w:bCs/>
        </w:rPr>
        <w:t xml:space="preserve">Table </w:t>
      </w:r>
      <w:r>
        <w:rPr>
          <w:rFonts w:ascii="Times New Roman" w:hAnsi="Times New Roman" w:cs="Times New Roman"/>
          <w:b/>
          <w:bCs/>
        </w:rPr>
        <w:t>7.</w:t>
      </w:r>
      <w:r w:rsidRPr="00404DB0">
        <w:rPr>
          <w:rFonts w:ascii="Times New Roman" w:hAnsi="Times New Roman" w:cs="Times New Roman"/>
          <w:b/>
          <w:bCs/>
        </w:rPr>
        <w:t xml:space="preserve">1 Comparison of </w:t>
      </w:r>
      <w:r>
        <w:rPr>
          <w:rFonts w:ascii="Times New Roman" w:hAnsi="Times New Roman" w:cs="Times New Roman"/>
          <w:b/>
          <w:bCs/>
        </w:rPr>
        <w:t>life</w:t>
      </w:r>
      <w:r w:rsidR="0037538C">
        <w:rPr>
          <w:rFonts w:ascii="Times New Roman" w:hAnsi="Times New Roman" w:cs="Times New Roman"/>
          <w:b/>
          <w:bCs/>
        </w:rPr>
        <w:t xml:space="preserve"> </w:t>
      </w:r>
      <w:r>
        <w:rPr>
          <w:rFonts w:ascii="Times New Roman" w:hAnsi="Times New Roman" w:cs="Times New Roman"/>
          <w:b/>
          <w:bCs/>
        </w:rPr>
        <w:t>satisfaction and general health</w:t>
      </w:r>
      <w:r w:rsidRPr="00404DB0">
        <w:rPr>
          <w:rFonts w:ascii="Times New Roman" w:hAnsi="Times New Roman" w:cs="Times New Roman"/>
          <w:b/>
          <w:bCs/>
        </w:rPr>
        <w:t xml:space="preserve"> between recently qualified teachers and other occupational groups</w:t>
      </w:r>
    </w:p>
    <w:p w14:paraId="71D6FC0B" w14:textId="77777777" w:rsidR="00577A69" w:rsidRPr="00404DB0" w:rsidRDefault="00577A69" w:rsidP="00784EE6">
      <w:pPr>
        <w:pStyle w:val="NoSpacing"/>
        <w:jc w:val="center"/>
        <w:rPr>
          <w:rFonts w:ascii="Times New Roman" w:hAnsi="Times New Roman" w:cs="Times New Roman"/>
          <w:b/>
          <w:bCs/>
        </w:rPr>
      </w:pPr>
    </w:p>
    <w:tbl>
      <w:tblPr>
        <w:tblW w:w="0" w:type="auto"/>
        <w:jc w:val="center"/>
        <w:tblLook w:val="04A0" w:firstRow="1" w:lastRow="0" w:firstColumn="1" w:lastColumn="0" w:noHBand="0" w:noVBand="1"/>
      </w:tblPr>
      <w:tblGrid>
        <w:gridCol w:w="1952"/>
        <w:gridCol w:w="708"/>
        <w:gridCol w:w="708"/>
        <w:gridCol w:w="708"/>
        <w:gridCol w:w="708"/>
        <w:gridCol w:w="707"/>
        <w:gridCol w:w="707"/>
        <w:gridCol w:w="707"/>
        <w:gridCol w:w="707"/>
        <w:gridCol w:w="707"/>
        <w:gridCol w:w="707"/>
      </w:tblGrid>
      <w:tr w:rsidR="00577A69" w:rsidRPr="00404DB0" w14:paraId="4FB205FE" w14:textId="77777777" w:rsidTr="00440E80">
        <w:trPr>
          <w:trHeight w:val="570"/>
          <w:jc w:val="center"/>
        </w:trPr>
        <w:tc>
          <w:tcPr>
            <w:tcW w:w="2483" w:type="dxa"/>
            <w:tcBorders>
              <w:top w:val="single" w:sz="4" w:space="0" w:color="auto"/>
              <w:left w:val="nil"/>
              <w:bottom w:val="single" w:sz="4" w:space="0" w:color="auto"/>
              <w:right w:val="nil"/>
            </w:tcBorders>
            <w:shd w:val="clear" w:color="000000" w:fill="B4C6E7"/>
            <w:vAlign w:val="center"/>
            <w:hideMark/>
          </w:tcPr>
          <w:p w14:paraId="5F902323"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 </w:t>
            </w:r>
          </w:p>
        </w:tc>
        <w:tc>
          <w:tcPr>
            <w:tcW w:w="0" w:type="auto"/>
            <w:gridSpan w:val="2"/>
            <w:tcBorders>
              <w:top w:val="single" w:sz="4" w:space="0" w:color="auto"/>
              <w:left w:val="nil"/>
              <w:bottom w:val="single" w:sz="4" w:space="0" w:color="auto"/>
              <w:right w:val="nil"/>
            </w:tcBorders>
            <w:shd w:val="clear" w:color="000000" w:fill="B4C6E7"/>
            <w:vAlign w:val="center"/>
            <w:hideMark/>
          </w:tcPr>
          <w:p w14:paraId="37A0DA58"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Teachers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30E539A3"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Lower managerial</w:t>
            </w:r>
          </w:p>
        </w:tc>
        <w:tc>
          <w:tcPr>
            <w:tcW w:w="0" w:type="auto"/>
            <w:gridSpan w:val="2"/>
            <w:tcBorders>
              <w:top w:val="single" w:sz="4" w:space="0" w:color="auto"/>
              <w:left w:val="nil"/>
              <w:bottom w:val="single" w:sz="4" w:space="0" w:color="auto"/>
              <w:right w:val="nil"/>
            </w:tcBorders>
            <w:shd w:val="clear" w:color="000000" w:fill="B4C6E7"/>
            <w:vAlign w:val="center"/>
            <w:hideMark/>
          </w:tcPr>
          <w:p w14:paraId="64E0E99F"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Graduates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236F5693"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Health workers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015908C4"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Office job</w:t>
            </w:r>
          </w:p>
        </w:tc>
      </w:tr>
      <w:tr w:rsidR="00577A69" w:rsidRPr="00404DB0" w14:paraId="543DA4DB" w14:textId="77777777" w:rsidTr="00440E80">
        <w:trPr>
          <w:trHeight w:val="300"/>
          <w:jc w:val="center"/>
        </w:trPr>
        <w:tc>
          <w:tcPr>
            <w:tcW w:w="2483" w:type="dxa"/>
            <w:tcBorders>
              <w:top w:val="nil"/>
              <w:left w:val="nil"/>
              <w:bottom w:val="nil"/>
              <w:right w:val="nil"/>
            </w:tcBorders>
            <w:shd w:val="clear" w:color="000000" w:fill="B4C6E7"/>
            <w:noWrap/>
            <w:vAlign w:val="center"/>
            <w:hideMark/>
          </w:tcPr>
          <w:p w14:paraId="7B9CC35A"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Life Satisfaction</w:t>
            </w:r>
          </w:p>
        </w:tc>
        <w:tc>
          <w:tcPr>
            <w:tcW w:w="0" w:type="auto"/>
            <w:tcBorders>
              <w:top w:val="nil"/>
              <w:left w:val="nil"/>
              <w:bottom w:val="nil"/>
              <w:right w:val="nil"/>
            </w:tcBorders>
            <w:shd w:val="clear" w:color="000000" w:fill="B4C6E7"/>
            <w:noWrap/>
            <w:vAlign w:val="center"/>
            <w:hideMark/>
          </w:tcPr>
          <w:p w14:paraId="47FF5672"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000000" w:fill="B4C6E7"/>
            <w:noWrap/>
            <w:vAlign w:val="center"/>
            <w:hideMark/>
          </w:tcPr>
          <w:p w14:paraId="29A42BE8"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000000" w:fill="B4C6E7"/>
            <w:noWrap/>
            <w:vAlign w:val="center"/>
            <w:hideMark/>
          </w:tcPr>
          <w:p w14:paraId="1A352A9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000000" w:fill="B4C6E7"/>
            <w:noWrap/>
            <w:vAlign w:val="center"/>
            <w:hideMark/>
          </w:tcPr>
          <w:p w14:paraId="04B09FE2"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000000" w:fill="B4C6E7"/>
            <w:noWrap/>
            <w:vAlign w:val="center"/>
            <w:hideMark/>
          </w:tcPr>
          <w:p w14:paraId="06F24239"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000000" w:fill="B4C6E7"/>
            <w:noWrap/>
            <w:vAlign w:val="center"/>
            <w:hideMark/>
          </w:tcPr>
          <w:p w14:paraId="16E34320"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000000" w:fill="B4C6E7"/>
            <w:noWrap/>
            <w:vAlign w:val="center"/>
            <w:hideMark/>
          </w:tcPr>
          <w:p w14:paraId="2792E1D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000000" w:fill="B4C6E7"/>
            <w:noWrap/>
            <w:vAlign w:val="center"/>
            <w:hideMark/>
          </w:tcPr>
          <w:p w14:paraId="48EFC0D0"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000000" w:fill="B4C6E7"/>
            <w:noWrap/>
            <w:vAlign w:val="center"/>
            <w:hideMark/>
          </w:tcPr>
          <w:p w14:paraId="30C4CA20"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000000" w:fill="B4C6E7"/>
            <w:noWrap/>
            <w:vAlign w:val="center"/>
            <w:hideMark/>
          </w:tcPr>
          <w:p w14:paraId="088AE9F2"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r>
      <w:tr w:rsidR="00577A69" w:rsidRPr="00404DB0" w14:paraId="4A7B103B" w14:textId="77777777" w:rsidTr="00440E80">
        <w:trPr>
          <w:trHeight w:val="300"/>
          <w:jc w:val="center"/>
        </w:trPr>
        <w:tc>
          <w:tcPr>
            <w:tcW w:w="2483" w:type="dxa"/>
            <w:tcBorders>
              <w:top w:val="single" w:sz="4" w:space="0" w:color="auto"/>
              <w:left w:val="nil"/>
              <w:bottom w:val="nil"/>
              <w:right w:val="nil"/>
            </w:tcBorders>
            <w:shd w:val="clear" w:color="auto" w:fill="auto"/>
            <w:noWrap/>
            <w:vAlign w:val="center"/>
            <w:hideMark/>
          </w:tcPr>
          <w:p w14:paraId="5BEA4B62"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 Very dissatisfied</w:t>
            </w:r>
          </w:p>
        </w:tc>
        <w:tc>
          <w:tcPr>
            <w:tcW w:w="0" w:type="auto"/>
            <w:tcBorders>
              <w:top w:val="single" w:sz="4" w:space="0" w:color="auto"/>
              <w:left w:val="nil"/>
              <w:bottom w:val="nil"/>
              <w:right w:val="nil"/>
            </w:tcBorders>
            <w:shd w:val="clear" w:color="auto" w:fill="auto"/>
            <w:noWrap/>
            <w:vAlign w:val="center"/>
            <w:hideMark/>
          </w:tcPr>
          <w:p w14:paraId="465AE90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0%</w:t>
            </w:r>
          </w:p>
        </w:tc>
        <w:tc>
          <w:tcPr>
            <w:tcW w:w="0" w:type="auto"/>
            <w:tcBorders>
              <w:top w:val="single" w:sz="4" w:space="0" w:color="auto"/>
              <w:left w:val="nil"/>
              <w:bottom w:val="nil"/>
              <w:right w:val="nil"/>
            </w:tcBorders>
            <w:shd w:val="clear" w:color="auto" w:fill="auto"/>
            <w:noWrap/>
            <w:vAlign w:val="bottom"/>
            <w:hideMark/>
          </w:tcPr>
          <w:p w14:paraId="28AAD07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0%</w:t>
            </w:r>
          </w:p>
        </w:tc>
        <w:tc>
          <w:tcPr>
            <w:tcW w:w="0" w:type="auto"/>
            <w:tcBorders>
              <w:top w:val="single" w:sz="4" w:space="0" w:color="auto"/>
              <w:left w:val="nil"/>
              <w:bottom w:val="nil"/>
              <w:right w:val="nil"/>
            </w:tcBorders>
            <w:shd w:val="clear" w:color="auto" w:fill="auto"/>
            <w:vAlign w:val="center"/>
            <w:hideMark/>
          </w:tcPr>
          <w:p w14:paraId="3C0C490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w:t>
            </w:r>
          </w:p>
        </w:tc>
        <w:tc>
          <w:tcPr>
            <w:tcW w:w="0" w:type="auto"/>
            <w:tcBorders>
              <w:top w:val="single" w:sz="4" w:space="0" w:color="auto"/>
              <w:left w:val="nil"/>
              <w:bottom w:val="nil"/>
              <w:right w:val="nil"/>
            </w:tcBorders>
            <w:shd w:val="clear" w:color="auto" w:fill="auto"/>
            <w:vAlign w:val="center"/>
            <w:hideMark/>
          </w:tcPr>
          <w:p w14:paraId="3E5AB60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w:t>
            </w:r>
          </w:p>
        </w:tc>
        <w:tc>
          <w:tcPr>
            <w:tcW w:w="0" w:type="auto"/>
            <w:tcBorders>
              <w:top w:val="single" w:sz="4" w:space="0" w:color="auto"/>
              <w:left w:val="nil"/>
              <w:bottom w:val="nil"/>
              <w:right w:val="nil"/>
            </w:tcBorders>
            <w:shd w:val="clear" w:color="auto" w:fill="auto"/>
            <w:vAlign w:val="center"/>
            <w:hideMark/>
          </w:tcPr>
          <w:p w14:paraId="39055F7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w:t>
            </w:r>
          </w:p>
        </w:tc>
        <w:tc>
          <w:tcPr>
            <w:tcW w:w="0" w:type="auto"/>
            <w:tcBorders>
              <w:top w:val="single" w:sz="4" w:space="0" w:color="auto"/>
              <w:left w:val="nil"/>
              <w:bottom w:val="nil"/>
              <w:right w:val="nil"/>
            </w:tcBorders>
            <w:shd w:val="clear" w:color="auto" w:fill="auto"/>
            <w:vAlign w:val="center"/>
            <w:hideMark/>
          </w:tcPr>
          <w:p w14:paraId="1E2C31E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w:t>
            </w:r>
          </w:p>
        </w:tc>
        <w:tc>
          <w:tcPr>
            <w:tcW w:w="0" w:type="auto"/>
            <w:tcBorders>
              <w:top w:val="single" w:sz="4" w:space="0" w:color="auto"/>
              <w:left w:val="nil"/>
              <w:bottom w:val="nil"/>
              <w:right w:val="nil"/>
            </w:tcBorders>
            <w:shd w:val="clear" w:color="auto" w:fill="auto"/>
            <w:noWrap/>
            <w:vAlign w:val="center"/>
            <w:hideMark/>
          </w:tcPr>
          <w:p w14:paraId="2083EE7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0%</w:t>
            </w:r>
          </w:p>
        </w:tc>
        <w:tc>
          <w:tcPr>
            <w:tcW w:w="0" w:type="auto"/>
            <w:tcBorders>
              <w:top w:val="single" w:sz="4" w:space="0" w:color="auto"/>
              <w:left w:val="nil"/>
              <w:bottom w:val="nil"/>
              <w:right w:val="nil"/>
            </w:tcBorders>
            <w:shd w:val="clear" w:color="auto" w:fill="auto"/>
            <w:noWrap/>
            <w:vAlign w:val="center"/>
            <w:hideMark/>
          </w:tcPr>
          <w:p w14:paraId="0060533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0%</w:t>
            </w:r>
          </w:p>
        </w:tc>
        <w:tc>
          <w:tcPr>
            <w:tcW w:w="0" w:type="auto"/>
            <w:tcBorders>
              <w:top w:val="single" w:sz="4" w:space="0" w:color="auto"/>
              <w:left w:val="nil"/>
              <w:bottom w:val="nil"/>
              <w:right w:val="nil"/>
            </w:tcBorders>
            <w:shd w:val="clear" w:color="auto" w:fill="auto"/>
            <w:vAlign w:val="center"/>
            <w:hideMark/>
          </w:tcPr>
          <w:p w14:paraId="0A65A58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w:t>
            </w:r>
          </w:p>
        </w:tc>
        <w:tc>
          <w:tcPr>
            <w:tcW w:w="0" w:type="auto"/>
            <w:tcBorders>
              <w:top w:val="single" w:sz="4" w:space="0" w:color="auto"/>
              <w:left w:val="nil"/>
              <w:bottom w:val="nil"/>
              <w:right w:val="nil"/>
            </w:tcBorders>
            <w:shd w:val="clear" w:color="auto" w:fill="auto"/>
            <w:vAlign w:val="center"/>
            <w:hideMark/>
          </w:tcPr>
          <w:p w14:paraId="788CBEA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w:t>
            </w:r>
          </w:p>
        </w:tc>
      </w:tr>
      <w:tr w:rsidR="00577A69" w:rsidRPr="00404DB0" w14:paraId="3680EF17" w14:textId="77777777" w:rsidTr="00440E80">
        <w:trPr>
          <w:trHeight w:val="300"/>
          <w:jc w:val="center"/>
        </w:trPr>
        <w:tc>
          <w:tcPr>
            <w:tcW w:w="2483" w:type="dxa"/>
            <w:tcBorders>
              <w:top w:val="nil"/>
              <w:left w:val="nil"/>
              <w:bottom w:val="nil"/>
              <w:right w:val="nil"/>
            </w:tcBorders>
            <w:shd w:val="clear" w:color="auto" w:fill="auto"/>
            <w:noWrap/>
            <w:vAlign w:val="bottom"/>
            <w:hideMark/>
          </w:tcPr>
          <w:p w14:paraId="6E2A9700"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 Dissatisfied</w:t>
            </w:r>
          </w:p>
        </w:tc>
        <w:tc>
          <w:tcPr>
            <w:tcW w:w="0" w:type="auto"/>
            <w:tcBorders>
              <w:top w:val="nil"/>
              <w:left w:val="nil"/>
              <w:bottom w:val="nil"/>
              <w:right w:val="nil"/>
            </w:tcBorders>
            <w:shd w:val="clear" w:color="auto" w:fill="auto"/>
            <w:noWrap/>
            <w:vAlign w:val="bottom"/>
            <w:hideMark/>
          </w:tcPr>
          <w:p w14:paraId="72EFC69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w:t>
            </w:r>
          </w:p>
        </w:tc>
        <w:tc>
          <w:tcPr>
            <w:tcW w:w="0" w:type="auto"/>
            <w:tcBorders>
              <w:top w:val="nil"/>
              <w:left w:val="nil"/>
              <w:bottom w:val="nil"/>
              <w:right w:val="nil"/>
            </w:tcBorders>
            <w:shd w:val="clear" w:color="auto" w:fill="auto"/>
            <w:noWrap/>
            <w:vAlign w:val="bottom"/>
            <w:hideMark/>
          </w:tcPr>
          <w:p w14:paraId="73A2AF2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c>
          <w:tcPr>
            <w:tcW w:w="0" w:type="auto"/>
            <w:tcBorders>
              <w:top w:val="nil"/>
              <w:left w:val="nil"/>
              <w:bottom w:val="nil"/>
              <w:right w:val="nil"/>
            </w:tcBorders>
            <w:shd w:val="clear" w:color="auto" w:fill="auto"/>
            <w:vAlign w:val="center"/>
            <w:hideMark/>
          </w:tcPr>
          <w:p w14:paraId="43254CD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nil"/>
              <w:right w:val="nil"/>
            </w:tcBorders>
            <w:shd w:val="clear" w:color="auto" w:fill="auto"/>
            <w:vAlign w:val="center"/>
            <w:hideMark/>
          </w:tcPr>
          <w:p w14:paraId="0901DBC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c>
          <w:tcPr>
            <w:tcW w:w="0" w:type="auto"/>
            <w:tcBorders>
              <w:top w:val="nil"/>
              <w:left w:val="nil"/>
              <w:bottom w:val="nil"/>
              <w:right w:val="nil"/>
            </w:tcBorders>
            <w:shd w:val="clear" w:color="auto" w:fill="auto"/>
            <w:vAlign w:val="center"/>
            <w:hideMark/>
          </w:tcPr>
          <w:p w14:paraId="275A1F7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w:t>
            </w:r>
          </w:p>
        </w:tc>
        <w:tc>
          <w:tcPr>
            <w:tcW w:w="0" w:type="auto"/>
            <w:tcBorders>
              <w:top w:val="nil"/>
              <w:left w:val="nil"/>
              <w:bottom w:val="nil"/>
              <w:right w:val="nil"/>
            </w:tcBorders>
            <w:shd w:val="clear" w:color="auto" w:fill="auto"/>
            <w:vAlign w:val="center"/>
            <w:hideMark/>
          </w:tcPr>
          <w:p w14:paraId="4774EEF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w:t>
            </w:r>
          </w:p>
        </w:tc>
        <w:tc>
          <w:tcPr>
            <w:tcW w:w="0" w:type="auto"/>
            <w:tcBorders>
              <w:top w:val="nil"/>
              <w:left w:val="nil"/>
              <w:bottom w:val="nil"/>
              <w:right w:val="nil"/>
            </w:tcBorders>
            <w:shd w:val="clear" w:color="auto" w:fill="auto"/>
            <w:vAlign w:val="center"/>
            <w:hideMark/>
          </w:tcPr>
          <w:p w14:paraId="6C006D6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w:t>
            </w:r>
          </w:p>
        </w:tc>
        <w:tc>
          <w:tcPr>
            <w:tcW w:w="0" w:type="auto"/>
            <w:tcBorders>
              <w:top w:val="nil"/>
              <w:left w:val="nil"/>
              <w:bottom w:val="nil"/>
              <w:right w:val="nil"/>
            </w:tcBorders>
            <w:shd w:val="clear" w:color="auto" w:fill="auto"/>
            <w:vAlign w:val="center"/>
            <w:hideMark/>
          </w:tcPr>
          <w:p w14:paraId="67728D1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w:t>
            </w:r>
          </w:p>
        </w:tc>
        <w:tc>
          <w:tcPr>
            <w:tcW w:w="0" w:type="auto"/>
            <w:tcBorders>
              <w:top w:val="nil"/>
              <w:left w:val="nil"/>
              <w:bottom w:val="nil"/>
              <w:right w:val="nil"/>
            </w:tcBorders>
            <w:shd w:val="clear" w:color="auto" w:fill="auto"/>
            <w:vAlign w:val="center"/>
            <w:hideMark/>
          </w:tcPr>
          <w:p w14:paraId="309BA8D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nil"/>
              <w:right w:val="nil"/>
            </w:tcBorders>
            <w:shd w:val="clear" w:color="auto" w:fill="auto"/>
            <w:vAlign w:val="center"/>
            <w:hideMark/>
          </w:tcPr>
          <w:p w14:paraId="5EA9E34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r>
      <w:tr w:rsidR="00577A69" w:rsidRPr="00404DB0" w14:paraId="1FE526AD" w14:textId="77777777" w:rsidTr="00440E80">
        <w:trPr>
          <w:trHeight w:val="300"/>
          <w:jc w:val="center"/>
        </w:trPr>
        <w:tc>
          <w:tcPr>
            <w:tcW w:w="2483" w:type="dxa"/>
            <w:tcBorders>
              <w:top w:val="nil"/>
              <w:left w:val="nil"/>
              <w:bottom w:val="nil"/>
              <w:right w:val="nil"/>
            </w:tcBorders>
            <w:shd w:val="clear" w:color="auto" w:fill="auto"/>
            <w:noWrap/>
            <w:vAlign w:val="bottom"/>
            <w:hideMark/>
          </w:tcPr>
          <w:p w14:paraId="0B610619"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 Neither</w:t>
            </w:r>
          </w:p>
        </w:tc>
        <w:tc>
          <w:tcPr>
            <w:tcW w:w="0" w:type="auto"/>
            <w:tcBorders>
              <w:top w:val="nil"/>
              <w:left w:val="nil"/>
              <w:bottom w:val="nil"/>
              <w:right w:val="nil"/>
            </w:tcBorders>
            <w:shd w:val="clear" w:color="auto" w:fill="auto"/>
            <w:noWrap/>
            <w:vAlign w:val="bottom"/>
            <w:hideMark/>
          </w:tcPr>
          <w:p w14:paraId="24339E2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w:t>
            </w:r>
          </w:p>
        </w:tc>
        <w:tc>
          <w:tcPr>
            <w:tcW w:w="0" w:type="auto"/>
            <w:tcBorders>
              <w:top w:val="nil"/>
              <w:left w:val="nil"/>
              <w:bottom w:val="nil"/>
              <w:right w:val="nil"/>
            </w:tcBorders>
            <w:shd w:val="clear" w:color="auto" w:fill="auto"/>
            <w:noWrap/>
            <w:vAlign w:val="bottom"/>
            <w:hideMark/>
          </w:tcPr>
          <w:p w14:paraId="6B4763C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w:t>
            </w:r>
          </w:p>
        </w:tc>
        <w:tc>
          <w:tcPr>
            <w:tcW w:w="0" w:type="auto"/>
            <w:tcBorders>
              <w:top w:val="nil"/>
              <w:left w:val="nil"/>
              <w:bottom w:val="nil"/>
              <w:right w:val="nil"/>
            </w:tcBorders>
            <w:shd w:val="clear" w:color="auto" w:fill="auto"/>
            <w:vAlign w:val="center"/>
            <w:hideMark/>
          </w:tcPr>
          <w:p w14:paraId="2CCAF3A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11%</w:t>
            </w:r>
          </w:p>
        </w:tc>
        <w:tc>
          <w:tcPr>
            <w:tcW w:w="0" w:type="auto"/>
            <w:tcBorders>
              <w:top w:val="nil"/>
              <w:left w:val="nil"/>
              <w:bottom w:val="nil"/>
              <w:right w:val="nil"/>
            </w:tcBorders>
            <w:shd w:val="clear" w:color="auto" w:fill="auto"/>
            <w:vAlign w:val="center"/>
            <w:hideMark/>
          </w:tcPr>
          <w:p w14:paraId="00F20FF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13%</w:t>
            </w:r>
          </w:p>
        </w:tc>
        <w:tc>
          <w:tcPr>
            <w:tcW w:w="0" w:type="auto"/>
            <w:tcBorders>
              <w:top w:val="nil"/>
              <w:left w:val="nil"/>
              <w:bottom w:val="nil"/>
              <w:right w:val="nil"/>
            </w:tcBorders>
            <w:shd w:val="clear" w:color="auto" w:fill="auto"/>
            <w:vAlign w:val="center"/>
            <w:hideMark/>
          </w:tcPr>
          <w:p w14:paraId="615BE08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w:t>
            </w:r>
          </w:p>
        </w:tc>
        <w:tc>
          <w:tcPr>
            <w:tcW w:w="0" w:type="auto"/>
            <w:tcBorders>
              <w:top w:val="nil"/>
              <w:left w:val="nil"/>
              <w:bottom w:val="nil"/>
              <w:right w:val="nil"/>
            </w:tcBorders>
            <w:shd w:val="clear" w:color="auto" w:fill="auto"/>
            <w:vAlign w:val="center"/>
            <w:hideMark/>
          </w:tcPr>
          <w:p w14:paraId="1CC0AA4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13%</w:t>
            </w:r>
          </w:p>
        </w:tc>
        <w:tc>
          <w:tcPr>
            <w:tcW w:w="0" w:type="auto"/>
            <w:tcBorders>
              <w:top w:val="nil"/>
              <w:left w:val="nil"/>
              <w:bottom w:val="nil"/>
              <w:right w:val="nil"/>
            </w:tcBorders>
            <w:shd w:val="clear" w:color="auto" w:fill="auto"/>
            <w:vAlign w:val="center"/>
            <w:hideMark/>
          </w:tcPr>
          <w:p w14:paraId="26513CF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c>
          <w:tcPr>
            <w:tcW w:w="0" w:type="auto"/>
            <w:tcBorders>
              <w:top w:val="nil"/>
              <w:left w:val="nil"/>
              <w:bottom w:val="nil"/>
              <w:right w:val="nil"/>
            </w:tcBorders>
            <w:shd w:val="clear" w:color="auto" w:fill="auto"/>
            <w:vAlign w:val="center"/>
            <w:hideMark/>
          </w:tcPr>
          <w:p w14:paraId="159B802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nil"/>
              <w:right w:val="nil"/>
            </w:tcBorders>
            <w:shd w:val="clear" w:color="auto" w:fill="auto"/>
            <w:vAlign w:val="center"/>
            <w:hideMark/>
          </w:tcPr>
          <w:p w14:paraId="0991390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w:t>
            </w:r>
          </w:p>
        </w:tc>
        <w:tc>
          <w:tcPr>
            <w:tcW w:w="0" w:type="auto"/>
            <w:tcBorders>
              <w:top w:val="nil"/>
              <w:left w:val="nil"/>
              <w:bottom w:val="nil"/>
              <w:right w:val="nil"/>
            </w:tcBorders>
            <w:shd w:val="clear" w:color="auto" w:fill="auto"/>
            <w:vAlign w:val="center"/>
            <w:hideMark/>
          </w:tcPr>
          <w:p w14:paraId="2344C27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8%</w:t>
            </w:r>
          </w:p>
        </w:tc>
      </w:tr>
      <w:tr w:rsidR="00577A69" w:rsidRPr="00404DB0" w14:paraId="56985D39" w14:textId="77777777" w:rsidTr="00440E80">
        <w:trPr>
          <w:trHeight w:val="300"/>
          <w:jc w:val="center"/>
        </w:trPr>
        <w:tc>
          <w:tcPr>
            <w:tcW w:w="2483" w:type="dxa"/>
            <w:tcBorders>
              <w:top w:val="nil"/>
              <w:left w:val="nil"/>
              <w:bottom w:val="nil"/>
              <w:right w:val="nil"/>
            </w:tcBorders>
            <w:shd w:val="clear" w:color="auto" w:fill="auto"/>
            <w:noWrap/>
            <w:vAlign w:val="bottom"/>
            <w:hideMark/>
          </w:tcPr>
          <w:p w14:paraId="35096D5A"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 Satisfied</w:t>
            </w:r>
          </w:p>
        </w:tc>
        <w:tc>
          <w:tcPr>
            <w:tcW w:w="0" w:type="auto"/>
            <w:tcBorders>
              <w:top w:val="nil"/>
              <w:left w:val="nil"/>
              <w:bottom w:val="nil"/>
              <w:right w:val="nil"/>
            </w:tcBorders>
            <w:shd w:val="clear" w:color="auto" w:fill="auto"/>
            <w:noWrap/>
            <w:vAlign w:val="bottom"/>
            <w:hideMark/>
          </w:tcPr>
          <w:p w14:paraId="45B4D98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52%</w:t>
            </w:r>
          </w:p>
        </w:tc>
        <w:tc>
          <w:tcPr>
            <w:tcW w:w="0" w:type="auto"/>
            <w:tcBorders>
              <w:top w:val="nil"/>
              <w:left w:val="nil"/>
              <w:bottom w:val="nil"/>
              <w:right w:val="nil"/>
            </w:tcBorders>
            <w:shd w:val="clear" w:color="auto" w:fill="auto"/>
            <w:noWrap/>
            <w:vAlign w:val="bottom"/>
            <w:hideMark/>
          </w:tcPr>
          <w:p w14:paraId="4609127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54%</w:t>
            </w:r>
          </w:p>
        </w:tc>
        <w:tc>
          <w:tcPr>
            <w:tcW w:w="0" w:type="auto"/>
            <w:tcBorders>
              <w:top w:val="nil"/>
              <w:left w:val="nil"/>
              <w:bottom w:val="nil"/>
              <w:right w:val="nil"/>
            </w:tcBorders>
            <w:shd w:val="clear" w:color="auto" w:fill="auto"/>
            <w:vAlign w:val="center"/>
            <w:hideMark/>
          </w:tcPr>
          <w:p w14:paraId="6516289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50%</w:t>
            </w:r>
          </w:p>
        </w:tc>
        <w:tc>
          <w:tcPr>
            <w:tcW w:w="0" w:type="auto"/>
            <w:tcBorders>
              <w:top w:val="nil"/>
              <w:left w:val="nil"/>
              <w:bottom w:val="nil"/>
              <w:right w:val="nil"/>
            </w:tcBorders>
            <w:shd w:val="clear" w:color="auto" w:fill="auto"/>
            <w:vAlign w:val="center"/>
            <w:hideMark/>
          </w:tcPr>
          <w:p w14:paraId="1E1FD5A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55%</w:t>
            </w:r>
          </w:p>
        </w:tc>
        <w:tc>
          <w:tcPr>
            <w:tcW w:w="0" w:type="auto"/>
            <w:tcBorders>
              <w:top w:val="nil"/>
              <w:left w:val="nil"/>
              <w:bottom w:val="nil"/>
              <w:right w:val="nil"/>
            </w:tcBorders>
            <w:shd w:val="clear" w:color="auto" w:fill="auto"/>
            <w:vAlign w:val="center"/>
            <w:hideMark/>
          </w:tcPr>
          <w:p w14:paraId="4654A61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55%</w:t>
            </w:r>
          </w:p>
        </w:tc>
        <w:tc>
          <w:tcPr>
            <w:tcW w:w="0" w:type="auto"/>
            <w:tcBorders>
              <w:top w:val="nil"/>
              <w:left w:val="nil"/>
              <w:bottom w:val="nil"/>
              <w:right w:val="nil"/>
            </w:tcBorders>
            <w:shd w:val="clear" w:color="auto" w:fill="auto"/>
            <w:vAlign w:val="center"/>
            <w:hideMark/>
          </w:tcPr>
          <w:p w14:paraId="38737C5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54%</w:t>
            </w:r>
          </w:p>
        </w:tc>
        <w:tc>
          <w:tcPr>
            <w:tcW w:w="0" w:type="auto"/>
            <w:tcBorders>
              <w:top w:val="nil"/>
              <w:left w:val="nil"/>
              <w:bottom w:val="nil"/>
              <w:right w:val="nil"/>
            </w:tcBorders>
            <w:shd w:val="clear" w:color="auto" w:fill="auto"/>
            <w:vAlign w:val="center"/>
            <w:hideMark/>
          </w:tcPr>
          <w:p w14:paraId="41760F3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47%</w:t>
            </w:r>
          </w:p>
        </w:tc>
        <w:tc>
          <w:tcPr>
            <w:tcW w:w="0" w:type="auto"/>
            <w:tcBorders>
              <w:top w:val="nil"/>
              <w:left w:val="nil"/>
              <w:bottom w:val="nil"/>
              <w:right w:val="nil"/>
            </w:tcBorders>
            <w:shd w:val="clear" w:color="auto" w:fill="auto"/>
            <w:vAlign w:val="center"/>
            <w:hideMark/>
          </w:tcPr>
          <w:p w14:paraId="6932834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50%</w:t>
            </w:r>
          </w:p>
        </w:tc>
        <w:tc>
          <w:tcPr>
            <w:tcW w:w="0" w:type="auto"/>
            <w:tcBorders>
              <w:top w:val="nil"/>
              <w:left w:val="nil"/>
              <w:bottom w:val="nil"/>
              <w:right w:val="nil"/>
            </w:tcBorders>
            <w:shd w:val="clear" w:color="auto" w:fill="auto"/>
            <w:vAlign w:val="center"/>
            <w:hideMark/>
          </w:tcPr>
          <w:p w14:paraId="51E2190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51%</w:t>
            </w:r>
          </w:p>
        </w:tc>
        <w:tc>
          <w:tcPr>
            <w:tcW w:w="0" w:type="auto"/>
            <w:tcBorders>
              <w:top w:val="nil"/>
              <w:left w:val="nil"/>
              <w:bottom w:val="nil"/>
              <w:right w:val="nil"/>
            </w:tcBorders>
            <w:shd w:val="clear" w:color="auto" w:fill="auto"/>
            <w:vAlign w:val="center"/>
            <w:hideMark/>
          </w:tcPr>
          <w:p w14:paraId="69E6CEC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60%</w:t>
            </w:r>
          </w:p>
        </w:tc>
      </w:tr>
      <w:tr w:rsidR="00577A69" w:rsidRPr="00404DB0" w14:paraId="656C7864" w14:textId="77777777" w:rsidTr="00440E80">
        <w:trPr>
          <w:trHeight w:val="300"/>
          <w:jc w:val="center"/>
        </w:trPr>
        <w:tc>
          <w:tcPr>
            <w:tcW w:w="2483" w:type="dxa"/>
            <w:tcBorders>
              <w:top w:val="nil"/>
              <w:left w:val="nil"/>
              <w:bottom w:val="single" w:sz="4" w:space="0" w:color="auto"/>
              <w:right w:val="nil"/>
            </w:tcBorders>
            <w:shd w:val="clear" w:color="auto" w:fill="auto"/>
            <w:noWrap/>
            <w:vAlign w:val="bottom"/>
            <w:hideMark/>
          </w:tcPr>
          <w:p w14:paraId="2E3D29E0"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 Very satisfied</w:t>
            </w:r>
          </w:p>
        </w:tc>
        <w:tc>
          <w:tcPr>
            <w:tcW w:w="0" w:type="auto"/>
            <w:tcBorders>
              <w:top w:val="nil"/>
              <w:left w:val="nil"/>
              <w:bottom w:val="single" w:sz="4" w:space="0" w:color="auto"/>
              <w:right w:val="nil"/>
            </w:tcBorders>
            <w:shd w:val="clear" w:color="auto" w:fill="auto"/>
            <w:noWrap/>
            <w:vAlign w:val="bottom"/>
            <w:hideMark/>
          </w:tcPr>
          <w:p w14:paraId="7B7C4BD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37%</w:t>
            </w:r>
          </w:p>
        </w:tc>
        <w:tc>
          <w:tcPr>
            <w:tcW w:w="0" w:type="auto"/>
            <w:tcBorders>
              <w:top w:val="nil"/>
              <w:left w:val="nil"/>
              <w:bottom w:val="single" w:sz="4" w:space="0" w:color="auto"/>
              <w:right w:val="nil"/>
            </w:tcBorders>
            <w:shd w:val="clear" w:color="auto" w:fill="auto"/>
            <w:noWrap/>
            <w:vAlign w:val="bottom"/>
            <w:hideMark/>
          </w:tcPr>
          <w:p w14:paraId="6A77672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37%</w:t>
            </w:r>
          </w:p>
        </w:tc>
        <w:tc>
          <w:tcPr>
            <w:tcW w:w="0" w:type="auto"/>
            <w:tcBorders>
              <w:top w:val="nil"/>
              <w:left w:val="nil"/>
              <w:bottom w:val="single" w:sz="4" w:space="0" w:color="auto"/>
              <w:right w:val="nil"/>
            </w:tcBorders>
            <w:shd w:val="clear" w:color="auto" w:fill="auto"/>
            <w:vAlign w:val="center"/>
            <w:hideMark/>
          </w:tcPr>
          <w:p w14:paraId="01BD256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32%</w:t>
            </w:r>
          </w:p>
        </w:tc>
        <w:tc>
          <w:tcPr>
            <w:tcW w:w="0" w:type="auto"/>
            <w:tcBorders>
              <w:top w:val="nil"/>
              <w:left w:val="nil"/>
              <w:bottom w:val="single" w:sz="4" w:space="0" w:color="auto"/>
              <w:right w:val="nil"/>
            </w:tcBorders>
            <w:shd w:val="clear" w:color="auto" w:fill="auto"/>
            <w:vAlign w:val="center"/>
            <w:hideMark/>
          </w:tcPr>
          <w:p w14:paraId="505098E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26%</w:t>
            </w:r>
          </w:p>
        </w:tc>
        <w:tc>
          <w:tcPr>
            <w:tcW w:w="0" w:type="auto"/>
            <w:tcBorders>
              <w:top w:val="nil"/>
              <w:left w:val="nil"/>
              <w:bottom w:val="single" w:sz="4" w:space="0" w:color="auto"/>
              <w:right w:val="nil"/>
            </w:tcBorders>
            <w:shd w:val="clear" w:color="auto" w:fill="auto"/>
            <w:vAlign w:val="center"/>
            <w:hideMark/>
          </w:tcPr>
          <w:p w14:paraId="3F07213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32%</w:t>
            </w:r>
          </w:p>
        </w:tc>
        <w:tc>
          <w:tcPr>
            <w:tcW w:w="0" w:type="auto"/>
            <w:tcBorders>
              <w:top w:val="nil"/>
              <w:left w:val="nil"/>
              <w:bottom w:val="single" w:sz="4" w:space="0" w:color="auto"/>
              <w:right w:val="nil"/>
            </w:tcBorders>
            <w:shd w:val="clear" w:color="auto" w:fill="auto"/>
            <w:vAlign w:val="center"/>
            <w:hideMark/>
          </w:tcPr>
          <w:p w14:paraId="0F918A5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25%</w:t>
            </w:r>
          </w:p>
        </w:tc>
        <w:tc>
          <w:tcPr>
            <w:tcW w:w="0" w:type="auto"/>
            <w:tcBorders>
              <w:top w:val="nil"/>
              <w:left w:val="nil"/>
              <w:bottom w:val="single" w:sz="4" w:space="0" w:color="auto"/>
              <w:right w:val="nil"/>
            </w:tcBorders>
            <w:shd w:val="clear" w:color="auto" w:fill="auto"/>
            <w:vAlign w:val="center"/>
            <w:hideMark/>
          </w:tcPr>
          <w:p w14:paraId="5D757CF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46%</w:t>
            </w:r>
          </w:p>
        </w:tc>
        <w:tc>
          <w:tcPr>
            <w:tcW w:w="0" w:type="auto"/>
            <w:tcBorders>
              <w:top w:val="nil"/>
              <w:left w:val="nil"/>
              <w:bottom w:val="single" w:sz="4" w:space="0" w:color="auto"/>
              <w:right w:val="nil"/>
            </w:tcBorders>
            <w:shd w:val="clear" w:color="auto" w:fill="auto"/>
            <w:vAlign w:val="center"/>
            <w:hideMark/>
          </w:tcPr>
          <w:p w14:paraId="7F4789C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42%</w:t>
            </w:r>
          </w:p>
        </w:tc>
        <w:tc>
          <w:tcPr>
            <w:tcW w:w="0" w:type="auto"/>
            <w:tcBorders>
              <w:top w:val="nil"/>
              <w:left w:val="nil"/>
              <w:bottom w:val="single" w:sz="4" w:space="0" w:color="auto"/>
              <w:right w:val="nil"/>
            </w:tcBorders>
            <w:shd w:val="clear" w:color="auto" w:fill="auto"/>
            <w:vAlign w:val="center"/>
            <w:hideMark/>
          </w:tcPr>
          <w:p w14:paraId="767EBCF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34%</w:t>
            </w:r>
          </w:p>
        </w:tc>
        <w:tc>
          <w:tcPr>
            <w:tcW w:w="0" w:type="auto"/>
            <w:tcBorders>
              <w:top w:val="nil"/>
              <w:left w:val="nil"/>
              <w:bottom w:val="single" w:sz="4" w:space="0" w:color="auto"/>
              <w:right w:val="nil"/>
            </w:tcBorders>
            <w:shd w:val="clear" w:color="auto" w:fill="auto"/>
            <w:vAlign w:val="center"/>
            <w:hideMark/>
          </w:tcPr>
          <w:p w14:paraId="77251A3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25%</w:t>
            </w:r>
          </w:p>
        </w:tc>
      </w:tr>
      <w:tr w:rsidR="00577A69" w:rsidRPr="00404DB0" w14:paraId="5937993C" w14:textId="77777777" w:rsidTr="00440E80">
        <w:trPr>
          <w:trHeight w:val="300"/>
          <w:jc w:val="center"/>
        </w:trPr>
        <w:tc>
          <w:tcPr>
            <w:tcW w:w="2483" w:type="dxa"/>
            <w:tcBorders>
              <w:top w:val="nil"/>
              <w:left w:val="nil"/>
              <w:bottom w:val="single" w:sz="4" w:space="0" w:color="auto"/>
              <w:right w:val="nil"/>
            </w:tcBorders>
            <w:shd w:val="clear" w:color="auto" w:fill="auto"/>
            <w:noWrap/>
            <w:vAlign w:val="bottom"/>
            <w:hideMark/>
          </w:tcPr>
          <w:p w14:paraId="0D537344"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Average</w:t>
            </w:r>
          </w:p>
        </w:tc>
        <w:tc>
          <w:tcPr>
            <w:tcW w:w="0" w:type="auto"/>
            <w:tcBorders>
              <w:top w:val="nil"/>
              <w:left w:val="nil"/>
              <w:bottom w:val="single" w:sz="4" w:space="0" w:color="auto"/>
              <w:right w:val="nil"/>
            </w:tcBorders>
            <w:shd w:val="clear" w:color="auto" w:fill="auto"/>
            <w:noWrap/>
            <w:vAlign w:val="bottom"/>
            <w:hideMark/>
          </w:tcPr>
          <w:p w14:paraId="5579B07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4.22</w:t>
            </w:r>
          </w:p>
        </w:tc>
        <w:tc>
          <w:tcPr>
            <w:tcW w:w="0" w:type="auto"/>
            <w:tcBorders>
              <w:top w:val="nil"/>
              <w:left w:val="nil"/>
              <w:bottom w:val="single" w:sz="4" w:space="0" w:color="auto"/>
              <w:right w:val="nil"/>
            </w:tcBorders>
            <w:shd w:val="clear" w:color="auto" w:fill="auto"/>
            <w:noWrap/>
            <w:vAlign w:val="bottom"/>
            <w:hideMark/>
          </w:tcPr>
          <w:p w14:paraId="3874EC3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4.24</w:t>
            </w:r>
          </w:p>
        </w:tc>
        <w:tc>
          <w:tcPr>
            <w:tcW w:w="0" w:type="auto"/>
            <w:tcBorders>
              <w:top w:val="nil"/>
              <w:left w:val="nil"/>
              <w:bottom w:val="single" w:sz="4" w:space="0" w:color="auto"/>
              <w:right w:val="nil"/>
            </w:tcBorders>
            <w:shd w:val="clear" w:color="auto" w:fill="auto"/>
            <w:noWrap/>
            <w:vAlign w:val="bottom"/>
            <w:hideMark/>
          </w:tcPr>
          <w:p w14:paraId="7896483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4.05</w:t>
            </w:r>
          </w:p>
        </w:tc>
        <w:tc>
          <w:tcPr>
            <w:tcW w:w="0" w:type="auto"/>
            <w:tcBorders>
              <w:top w:val="nil"/>
              <w:left w:val="nil"/>
              <w:bottom w:val="single" w:sz="4" w:space="0" w:color="auto"/>
              <w:right w:val="nil"/>
            </w:tcBorders>
            <w:shd w:val="clear" w:color="auto" w:fill="auto"/>
            <w:noWrap/>
            <w:vAlign w:val="bottom"/>
            <w:hideMark/>
          </w:tcPr>
          <w:p w14:paraId="385DC1E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4.01</w:t>
            </w:r>
          </w:p>
        </w:tc>
        <w:tc>
          <w:tcPr>
            <w:tcW w:w="0" w:type="auto"/>
            <w:tcBorders>
              <w:top w:val="nil"/>
              <w:left w:val="nil"/>
              <w:bottom w:val="single" w:sz="4" w:space="0" w:color="auto"/>
              <w:right w:val="nil"/>
            </w:tcBorders>
            <w:shd w:val="clear" w:color="auto" w:fill="auto"/>
            <w:noWrap/>
            <w:vAlign w:val="bottom"/>
            <w:hideMark/>
          </w:tcPr>
          <w:p w14:paraId="7FE44C8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4.13</w:t>
            </w:r>
          </w:p>
        </w:tc>
        <w:tc>
          <w:tcPr>
            <w:tcW w:w="0" w:type="auto"/>
            <w:tcBorders>
              <w:top w:val="nil"/>
              <w:left w:val="nil"/>
              <w:bottom w:val="single" w:sz="4" w:space="0" w:color="auto"/>
              <w:right w:val="nil"/>
            </w:tcBorders>
            <w:shd w:val="clear" w:color="auto" w:fill="auto"/>
            <w:noWrap/>
            <w:vAlign w:val="bottom"/>
            <w:hideMark/>
          </w:tcPr>
          <w:p w14:paraId="7458A4D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3.95</w:t>
            </w:r>
          </w:p>
        </w:tc>
        <w:tc>
          <w:tcPr>
            <w:tcW w:w="0" w:type="auto"/>
            <w:tcBorders>
              <w:top w:val="nil"/>
              <w:left w:val="nil"/>
              <w:bottom w:val="single" w:sz="4" w:space="0" w:color="auto"/>
              <w:right w:val="nil"/>
            </w:tcBorders>
            <w:shd w:val="clear" w:color="auto" w:fill="auto"/>
            <w:noWrap/>
            <w:vAlign w:val="bottom"/>
            <w:hideMark/>
          </w:tcPr>
          <w:p w14:paraId="07B7D4C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4.37</w:t>
            </w:r>
          </w:p>
        </w:tc>
        <w:tc>
          <w:tcPr>
            <w:tcW w:w="0" w:type="auto"/>
            <w:tcBorders>
              <w:top w:val="nil"/>
              <w:left w:val="nil"/>
              <w:bottom w:val="single" w:sz="4" w:space="0" w:color="auto"/>
              <w:right w:val="nil"/>
            </w:tcBorders>
            <w:shd w:val="clear" w:color="auto" w:fill="auto"/>
            <w:noWrap/>
            <w:vAlign w:val="bottom"/>
            <w:hideMark/>
          </w:tcPr>
          <w:p w14:paraId="32696FB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4.33</w:t>
            </w:r>
          </w:p>
        </w:tc>
        <w:tc>
          <w:tcPr>
            <w:tcW w:w="0" w:type="auto"/>
            <w:tcBorders>
              <w:top w:val="nil"/>
              <w:left w:val="nil"/>
              <w:bottom w:val="single" w:sz="4" w:space="0" w:color="auto"/>
              <w:right w:val="nil"/>
            </w:tcBorders>
            <w:shd w:val="clear" w:color="auto" w:fill="auto"/>
            <w:noWrap/>
            <w:vAlign w:val="bottom"/>
            <w:hideMark/>
          </w:tcPr>
          <w:p w14:paraId="11F0830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4.07</w:t>
            </w:r>
          </w:p>
        </w:tc>
        <w:tc>
          <w:tcPr>
            <w:tcW w:w="0" w:type="auto"/>
            <w:tcBorders>
              <w:top w:val="nil"/>
              <w:left w:val="nil"/>
              <w:bottom w:val="single" w:sz="4" w:space="0" w:color="auto"/>
              <w:right w:val="nil"/>
            </w:tcBorders>
            <w:shd w:val="clear" w:color="auto" w:fill="auto"/>
            <w:noWrap/>
            <w:vAlign w:val="bottom"/>
            <w:hideMark/>
          </w:tcPr>
          <w:p w14:paraId="52DF3D1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4.03</w:t>
            </w:r>
          </w:p>
        </w:tc>
      </w:tr>
      <w:tr w:rsidR="00577A69" w:rsidRPr="00404DB0" w14:paraId="7E09792E" w14:textId="77777777" w:rsidTr="00440E80">
        <w:trPr>
          <w:trHeight w:val="300"/>
          <w:jc w:val="center"/>
        </w:trPr>
        <w:tc>
          <w:tcPr>
            <w:tcW w:w="2483" w:type="dxa"/>
            <w:tcBorders>
              <w:top w:val="nil"/>
              <w:left w:val="nil"/>
              <w:bottom w:val="nil"/>
              <w:right w:val="nil"/>
            </w:tcBorders>
            <w:shd w:val="clear" w:color="000000" w:fill="B4C6E7"/>
            <w:noWrap/>
            <w:vAlign w:val="bottom"/>
            <w:hideMark/>
          </w:tcPr>
          <w:p w14:paraId="44FE72A1"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General health</w:t>
            </w:r>
          </w:p>
        </w:tc>
        <w:tc>
          <w:tcPr>
            <w:tcW w:w="0" w:type="auto"/>
            <w:tcBorders>
              <w:top w:val="nil"/>
              <w:left w:val="nil"/>
              <w:bottom w:val="nil"/>
              <w:right w:val="nil"/>
            </w:tcBorders>
            <w:shd w:val="clear" w:color="000000" w:fill="B4C6E7"/>
            <w:noWrap/>
            <w:vAlign w:val="bottom"/>
            <w:hideMark/>
          </w:tcPr>
          <w:p w14:paraId="7080708A"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nil"/>
              <w:right w:val="nil"/>
            </w:tcBorders>
            <w:shd w:val="clear" w:color="000000" w:fill="B4C6E7"/>
            <w:noWrap/>
            <w:vAlign w:val="bottom"/>
            <w:hideMark/>
          </w:tcPr>
          <w:p w14:paraId="0A6A471C"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000000" w:fill="B4C6E7"/>
            <w:noWrap/>
            <w:vAlign w:val="bottom"/>
            <w:hideMark/>
          </w:tcPr>
          <w:p w14:paraId="2A36C315"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nil"/>
              <w:right w:val="nil"/>
            </w:tcBorders>
            <w:shd w:val="clear" w:color="000000" w:fill="B4C6E7"/>
            <w:noWrap/>
            <w:vAlign w:val="bottom"/>
            <w:hideMark/>
          </w:tcPr>
          <w:p w14:paraId="11E6C22A"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000000" w:fill="B4C6E7"/>
            <w:noWrap/>
            <w:vAlign w:val="bottom"/>
            <w:hideMark/>
          </w:tcPr>
          <w:p w14:paraId="5CB38E50"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nil"/>
              <w:right w:val="nil"/>
            </w:tcBorders>
            <w:shd w:val="clear" w:color="000000" w:fill="B4C6E7"/>
            <w:noWrap/>
            <w:vAlign w:val="bottom"/>
            <w:hideMark/>
          </w:tcPr>
          <w:p w14:paraId="6F6770B8"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000000" w:fill="B4C6E7"/>
            <w:noWrap/>
            <w:vAlign w:val="bottom"/>
            <w:hideMark/>
          </w:tcPr>
          <w:p w14:paraId="6E5C44F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nil"/>
              <w:right w:val="nil"/>
            </w:tcBorders>
            <w:shd w:val="clear" w:color="000000" w:fill="B4C6E7"/>
            <w:noWrap/>
            <w:vAlign w:val="bottom"/>
            <w:hideMark/>
          </w:tcPr>
          <w:p w14:paraId="64CFB1B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000000" w:fill="B4C6E7"/>
            <w:noWrap/>
            <w:vAlign w:val="bottom"/>
            <w:hideMark/>
          </w:tcPr>
          <w:p w14:paraId="0EE2AE67"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nil"/>
              <w:right w:val="nil"/>
            </w:tcBorders>
            <w:shd w:val="clear" w:color="000000" w:fill="B4C6E7"/>
            <w:noWrap/>
            <w:vAlign w:val="bottom"/>
            <w:hideMark/>
          </w:tcPr>
          <w:p w14:paraId="294959DF"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r>
      <w:tr w:rsidR="00577A69" w:rsidRPr="00404DB0" w14:paraId="3C03FEBF" w14:textId="77777777" w:rsidTr="00440E80">
        <w:trPr>
          <w:trHeight w:val="300"/>
          <w:jc w:val="center"/>
        </w:trPr>
        <w:tc>
          <w:tcPr>
            <w:tcW w:w="2483" w:type="dxa"/>
            <w:tcBorders>
              <w:top w:val="single" w:sz="4" w:space="0" w:color="auto"/>
              <w:left w:val="nil"/>
              <w:bottom w:val="single" w:sz="4" w:space="0" w:color="auto"/>
              <w:right w:val="nil"/>
            </w:tcBorders>
            <w:shd w:val="clear" w:color="auto" w:fill="auto"/>
            <w:noWrap/>
            <w:vAlign w:val="bottom"/>
            <w:hideMark/>
          </w:tcPr>
          <w:p w14:paraId="4C7ACA41"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 in good health</w:t>
            </w:r>
          </w:p>
        </w:tc>
        <w:tc>
          <w:tcPr>
            <w:tcW w:w="0" w:type="auto"/>
            <w:tcBorders>
              <w:top w:val="single" w:sz="4" w:space="0" w:color="auto"/>
              <w:left w:val="nil"/>
              <w:bottom w:val="single" w:sz="4" w:space="0" w:color="auto"/>
              <w:right w:val="nil"/>
            </w:tcBorders>
            <w:shd w:val="clear" w:color="auto" w:fill="auto"/>
            <w:noWrap/>
            <w:vAlign w:val="bottom"/>
            <w:hideMark/>
          </w:tcPr>
          <w:p w14:paraId="1DADF2D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96%</w:t>
            </w:r>
          </w:p>
        </w:tc>
        <w:tc>
          <w:tcPr>
            <w:tcW w:w="0" w:type="auto"/>
            <w:tcBorders>
              <w:top w:val="single" w:sz="4" w:space="0" w:color="auto"/>
              <w:left w:val="nil"/>
              <w:bottom w:val="single" w:sz="4" w:space="0" w:color="auto"/>
              <w:right w:val="nil"/>
            </w:tcBorders>
            <w:shd w:val="clear" w:color="auto" w:fill="auto"/>
            <w:vAlign w:val="center"/>
            <w:hideMark/>
          </w:tcPr>
          <w:p w14:paraId="354AB43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95%</w:t>
            </w:r>
          </w:p>
        </w:tc>
        <w:tc>
          <w:tcPr>
            <w:tcW w:w="0" w:type="auto"/>
            <w:tcBorders>
              <w:top w:val="single" w:sz="4" w:space="0" w:color="auto"/>
              <w:left w:val="nil"/>
              <w:bottom w:val="single" w:sz="4" w:space="0" w:color="auto"/>
              <w:right w:val="nil"/>
            </w:tcBorders>
            <w:shd w:val="clear" w:color="auto" w:fill="auto"/>
            <w:noWrap/>
            <w:vAlign w:val="bottom"/>
            <w:hideMark/>
          </w:tcPr>
          <w:p w14:paraId="0DEFA69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94%</w:t>
            </w:r>
          </w:p>
        </w:tc>
        <w:tc>
          <w:tcPr>
            <w:tcW w:w="0" w:type="auto"/>
            <w:tcBorders>
              <w:top w:val="single" w:sz="4" w:space="0" w:color="auto"/>
              <w:left w:val="nil"/>
              <w:bottom w:val="single" w:sz="4" w:space="0" w:color="auto"/>
              <w:right w:val="nil"/>
            </w:tcBorders>
            <w:shd w:val="clear" w:color="auto" w:fill="auto"/>
            <w:noWrap/>
            <w:vAlign w:val="bottom"/>
            <w:hideMark/>
          </w:tcPr>
          <w:p w14:paraId="3DD6290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93%</w:t>
            </w:r>
          </w:p>
        </w:tc>
        <w:tc>
          <w:tcPr>
            <w:tcW w:w="0" w:type="auto"/>
            <w:tcBorders>
              <w:top w:val="single" w:sz="4" w:space="0" w:color="auto"/>
              <w:left w:val="nil"/>
              <w:bottom w:val="single" w:sz="4" w:space="0" w:color="auto"/>
              <w:right w:val="nil"/>
            </w:tcBorders>
            <w:shd w:val="clear" w:color="auto" w:fill="auto"/>
            <w:noWrap/>
            <w:vAlign w:val="bottom"/>
            <w:hideMark/>
          </w:tcPr>
          <w:p w14:paraId="5BF099E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94%</w:t>
            </w:r>
          </w:p>
        </w:tc>
        <w:tc>
          <w:tcPr>
            <w:tcW w:w="0" w:type="auto"/>
            <w:tcBorders>
              <w:top w:val="single" w:sz="4" w:space="0" w:color="auto"/>
              <w:left w:val="nil"/>
              <w:bottom w:val="single" w:sz="4" w:space="0" w:color="auto"/>
              <w:right w:val="nil"/>
            </w:tcBorders>
            <w:shd w:val="clear" w:color="auto" w:fill="auto"/>
            <w:noWrap/>
            <w:vAlign w:val="bottom"/>
            <w:hideMark/>
          </w:tcPr>
          <w:p w14:paraId="384E15A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93%</w:t>
            </w:r>
          </w:p>
        </w:tc>
        <w:tc>
          <w:tcPr>
            <w:tcW w:w="0" w:type="auto"/>
            <w:tcBorders>
              <w:top w:val="single" w:sz="4" w:space="0" w:color="auto"/>
              <w:left w:val="nil"/>
              <w:bottom w:val="single" w:sz="4" w:space="0" w:color="auto"/>
              <w:right w:val="nil"/>
            </w:tcBorders>
            <w:shd w:val="clear" w:color="auto" w:fill="auto"/>
            <w:noWrap/>
            <w:vAlign w:val="bottom"/>
            <w:hideMark/>
          </w:tcPr>
          <w:p w14:paraId="26A096F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92%</w:t>
            </w:r>
          </w:p>
        </w:tc>
        <w:tc>
          <w:tcPr>
            <w:tcW w:w="0" w:type="auto"/>
            <w:tcBorders>
              <w:top w:val="single" w:sz="4" w:space="0" w:color="auto"/>
              <w:left w:val="nil"/>
              <w:bottom w:val="single" w:sz="4" w:space="0" w:color="auto"/>
              <w:right w:val="nil"/>
            </w:tcBorders>
            <w:shd w:val="clear" w:color="auto" w:fill="auto"/>
            <w:noWrap/>
            <w:vAlign w:val="bottom"/>
            <w:hideMark/>
          </w:tcPr>
          <w:p w14:paraId="79CCFEA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97%</w:t>
            </w:r>
          </w:p>
        </w:tc>
        <w:tc>
          <w:tcPr>
            <w:tcW w:w="0" w:type="auto"/>
            <w:tcBorders>
              <w:top w:val="single" w:sz="4" w:space="0" w:color="auto"/>
              <w:left w:val="nil"/>
              <w:bottom w:val="single" w:sz="4" w:space="0" w:color="auto"/>
              <w:right w:val="nil"/>
            </w:tcBorders>
            <w:shd w:val="clear" w:color="auto" w:fill="auto"/>
            <w:noWrap/>
            <w:vAlign w:val="bottom"/>
            <w:hideMark/>
          </w:tcPr>
          <w:p w14:paraId="4853882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93%</w:t>
            </w:r>
          </w:p>
        </w:tc>
        <w:tc>
          <w:tcPr>
            <w:tcW w:w="0" w:type="auto"/>
            <w:tcBorders>
              <w:top w:val="single" w:sz="4" w:space="0" w:color="auto"/>
              <w:left w:val="nil"/>
              <w:bottom w:val="single" w:sz="4" w:space="0" w:color="auto"/>
              <w:right w:val="nil"/>
            </w:tcBorders>
            <w:shd w:val="clear" w:color="auto" w:fill="auto"/>
            <w:noWrap/>
            <w:vAlign w:val="bottom"/>
            <w:hideMark/>
          </w:tcPr>
          <w:p w14:paraId="479BB88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97%</w:t>
            </w:r>
          </w:p>
        </w:tc>
      </w:tr>
    </w:tbl>
    <w:p w14:paraId="23D06072" w14:textId="26710719" w:rsidR="00577A69" w:rsidRDefault="00577A69" w:rsidP="008B4E20">
      <w:pPr>
        <w:pStyle w:val="NoSpacing"/>
        <w:spacing w:after="240"/>
        <w:jc w:val="both"/>
        <w:rPr>
          <w:rFonts w:ascii="Times New Roman" w:hAnsi="Times New Roman" w:cs="Times New Roman"/>
        </w:rPr>
      </w:pPr>
      <w:r w:rsidRPr="00684FF5">
        <w:rPr>
          <w:rFonts w:ascii="Times New Roman" w:hAnsi="Times New Roman" w:cs="Times New Roman"/>
          <w:bCs/>
          <w:sz w:val="20"/>
          <w:szCs w:val="20"/>
        </w:rPr>
        <w:t xml:space="preserve">Notes: Figures refer </w:t>
      </w:r>
      <w:r w:rsidR="008B3C65">
        <w:rPr>
          <w:rFonts w:ascii="Times New Roman" w:hAnsi="Times New Roman" w:cs="Times New Roman"/>
          <w:bCs/>
          <w:sz w:val="20"/>
          <w:szCs w:val="20"/>
        </w:rPr>
        <w:t xml:space="preserve">to </w:t>
      </w:r>
      <w:r w:rsidRPr="00684FF5">
        <w:rPr>
          <w:rFonts w:ascii="Times New Roman" w:hAnsi="Times New Roman" w:cs="Times New Roman"/>
          <w:bCs/>
          <w:sz w:val="20"/>
          <w:szCs w:val="20"/>
        </w:rPr>
        <w:t>unconditional percentages with the age 26 survey weight applied. The ‘average score’ refers to the average along the five-point scale, where 1 = very dissatisfied and 5 = very satisfied. Sample sizes are approximately 245 (teachers), 1,356 (lower managerial), 2,092 (graduates), 179 (health workers) and 216 (office jobs).</w:t>
      </w:r>
      <w:r w:rsidR="00875EB6">
        <w:rPr>
          <w:rFonts w:ascii="Times New Roman" w:hAnsi="Times New Roman" w:cs="Times New Roman"/>
          <w:bCs/>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Next Steps dataset</w:t>
      </w:r>
      <w:r w:rsidR="00875EB6" w:rsidRPr="00C15BFD">
        <w:rPr>
          <w:rFonts w:ascii="Times New Roman" w:hAnsi="Times New Roman" w:cs="Times New Roman"/>
          <w:sz w:val="20"/>
          <w:szCs w:val="20"/>
        </w:rPr>
        <w:t>.</w:t>
      </w:r>
    </w:p>
    <w:p w14:paraId="765162D1" w14:textId="18C2C304" w:rsidR="00577A69" w:rsidRPr="00404DB0" w:rsidRDefault="00577A69" w:rsidP="008B4E20">
      <w:pPr>
        <w:pStyle w:val="NoSpacing"/>
        <w:spacing w:after="160" w:line="360" w:lineRule="auto"/>
        <w:jc w:val="both"/>
        <w:rPr>
          <w:rFonts w:ascii="Times New Roman" w:hAnsi="Times New Roman" w:cs="Times New Roman"/>
          <w:u w:val="single"/>
        </w:rPr>
      </w:pPr>
      <w:r w:rsidRPr="00404DB0">
        <w:rPr>
          <w:rFonts w:ascii="Times New Roman" w:hAnsi="Times New Roman" w:cs="Times New Roman"/>
        </w:rPr>
        <w:t xml:space="preserve">Turning to respondents’ general health, we find roughly the same percentage of teachers reporting to be in good health at age 26 compared to when they were age 17 (see the final row of Table </w:t>
      </w:r>
      <w:r>
        <w:rPr>
          <w:rFonts w:ascii="Times New Roman" w:hAnsi="Times New Roman" w:cs="Times New Roman"/>
        </w:rPr>
        <w:t>7.</w:t>
      </w:r>
      <w:r w:rsidRPr="00404DB0">
        <w:rPr>
          <w:rFonts w:ascii="Times New Roman" w:hAnsi="Times New Roman" w:cs="Times New Roman"/>
        </w:rPr>
        <w:t xml:space="preserve">1). In other words, starting to work as a teacher does not seem to be associated with a decline in self-reported general health. Table </w:t>
      </w:r>
      <w:r>
        <w:rPr>
          <w:rFonts w:ascii="Times New Roman" w:hAnsi="Times New Roman" w:cs="Times New Roman"/>
        </w:rPr>
        <w:t>7.</w:t>
      </w:r>
      <w:r w:rsidRPr="00404DB0">
        <w:rPr>
          <w:rFonts w:ascii="Times New Roman" w:hAnsi="Times New Roman" w:cs="Times New Roman"/>
        </w:rPr>
        <w:t>1 also reveals that the same holds true for other occupational groups, except for those who enter health occupations, where the percentage reporting to be in good health increases (from 92</w:t>
      </w:r>
      <w:r w:rsidR="008E430D">
        <w:rPr>
          <w:rFonts w:ascii="Times New Roman" w:hAnsi="Times New Roman" w:cs="Times New Roman"/>
        </w:rPr>
        <w:t>%</w:t>
      </w:r>
      <w:r w:rsidRPr="00404DB0">
        <w:rPr>
          <w:rFonts w:ascii="Times New Roman" w:hAnsi="Times New Roman" w:cs="Times New Roman"/>
        </w:rPr>
        <w:t xml:space="preserve"> at age 17 to 97</w:t>
      </w:r>
      <w:r w:rsidR="008E430D">
        <w:rPr>
          <w:rFonts w:ascii="Times New Roman" w:hAnsi="Times New Roman" w:cs="Times New Roman"/>
        </w:rPr>
        <w:t>%</w:t>
      </w:r>
      <w:r w:rsidRPr="00404DB0">
        <w:rPr>
          <w:rFonts w:ascii="Times New Roman" w:hAnsi="Times New Roman" w:cs="Times New Roman"/>
        </w:rPr>
        <w:t xml:space="preserve"> at age 26). Otherwise, Table </w:t>
      </w:r>
      <w:r>
        <w:rPr>
          <w:rFonts w:ascii="Times New Roman" w:hAnsi="Times New Roman" w:cs="Times New Roman"/>
        </w:rPr>
        <w:t>7.</w:t>
      </w:r>
      <w:r w:rsidRPr="00404DB0">
        <w:rPr>
          <w:rFonts w:ascii="Times New Roman" w:hAnsi="Times New Roman" w:cs="Times New Roman"/>
        </w:rPr>
        <w:t xml:space="preserve">1 illustrates how recently qualified teachers do not report their general health to be any better or worse than the general health of their former school peers who work in other jobs. </w:t>
      </w:r>
    </w:p>
    <w:p w14:paraId="253EBAD7" w14:textId="02C01CF7" w:rsidR="00577A69" w:rsidRPr="00404DB0" w:rsidRDefault="00577A69" w:rsidP="008B4E20">
      <w:pPr>
        <w:pStyle w:val="NoSpacing"/>
        <w:spacing w:after="160" w:line="360" w:lineRule="auto"/>
        <w:jc w:val="both"/>
        <w:rPr>
          <w:rFonts w:ascii="Times New Roman" w:hAnsi="Times New Roman" w:cs="Times New Roman"/>
          <w:b/>
          <w:bCs/>
        </w:rPr>
      </w:pPr>
      <w:r w:rsidRPr="003A792B">
        <w:rPr>
          <w:rFonts w:ascii="Times New Roman" w:hAnsi="Times New Roman" w:cs="Times New Roman"/>
          <w:b/>
        </w:rPr>
        <w:t>7.4 Workload and pay</w:t>
      </w:r>
    </w:p>
    <w:p w14:paraId="7D85F9A5" w14:textId="0D6AA0FC" w:rsidR="00577A69" w:rsidRPr="00404DB0" w:rsidRDefault="00577A69" w:rsidP="008B4E20">
      <w:pPr>
        <w:pStyle w:val="NoSpacing"/>
        <w:spacing w:after="160" w:line="360" w:lineRule="auto"/>
        <w:jc w:val="both"/>
        <w:rPr>
          <w:rFonts w:ascii="Times New Roman" w:hAnsi="Times New Roman" w:cs="Times New Roman"/>
        </w:rPr>
      </w:pPr>
      <w:r w:rsidRPr="00404DB0">
        <w:rPr>
          <w:rFonts w:ascii="Times New Roman" w:hAnsi="Times New Roman" w:cs="Times New Roman"/>
        </w:rPr>
        <w:t xml:space="preserve">Table </w:t>
      </w:r>
      <w:r>
        <w:rPr>
          <w:rFonts w:ascii="Times New Roman" w:hAnsi="Times New Roman" w:cs="Times New Roman"/>
        </w:rPr>
        <w:t>7.</w:t>
      </w:r>
      <w:r w:rsidRPr="00404DB0">
        <w:rPr>
          <w:rFonts w:ascii="Times New Roman" w:hAnsi="Times New Roman" w:cs="Times New Roman"/>
        </w:rPr>
        <w:t>2 turns to key aspects of teachers’ jobs. The first row clearly illustrates how the average weekly working hours of junior teachers are higher than for other occupational groups. Compared to other lower</w:t>
      </w:r>
      <w:r w:rsidR="00623C78">
        <w:rPr>
          <w:rFonts w:ascii="Times New Roman" w:hAnsi="Times New Roman" w:cs="Times New Roman"/>
        </w:rPr>
        <w:t xml:space="preserve"> </w:t>
      </w:r>
      <w:r w:rsidRPr="00404DB0">
        <w:rPr>
          <w:rFonts w:ascii="Times New Roman" w:hAnsi="Times New Roman" w:cs="Times New Roman"/>
        </w:rPr>
        <w:t xml:space="preserve">managerial workers, junior teachers report working (on average) around nine hours more per week (48.2 versus 39.6 hours), with a similar difference relative to university graduates. Although the difference between junior teachers and office workers is smaller, it is still reported to be around six hours per week. Of course, some of this difference is likely to be offset by the fact that teachers typically have a greater amount of annual leave </w:t>
      </w:r>
      <w:r w:rsidRPr="00404DB0">
        <w:rPr>
          <w:rFonts w:ascii="Times New Roman" w:hAnsi="Times New Roman" w:cs="Times New Roman"/>
        </w:rPr>
        <w:lastRenderedPageBreak/>
        <w:t>than their peers working in other jobs (Worth et al</w:t>
      </w:r>
      <w:r w:rsidR="00CA7863">
        <w:rPr>
          <w:rFonts w:ascii="Times New Roman" w:hAnsi="Times New Roman" w:cs="Times New Roman"/>
        </w:rPr>
        <w:t>.,</w:t>
      </w:r>
      <w:r w:rsidRPr="00404DB0">
        <w:rPr>
          <w:rFonts w:ascii="Times New Roman" w:hAnsi="Times New Roman" w:cs="Times New Roman"/>
        </w:rPr>
        <w:t xml:space="preserve"> 2018), but is consistent with the high levels of workload reported by teachers in England within the most recent TALIS survey (Jerrim </w:t>
      </w:r>
      <w:r w:rsidR="00CA7863">
        <w:rPr>
          <w:rFonts w:ascii="Times New Roman" w:hAnsi="Times New Roman" w:cs="Times New Roman"/>
        </w:rPr>
        <w:t>&amp;</w:t>
      </w:r>
      <w:r w:rsidR="00CA7863" w:rsidRPr="00404DB0">
        <w:rPr>
          <w:rFonts w:ascii="Times New Roman" w:hAnsi="Times New Roman" w:cs="Times New Roman"/>
        </w:rPr>
        <w:t xml:space="preserve"> </w:t>
      </w:r>
      <w:r w:rsidRPr="00404DB0">
        <w:rPr>
          <w:rFonts w:ascii="Times New Roman" w:hAnsi="Times New Roman" w:cs="Times New Roman"/>
        </w:rPr>
        <w:t>Sims</w:t>
      </w:r>
      <w:r w:rsidR="00CA7863">
        <w:rPr>
          <w:rFonts w:ascii="Times New Roman" w:hAnsi="Times New Roman" w:cs="Times New Roman"/>
        </w:rPr>
        <w:t>,</w:t>
      </w:r>
      <w:r w:rsidRPr="00404DB0">
        <w:rPr>
          <w:rFonts w:ascii="Times New Roman" w:hAnsi="Times New Roman" w:cs="Times New Roman"/>
        </w:rPr>
        <w:t xml:space="preserve"> 2019). Hence, at least during term</w:t>
      </w:r>
      <w:r w:rsidR="000157AA">
        <w:rPr>
          <w:rFonts w:ascii="Times New Roman" w:hAnsi="Times New Roman" w:cs="Times New Roman"/>
        </w:rPr>
        <w:t xml:space="preserve"> </w:t>
      </w:r>
      <w:r w:rsidRPr="00404DB0">
        <w:rPr>
          <w:rFonts w:ascii="Times New Roman" w:hAnsi="Times New Roman" w:cs="Times New Roman"/>
        </w:rPr>
        <w:t>time, junior teachers typically have much longer hours (equivalent to around an extra day per week) compared to other occupational groups.</w:t>
      </w:r>
    </w:p>
    <w:p w14:paraId="2216D6C3" w14:textId="21FA065D" w:rsidR="00577A69" w:rsidRDefault="00577A69" w:rsidP="008B4E20">
      <w:pPr>
        <w:pStyle w:val="NoSpacing"/>
        <w:spacing w:after="160" w:line="360" w:lineRule="auto"/>
        <w:jc w:val="both"/>
        <w:rPr>
          <w:rFonts w:ascii="Times New Roman" w:hAnsi="Times New Roman" w:cs="Times New Roman"/>
        </w:rPr>
      </w:pPr>
      <w:r w:rsidRPr="00404DB0">
        <w:rPr>
          <w:rFonts w:ascii="Times New Roman" w:hAnsi="Times New Roman" w:cs="Times New Roman"/>
        </w:rPr>
        <w:t xml:space="preserve">Despite these long hours, junior teachers are not (on average) typically paid much more than those working in other jobs (see the middle row of Table </w:t>
      </w:r>
      <w:r>
        <w:rPr>
          <w:rFonts w:ascii="Times New Roman" w:hAnsi="Times New Roman" w:cs="Times New Roman"/>
        </w:rPr>
        <w:t>7.</w:t>
      </w:r>
      <w:r w:rsidRPr="00404DB0">
        <w:rPr>
          <w:rFonts w:ascii="Times New Roman" w:hAnsi="Times New Roman" w:cs="Times New Roman"/>
        </w:rPr>
        <w:t>2). Across the Next Steps cohort, the average weekly income is £396, with a standard deviation of £187. Compared to all graduates, teachers are paid around £22 more per week and £28 more than other lower</w:t>
      </w:r>
      <w:r w:rsidR="00623C78">
        <w:rPr>
          <w:rFonts w:ascii="Times New Roman" w:hAnsi="Times New Roman" w:cs="Times New Roman"/>
        </w:rPr>
        <w:t xml:space="preserve"> </w:t>
      </w:r>
      <w:r w:rsidRPr="00404DB0">
        <w:rPr>
          <w:rFonts w:ascii="Times New Roman" w:hAnsi="Times New Roman" w:cs="Times New Roman"/>
        </w:rPr>
        <w:t>managerial workers. Teachers do however receive less than their peers working in health (£54 per week less) and those in office jobs (£71 per week). The picture is therefore mixed in terms of the pay of junior teachers, with higher earnings than some groups (graduates and their cohort as a whole) but lower than others (most notably those working in mainly private sector office jobs).</w:t>
      </w:r>
    </w:p>
    <w:p w14:paraId="79E658A8" w14:textId="1D01FB47" w:rsidR="00556F66" w:rsidRPr="00404DB0" w:rsidRDefault="00577A69" w:rsidP="00577A69">
      <w:pPr>
        <w:pStyle w:val="NoSpacing"/>
        <w:jc w:val="center"/>
        <w:rPr>
          <w:rFonts w:ascii="Times New Roman" w:hAnsi="Times New Roman" w:cs="Times New Roman"/>
          <w:b/>
          <w:bCs/>
        </w:rPr>
      </w:pPr>
      <w:r w:rsidRPr="00404DB0">
        <w:rPr>
          <w:rFonts w:ascii="Times New Roman" w:hAnsi="Times New Roman" w:cs="Times New Roman"/>
          <w:b/>
          <w:bCs/>
        </w:rPr>
        <w:t xml:space="preserve">Table </w:t>
      </w:r>
      <w:r>
        <w:rPr>
          <w:rFonts w:ascii="Times New Roman" w:hAnsi="Times New Roman" w:cs="Times New Roman"/>
          <w:b/>
          <w:bCs/>
        </w:rPr>
        <w:t>7.</w:t>
      </w:r>
      <w:r w:rsidRPr="00404DB0">
        <w:rPr>
          <w:rFonts w:ascii="Times New Roman" w:hAnsi="Times New Roman" w:cs="Times New Roman"/>
          <w:b/>
          <w:bCs/>
        </w:rPr>
        <w:t xml:space="preserve">2 Comparison of </w:t>
      </w:r>
      <w:r w:rsidRPr="00E554CD">
        <w:rPr>
          <w:rFonts w:ascii="Times New Roman" w:hAnsi="Times New Roman" w:cs="Times New Roman"/>
          <w:b/>
          <w:bCs/>
        </w:rPr>
        <w:t>work-related outcomes</w:t>
      </w:r>
      <w:r w:rsidRPr="00404DB0">
        <w:rPr>
          <w:rFonts w:ascii="Times New Roman" w:hAnsi="Times New Roman" w:cs="Times New Roman"/>
          <w:b/>
          <w:bCs/>
        </w:rPr>
        <w:t xml:space="preserve"> between recently qualified teachers and other occupational groups</w:t>
      </w:r>
    </w:p>
    <w:p w14:paraId="00D102DB" w14:textId="77777777" w:rsidR="00577A69" w:rsidRPr="00404DB0" w:rsidRDefault="00577A69" w:rsidP="00556F66">
      <w:pPr>
        <w:pStyle w:val="NoSpacing"/>
        <w:jc w:val="center"/>
        <w:rPr>
          <w:rFonts w:ascii="Times New Roman" w:hAnsi="Times New Roman" w:cs="Times New Roman"/>
          <w:b/>
          <w:bCs/>
        </w:rPr>
      </w:pPr>
    </w:p>
    <w:tbl>
      <w:tblPr>
        <w:tblW w:w="9640" w:type="dxa"/>
        <w:jc w:val="center"/>
        <w:tblLook w:val="04A0" w:firstRow="1" w:lastRow="0" w:firstColumn="1" w:lastColumn="0" w:noHBand="0" w:noVBand="1"/>
      </w:tblPr>
      <w:tblGrid>
        <w:gridCol w:w="3360"/>
        <w:gridCol w:w="1340"/>
        <w:gridCol w:w="1460"/>
        <w:gridCol w:w="1240"/>
        <w:gridCol w:w="1140"/>
        <w:gridCol w:w="1100"/>
      </w:tblGrid>
      <w:tr w:rsidR="00577A69" w:rsidRPr="00404DB0" w14:paraId="2F886E84" w14:textId="77777777" w:rsidTr="00440E80">
        <w:trPr>
          <w:trHeight w:val="570"/>
          <w:jc w:val="center"/>
        </w:trPr>
        <w:tc>
          <w:tcPr>
            <w:tcW w:w="3360" w:type="dxa"/>
            <w:tcBorders>
              <w:top w:val="single" w:sz="4" w:space="0" w:color="auto"/>
              <w:left w:val="nil"/>
              <w:bottom w:val="single" w:sz="4" w:space="0" w:color="auto"/>
              <w:right w:val="nil"/>
            </w:tcBorders>
            <w:shd w:val="clear" w:color="000000" w:fill="B4C6E7"/>
            <w:vAlign w:val="center"/>
            <w:hideMark/>
          </w:tcPr>
          <w:p w14:paraId="6D672F4C"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 </w:t>
            </w:r>
          </w:p>
        </w:tc>
        <w:tc>
          <w:tcPr>
            <w:tcW w:w="1340" w:type="dxa"/>
            <w:tcBorders>
              <w:top w:val="single" w:sz="4" w:space="0" w:color="auto"/>
              <w:left w:val="nil"/>
              <w:bottom w:val="single" w:sz="4" w:space="0" w:color="auto"/>
              <w:right w:val="nil"/>
            </w:tcBorders>
            <w:shd w:val="clear" w:color="000000" w:fill="B4C6E7"/>
            <w:vAlign w:val="center"/>
            <w:hideMark/>
          </w:tcPr>
          <w:p w14:paraId="2A8E691A"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Teachers</w:t>
            </w:r>
          </w:p>
        </w:tc>
        <w:tc>
          <w:tcPr>
            <w:tcW w:w="1460" w:type="dxa"/>
            <w:tcBorders>
              <w:top w:val="single" w:sz="4" w:space="0" w:color="auto"/>
              <w:left w:val="nil"/>
              <w:bottom w:val="single" w:sz="4" w:space="0" w:color="auto"/>
              <w:right w:val="nil"/>
            </w:tcBorders>
            <w:shd w:val="clear" w:color="000000" w:fill="B4C6E7"/>
            <w:vAlign w:val="center"/>
            <w:hideMark/>
          </w:tcPr>
          <w:p w14:paraId="3462DE71"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Lower managerial</w:t>
            </w:r>
          </w:p>
        </w:tc>
        <w:tc>
          <w:tcPr>
            <w:tcW w:w="1240" w:type="dxa"/>
            <w:tcBorders>
              <w:top w:val="single" w:sz="4" w:space="0" w:color="auto"/>
              <w:left w:val="nil"/>
              <w:bottom w:val="single" w:sz="4" w:space="0" w:color="auto"/>
              <w:right w:val="nil"/>
            </w:tcBorders>
            <w:shd w:val="clear" w:color="000000" w:fill="B4C6E7"/>
            <w:vAlign w:val="center"/>
            <w:hideMark/>
          </w:tcPr>
          <w:p w14:paraId="4FFC6047"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Graduates</w:t>
            </w:r>
          </w:p>
        </w:tc>
        <w:tc>
          <w:tcPr>
            <w:tcW w:w="1140" w:type="dxa"/>
            <w:tcBorders>
              <w:top w:val="single" w:sz="4" w:space="0" w:color="auto"/>
              <w:left w:val="nil"/>
              <w:bottom w:val="single" w:sz="4" w:space="0" w:color="auto"/>
              <w:right w:val="nil"/>
            </w:tcBorders>
            <w:shd w:val="clear" w:color="000000" w:fill="B4C6E7"/>
            <w:vAlign w:val="center"/>
            <w:hideMark/>
          </w:tcPr>
          <w:p w14:paraId="20066BB9"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Health workers</w:t>
            </w:r>
          </w:p>
        </w:tc>
        <w:tc>
          <w:tcPr>
            <w:tcW w:w="1100" w:type="dxa"/>
            <w:tcBorders>
              <w:top w:val="single" w:sz="4" w:space="0" w:color="auto"/>
              <w:left w:val="nil"/>
              <w:bottom w:val="single" w:sz="4" w:space="0" w:color="auto"/>
              <w:right w:val="nil"/>
            </w:tcBorders>
            <w:shd w:val="clear" w:color="000000" w:fill="B4C6E7"/>
            <w:vAlign w:val="center"/>
            <w:hideMark/>
          </w:tcPr>
          <w:p w14:paraId="315F4936"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Office job</w:t>
            </w:r>
          </w:p>
        </w:tc>
      </w:tr>
      <w:tr w:rsidR="00577A69" w:rsidRPr="00404DB0" w14:paraId="3FB26628" w14:textId="77777777" w:rsidTr="00440E80">
        <w:trPr>
          <w:trHeight w:val="300"/>
          <w:jc w:val="center"/>
        </w:trPr>
        <w:tc>
          <w:tcPr>
            <w:tcW w:w="3360" w:type="dxa"/>
            <w:tcBorders>
              <w:top w:val="nil"/>
              <w:left w:val="nil"/>
              <w:bottom w:val="nil"/>
              <w:right w:val="nil"/>
            </w:tcBorders>
            <w:shd w:val="clear" w:color="auto" w:fill="auto"/>
            <w:noWrap/>
            <w:vAlign w:val="center"/>
            <w:hideMark/>
          </w:tcPr>
          <w:p w14:paraId="200485E3"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Mean working hours</w:t>
            </w:r>
          </w:p>
        </w:tc>
        <w:tc>
          <w:tcPr>
            <w:tcW w:w="1340" w:type="dxa"/>
            <w:tcBorders>
              <w:top w:val="nil"/>
              <w:left w:val="nil"/>
              <w:bottom w:val="nil"/>
              <w:right w:val="nil"/>
            </w:tcBorders>
            <w:shd w:val="clear" w:color="auto" w:fill="auto"/>
            <w:noWrap/>
            <w:vAlign w:val="center"/>
            <w:hideMark/>
          </w:tcPr>
          <w:p w14:paraId="6891175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48.2</w:t>
            </w:r>
          </w:p>
        </w:tc>
        <w:tc>
          <w:tcPr>
            <w:tcW w:w="1460" w:type="dxa"/>
            <w:tcBorders>
              <w:top w:val="nil"/>
              <w:left w:val="nil"/>
              <w:bottom w:val="nil"/>
              <w:right w:val="nil"/>
            </w:tcBorders>
            <w:shd w:val="clear" w:color="auto" w:fill="auto"/>
            <w:noWrap/>
            <w:vAlign w:val="center"/>
            <w:hideMark/>
          </w:tcPr>
          <w:p w14:paraId="2138BE6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39.6</w:t>
            </w:r>
          </w:p>
        </w:tc>
        <w:tc>
          <w:tcPr>
            <w:tcW w:w="1240" w:type="dxa"/>
            <w:tcBorders>
              <w:top w:val="nil"/>
              <w:left w:val="nil"/>
              <w:bottom w:val="nil"/>
              <w:right w:val="nil"/>
            </w:tcBorders>
            <w:shd w:val="clear" w:color="auto" w:fill="auto"/>
            <w:noWrap/>
            <w:vAlign w:val="center"/>
            <w:hideMark/>
          </w:tcPr>
          <w:p w14:paraId="18ECEA1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39.6</w:t>
            </w:r>
          </w:p>
        </w:tc>
        <w:tc>
          <w:tcPr>
            <w:tcW w:w="1140" w:type="dxa"/>
            <w:tcBorders>
              <w:top w:val="nil"/>
              <w:left w:val="nil"/>
              <w:bottom w:val="nil"/>
              <w:right w:val="nil"/>
            </w:tcBorders>
            <w:shd w:val="clear" w:color="auto" w:fill="auto"/>
            <w:noWrap/>
            <w:vAlign w:val="center"/>
            <w:hideMark/>
          </w:tcPr>
          <w:p w14:paraId="53DDD73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40.1</w:t>
            </w:r>
          </w:p>
        </w:tc>
        <w:tc>
          <w:tcPr>
            <w:tcW w:w="1100" w:type="dxa"/>
            <w:tcBorders>
              <w:top w:val="nil"/>
              <w:left w:val="nil"/>
              <w:bottom w:val="nil"/>
              <w:right w:val="nil"/>
            </w:tcBorders>
            <w:shd w:val="clear" w:color="auto" w:fill="auto"/>
            <w:noWrap/>
            <w:vAlign w:val="center"/>
            <w:hideMark/>
          </w:tcPr>
          <w:p w14:paraId="0097194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41.9</w:t>
            </w:r>
          </w:p>
        </w:tc>
      </w:tr>
      <w:tr w:rsidR="00577A69" w:rsidRPr="00404DB0" w14:paraId="21BB114E" w14:textId="77777777" w:rsidTr="00440E80">
        <w:trPr>
          <w:trHeight w:val="300"/>
          <w:jc w:val="center"/>
        </w:trPr>
        <w:tc>
          <w:tcPr>
            <w:tcW w:w="3360" w:type="dxa"/>
            <w:tcBorders>
              <w:top w:val="nil"/>
              <w:left w:val="nil"/>
              <w:bottom w:val="nil"/>
              <w:right w:val="nil"/>
            </w:tcBorders>
            <w:shd w:val="clear" w:color="auto" w:fill="auto"/>
            <w:noWrap/>
            <w:vAlign w:val="center"/>
            <w:hideMark/>
          </w:tcPr>
          <w:p w14:paraId="3A05D570"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Median weekly income (£)</w:t>
            </w:r>
          </w:p>
        </w:tc>
        <w:tc>
          <w:tcPr>
            <w:tcW w:w="1340" w:type="dxa"/>
            <w:tcBorders>
              <w:top w:val="nil"/>
              <w:left w:val="nil"/>
              <w:bottom w:val="nil"/>
              <w:right w:val="nil"/>
            </w:tcBorders>
            <w:shd w:val="clear" w:color="auto" w:fill="auto"/>
            <w:noWrap/>
            <w:vAlign w:val="center"/>
            <w:hideMark/>
          </w:tcPr>
          <w:p w14:paraId="0CDA04E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467</w:t>
            </w:r>
          </w:p>
        </w:tc>
        <w:tc>
          <w:tcPr>
            <w:tcW w:w="1460" w:type="dxa"/>
            <w:tcBorders>
              <w:top w:val="nil"/>
              <w:left w:val="nil"/>
              <w:bottom w:val="nil"/>
              <w:right w:val="nil"/>
            </w:tcBorders>
            <w:shd w:val="clear" w:color="auto" w:fill="auto"/>
            <w:noWrap/>
            <w:vAlign w:val="center"/>
            <w:hideMark/>
          </w:tcPr>
          <w:p w14:paraId="22F9E16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439</w:t>
            </w:r>
          </w:p>
        </w:tc>
        <w:tc>
          <w:tcPr>
            <w:tcW w:w="1240" w:type="dxa"/>
            <w:tcBorders>
              <w:top w:val="nil"/>
              <w:left w:val="nil"/>
              <w:bottom w:val="nil"/>
              <w:right w:val="nil"/>
            </w:tcBorders>
            <w:shd w:val="clear" w:color="auto" w:fill="auto"/>
            <w:noWrap/>
            <w:vAlign w:val="center"/>
            <w:hideMark/>
          </w:tcPr>
          <w:p w14:paraId="67486EE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445</w:t>
            </w:r>
          </w:p>
        </w:tc>
        <w:tc>
          <w:tcPr>
            <w:tcW w:w="1140" w:type="dxa"/>
            <w:tcBorders>
              <w:top w:val="nil"/>
              <w:left w:val="nil"/>
              <w:bottom w:val="nil"/>
              <w:right w:val="nil"/>
            </w:tcBorders>
            <w:shd w:val="clear" w:color="auto" w:fill="auto"/>
            <w:noWrap/>
            <w:vAlign w:val="center"/>
            <w:hideMark/>
          </w:tcPr>
          <w:p w14:paraId="60D368E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521</w:t>
            </w:r>
          </w:p>
        </w:tc>
        <w:tc>
          <w:tcPr>
            <w:tcW w:w="1100" w:type="dxa"/>
            <w:tcBorders>
              <w:top w:val="nil"/>
              <w:left w:val="nil"/>
              <w:bottom w:val="nil"/>
              <w:right w:val="nil"/>
            </w:tcBorders>
            <w:shd w:val="clear" w:color="auto" w:fill="auto"/>
            <w:noWrap/>
            <w:vAlign w:val="center"/>
            <w:hideMark/>
          </w:tcPr>
          <w:p w14:paraId="296BA58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538</w:t>
            </w:r>
          </w:p>
        </w:tc>
      </w:tr>
      <w:tr w:rsidR="00577A69" w:rsidRPr="00404DB0" w14:paraId="1E8D31A7" w14:textId="77777777" w:rsidTr="00440E80">
        <w:trPr>
          <w:trHeight w:val="300"/>
          <w:jc w:val="center"/>
        </w:trPr>
        <w:tc>
          <w:tcPr>
            <w:tcW w:w="3360" w:type="dxa"/>
            <w:tcBorders>
              <w:top w:val="nil"/>
              <w:left w:val="nil"/>
              <w:bottom w:val="nil"/>
              <w:right w:val="nil"/>
            </w:tcBorders>
            <w:shd w:val="clear" w:color="auto" w:fill="auto"/>
            <w:noWrap/>
            <w:vAlign w:val="center"/>
            <w:hideMark/>
          </w:tcPr>
          <w:p w14:paraId="20939336"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Believe hard work is rewarded</w:t>
            </w:r>
          </w:p>
        </w:tc>
        <w:tc>
          <w:tcPr>
            <w:tcW w:w="1340" w:type="dxa"/>
            <w:tcBorders>
              <w:top w:val="nil"/>
              <w:left w:val="nil"/>
              <w:bottom w:val="nil"/>
              <w:right w:val="nil"/>
            </w:tcBorders>
            <w:shd w:val="clear" w:color="auto" w:fill="auto"/>
            <w:noWrap/>
            <w:vAlign w:val="center"/>
            <w:hideMark/>
          </w:tcPr>
          <w:p w14:paraId="58834918"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p>
        </w:tc>
        <w:tc>
          <w:tcPr>
            <w:tcW w:w="1460" w:type="dxa"/>
            <w:tcBorders>
              <w:top w:val="nil"/>
              <w:left w:val="nil"/>
              <w:bottom w:val="nil"/>
              <w:right w:val="nil"/>
            </w:tcBorders>
            <w:shd w:val="clear" w:color="auto" w:fill="auto"/>
            <w:noWrap/>
            <w:vAlign w:val="center"/>
            <w:hideMark/>
          </w:tcPr>
          <w:p w14:paraId="3F980CB0"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1240" w:type="dxa"/>
            <w:tcBorders>
              <w:top w:val="nil"/>
              <w:left w:val="nil"/>
              <w:bottom w:val="nil"/>
              <w:right w:val="nil"/>
            </w:tcBorders>
            <w:shd w:val="clear" w:color="auto" w:fill="auto"/>
            <w:noWrap/>
            <w:vAlign w:val="center"/>
            <w:hideMark/>
          </w:tcPr>
          <w:p w14:paraId="472B9627"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center"/>
            <w:hideMark/>
          </w:tcPr>
          <w:p w14:paraId="6E2C2451"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1100" w:type="dxa"/>
            <w:tcBorders>
              <w:top w:val="nil"/>
              <w:left w:val="nil"/>
              <w:bottom w:val="nil"/>
              <w:right w:val="nil"/>
            </w:tcBorders>
            <w:shd w:val="clear" w:color="auto" w:fill="auto"/>
            <w:noWrap/>
            <w:vAlign w:val="center"/>
            <w:hideMark/>
          </w:tcPr>
          <w:p w14:paraId="2E7A2293"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r>
      <w:tr w:rsidR="00577A69" w:rsidRPr="00404DB0" w14:paraId="75FD7513" w14:textId="77777777" w:rsidTr="00440E80">
        <w:trPr>
          <w:trHeight w:val="300"/>
          <w:jc w:val="center"/>
        </w:trPr>
        <w:tc>
          <w:tcPr>
            <w:tcW w:w="3360" w:type="dxa"/>
            <w:tcBorders>
              <w:top w:val="nil"/>
              <w:left w:val="nil"/>
              <w:bottom w:val="nil"/>
              <w:right w:val="nil"/>
            </w:tcBorders>
            <w:shd w:val="clear" w:color="auto" w:fill="auto"/>
            <w:noWrap/>
            <w:vAlign w:val="bottom"/>
            <w:hideMark/>
          </w:tcPr>
          <w:p w14:paraId="29B69BC0"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 Strongly disagree</w:t>
            </w:r>
          </w:p>
        </w:tc>
        <w:tc>
          <w:tcPr>
            <w:tcW w:w="1340" w:type="dxa"/>
            <w:tcBorders>
              <w:top w:val="nil"/>
              <w:left w:val="nil"/>
              <w:bottom w:val="nil"/>
              <w:right w:val="nil"/>
            </w:tcBorders>
            <w:shd w:val="clear" w:color="auto" w:fill="auto"/>
            <w:vAlign w:val="center"/>
            <w:hideMark/>
          </w:tcPr>
          <w:p w14:paraId="5D81E48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17%</w:t>
            </w:r>
          </w:p>
        </w:tc>
        <w:tc>
          <w:tcPr>
            <w:tcW w:w="1460" w:type="dxa"/>
            <w:tcBorders>
              <w:top w:val="nil"/>
              <w:left w:val="nil"/>
              <w:bottom w:val="nil"/>
              <w:right w:val="nil"/>
            </w:tcBorders>
            <w:shd w:val="clear" w:color="auto" w:fill="auto"/>
            <w:vAlign w:val="center"/>
            <w:hideMark/>
          </w:tcPr>
          <w:p w14:paraId="5B29B9D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16%</w:t>
            </w:r>
          </w:p>
        </w:tc>
        <w:tc>
          <w:tcPr>
            <w:tcW w:w="1240" w:type="dxa"/>
            <w:tcBorders>
              <w:top w:val="nil"/>
              <w:left w:val="nil"/>
              <w:bottom w:val="nil"/>
              <w:right w:val="nil"/>
            </w:tcBorders>
            <w:shd w:val="clear" w:color="auto" w:fill="auto"/>
            <w:vAlign w:val="center"/>
            <w:hideMark/>
          </w:tcPr>
          <w:p w14:paraId="6ACBEF1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13%</w:t>
            </w:r>
          </w:p>
        </w:tc>
        <w:tc>
          <w:tcPr>
            <w:tcW w:w="1140" w:type="dxa"/>
            <w:tcBorders>
              <w:top w:val="nil"/>
              <w:left w:val="nil"/>
              <w:bottom w:val="nil"/>
              <w:right w:val="nil"/>
            </w:tcBorders>
            <w:shd w:val="clear" w:color="auto" w:fill="auto"/>
            <w:vAlign w:val="center"/>
            <w:hideMark/>
          </w:tcPr>
          <w:p w14:paraId="2C9FE16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13%</w:t>
            </w:r>
          </w:p>
        </w:tc>
        <w:tc>
          <w:tcPr>
            <w:tcW w:w="1100" w:type="dxa"/>
            <w:tcBorders>
              <w:top w:val="nil"/>
              <w:left w:val="nil"/>
              <w:bottom w:val="nil"/>
              <w:right w:val="nil"/>
            </w:tcBorders>
            <w:shd w:val="clear" w:color="auto" w:fill="auto"/>
            <w:vAlign w:val="center"/>
            <w:hideMark/>
          </w:tcPr>
          <w:p w14:paraId="0C961DA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10%</w:t>
            </w:r>
          </w:p>
        </w:tc>
      </w:tr>
      <w:tr w:rsidR="00577A69" w:rsidRPr="00404DB0" w14:paraId="53435A61" w14:textId="77777777" w:rsidTr="00440E80">
        <w:trPr>
          <w:trHeight w:val="300"/>
          <w:jc w:val="center"/>
        </w:trPr>
        <w:tc>
          <w:tcPr>
            <w:tcW w:w="3360" w:type="dxa"/>
            <w:tcBorders>
              <w:top w:val="nil"/>
              <w:left w:val="nil"/>
              <w:bottom w:val="nil"/>
              <w:right w:val="nil"/>
            </w:tcBorders>
            <w:shd w:val="clear" w:color="auto" w:fill="auto"/>
            <w:noWrap/>
            <w:vAlign w:val="bottom"/>
            <w:hideMark/>
          </w:tcPr>
          <w:p w14:paraId="17814414"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 Disagree</w:t>
            </w:r>
          </w:p>
        </w:tc>
        <w:tc>
          <w:tcPr>
            <w:tcW w:w="1340" w:type="dxa"/>
            <w:tcBorders>
              <w:top w:val="nil"/>
              <w:left w:val="nil"/>
              <w:bottom w:val="nil"/>
              <w:right w:val="nil"/>
            </w:tcBorders>
            <w:shd w:val="clear" w:color="auto" w:fill="auto"/>
            <w:vAlign w:val="center"/>
            <w:hideMark/>
          </w:tcPr>
          <w:p w14:paraId="551D759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53%</w:t>
            </w:r>
          </w:p>
        </w:tc>
        <w:tc>
          <w:tcPr>
            <w:tcW w:w="1460" w:type="dxa"/>
            <w:tcBorders>
              <w:top w:val="nil"/>
              <w:left w:val="nil"/>
              <w:bottom w:val="nil"/>
              <w:right w:val="nil"/>
            </w:tcBorders>
            <w:shd w:val="clear" w:color="auto" w:fill="auto"/>
            <w:vAlign w:val="center"/>
            <w:hideMark/>
          </w:tcPr>
          <w:p w14:paraId="66347F1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45%</w:t>
            </w:r>
          </w:p>
        </w:tc>
        <w:tc>
          <w:tcPr>
            <w:tcW w:w="1240" w:type="dxa"/>
            <w:tcBorders>
              <w:top w:val="nil"/>
              <w:left w:val="nil"/>
              <w:bottom w:val="nil"/>
              <w:right w:val="nil"/>
            </w:tcBorders>
            <w:shd w:val="clear" w:color="auto" w:fill="auto"/>
            <w:vAlign w:val="center"/>
            <w:hideMark/>
          </w:tcPr>
          <w:p w14:paraId="06FC646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44%</w:t>
            </w:r>
          </w:p>
        </w:tc>
        <w:tc>
          <w:tcPr>
            <w:tcW w:w="1140" w:type="dxa"/>
            <w:tcBorders>
              <w:top w:val="nil"/>
              <w:left w:val="nil"/>
              <w:bottom w:val="nil"/>
              <w:right w:val="nil"/>
            </w:tcBorders>
            <w:shd w:val="clear" w:color="auto" w:fill="auto"/>
            <w:vAlign w:val="center"/>
            <w:hideMark/>
          </w:tcPr>
          <w:p w14:paraId="1BA4B57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49%</w:t>
            </w:r>
          </w:p>
        </w:tc>
        <w:tc>
          <w:tcPr>
            <w:tcW w:w="1100" w:type="dxa"/>
            <w:tcBorders>
              <w:top w:val="nil"/>
              <w:left w:val="nil"/>
              <w:bottom w:val="nil"/>
              <w:right w:val="nil"/>
            </w:tcBorders>
            <w:shd w:val="clear" w:color="auto" w:fill="auto"/>
            <w:vAlign w:val="center"/>
            <w:hideMark/>
          </w:tcPr>
          <w:p w14:paraId="18D234E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37%</w:t>
            </w:r>
          </w:p>
        </w:tc>
      </w:tr>
      <w:tr w:rsidR="00577A69" w:rsidRPr="00404DB0" w14:paraId="0E874B77" w14:textId="77777777" w:rsidTr="00440E80">
        <w:trPr>
          <w:trHeight w:val="300"/>
          <w:jc w:val="center"/>
        </w:trPr>
        <w:tc>
          <w:tcPr>
            <w:tcW w:w="3360" w:type="dxa"/>
            <w:tcBorders>
              <w:top w:val="nil"/>
              <w:left w:val="nil"/>
              <w:bottom w:val="nil"/>
              <w:right w:val="nil"/>
            </w:tcBorders>
            <w:shd w:val="clear" w:color="auto" w:fill="auto"/>
            <w:noWrap/>
            <w:vAlign w:val="bottom"/>
            <w:hideMark/>
          </w:tcPr>
          <w:p w14:paraId="59EF0F62"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 Agree</w:t>
            </w:r>
          </w:p>
        </w:tc>
        <w:tc>
          <w:tcPr>
            <w:tcW w:w="1340" w:type="dxa"/>
            <w:tcBorders>
              <w:top w:val="nil"/>
              <w:left w:val="nil"/>
              <w:bottom w:val="nil"/>
              <w:right w:val="nil"/>
            </w:tcBorders>
            <w:shd w:val="clear" w:color="auto" w:fill="auto"/>
            <w:vAlign w:val="center"/>
            <w:hideMark/>
          </w:tcPr>
          <w:p w14:paraId="432DFBC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27%</w:t>
            </w:r>
          </w:p>
        </w:tc>
        <w:tc>
          <w:tcPr>
            <w:tcW w:w="1460" w:type="dxa"/>
            <w:tcBorders>
              <w:top w:val="nil"/>
              <w:left w:val="nil"/>
              <w:bottom w:val="nil"/>
              <w:right w:val="nil"/>
            </w:tcBorders>
            <w:shd w:val="clear" w:color="auto" w:fill="auto"/>
            <w:vAlign w:val="center"/>
            <w:hideMark/>
          </w:tcPr>
          <w:p w14:paraId="56206DE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36%</w:t>
            </w:r>
          </w:p>
        </w:tc>
        <w:tc>
          <w:tcPr>
            <w:tcW w:w="1240" w:type="dxa"/>
            <w:tcBorders>
              <w:top w:val="nil"/>
              <w:left w:val="nil"/>
              <w:bottom w:val="nil"/>
              <w:right w:val="nil"/>
            </w:tcBorders>
            <w:shd w:val="clear" w:color="auto" w:fill="auto"/>
            <w:vAlign w:val="center"/>
            <w:hideMark/>
          </w:tcPr>
          <w:p w14:paraId="3524759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w:t>
            </w:r>
          </w:p>
        </w:tc>
        <w:tc>
          <w:tcPr>
            <w:tcW w:w="1140" w:type="dxa"/>
            <w:tcBorders>
              <w:top w:val="nil"/>
              <w:left w:val="nil"/>
              <w:bottom w:val="nil"/>
              <w:right w:val="nil"/>
            </w:tcBorders>
            <w:shd w:val="clear" w:color="auto" w:fill="auto"/>
            <w:vAlign w:val="center"/>
            <w:hideMark/>
          </w:tcPr>
          <w:p w14:paraId="52BF9FF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37%</w:t>
            </w:r>
          </w:p>
        </w:tc>
        <w:tc>
          <w:tcPr>
            <w:tcW w:w="1100" w:type="dxa"/>
            <w:tcBorders>
              <w:top w:val="nil"/>
              <w:left w:val="nil"/>
              <w:bottom w:val="nil"/>
              <w:right w:val="nil"/>
            </w:tcBorders>
            <w:shd w:val="clear" w:color="auto" w:fill="auto"/>
            <w:vAlign w:val="center"/>
            <w:hideMark/>
          </w:tcPr>
          <w:p w14:paraId="1C694BA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48%</w:t>
            </w:r>
          </w:p>
        </w:tc>
      </w:tr>
      <w:tr w:rsidR="00577A69" w:rsidRPr="00404DB0" w14:paraId="5F2B1C0E" w14:textId="77777777" w:rsidTr="00440E80">
        <w:trPr>
          <w:trHeight w:val="300"/>
          <w:jc w:val="center"/>
        </w:trPr>
        <w:tc>
          <w:tcPr>
            <w:tcW w:w="3360" w:type="dxa"/>
            <w:tcBorders>
              <w:top w:val="nil"/>
              <w:left w:val="nil"/>
              <w:bottom w:val="nil"/>
              <w:right w:val="nil"/>
            </w:tcBorders>
            <w:shd w:val="clear" w:color="auto" w:fill="auto"/>
            <w:noWrap/>
            <w:vAlign w:val="bottom"/>
            <w:hideMark/>
          </w:tcPr>
          <w:p w14:paraId="7766BDE3"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 Strongly agree</w:t>
            </w:r>
          </w:p>
        </w:tc>
        <w:tc>
          <w:tcPr>
            <w:tcW w:w="1340" w:type="dxa"/>
            <w:tcBorders>
              <w:top w:val="nil"/>
              <w:left w:val="nil"/>
              <w:bottom w:val="nil"/>
              <w:right w:val="nil"/>
            </w:tcBorders>
            <w:shd w:val="clear" w:color="auto" w:fill="auto"/>
            <w:vAlign w:val="center"/>
            <w:hideMark/>
          </w:tcPr>
          <w:p w14:paraId="3B8FAD5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w:t>
            </w:r>
          </w:p>
        </w:tc>
        <w:tc>
          <w:tcPr>
            <w:tcW w:w="1460" w:type="dxa"/>
            <w:tcBorders>
              <w:top w:val="nil"/>
              <w:left w:val="nil"/>
              <w:bottom w:val="nil"/>
              <w:right w:val="nil"/>
            </w:tcBorders>
            <w:shd w:val="clear" w:color="auto" w:fill="auto"/>
            <w:vAlign w:val="center"/>
            <w:hideMark/>
          </w:tcPr>
          <w:p w14:paraId="11FACB6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w:t>
            </w:r>
          </w:p>
        </w:tc>
        <w:tc>
          <w:tcPr>
            <w:tcW w:w="1240" w:type="dxa"/>
            <w:tcBorders>
              <w:top w:val="nil"/>
              <w:left w:val="nil"/>
              <w:bottom w:val="nil"/>
              <w:right w:val="nil"/>
            </w:tcBorders>
            <w:shd w:val="clear" w:color="auto" w:fill="auto"/>
            <w:vAlign w:val="center"/>
            <w:hideMark/>
          </w:tcPr>
          <w:p w14:paraId="5D595F7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w:t>
            </w:r>
          </w:p>
        </w:tc>
        <w:tc>
          <w:tcPr>
            <w:tcW w:w="1140" w:type="dxa"/>
            <w:tcBorders>
              <w:top w:val="nil"/>
              <w:left w:val="nil"/>
              <w:bottom w:val="nil"/>
              <w:right w:val="nil"/>
            </w:tcBorders>
            <w:shd w:val="clear" w:color="auto" w:fill="auto"/>
            <w:vAlign w:val="center"/>
            <w:hideMark/>
          </w:tcPr>
          <w:p w14:paraId="48AF610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w:t>
            </w:r>
          </w:p>
        </w:tc>
        <w:tc>
          <w:tcPr>
            <w:tcW w:w="1100" w:type="dxa"/>
            <w:tcBorders>
              <w:top w:val="nil"/>
              <w:left w:val="nil"/>
              <w:bottom w:val="nil"/>
              <w:right w:val="nil"/>
            </w:tcBorders>
            <w:shd w:val="clear" w:color="auto" w:fill="auto"/>
            <w:vAlign w:val="center"/>
            <w:hideMark/>
          </w:tcPr>
          <w:p w14:paraId="0B29D70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r>
      <w:tr w:rsidR="00577A69" w:rsidRPr="00404DB0" w14:paraId="32B10112" w14:textId="77777777" w:rsidTr="00440E80">
        <w:trPr>
          <w:trHeight w:val="300"/>
          <w:jc w:val="center"/>
        </w:trPr>
        <w:tc>
          <w:tcPr>
            <w:tcW w:w="3360" w:type="dxa"/>
            <w:tcBorders>
              <w:top w:val="single" w:sz="4" w:space="0" w:color="auto"/>
              <w:left w:val="nil"/>
              <w:bottom w:val="single" w:sz="4" w:space="0" w:color="auto"/>
              <w:right w:val="nil"/>
            </w:tcBorders>
            <w:shd w:val="clear" w:color="auto" w:fill="auto"/>
            <w:noWrap/>
            <w:vAlign w:val="bottom"/>
            <w:hideMark/>
          </w:tcPr>
          <w:p w14:paraId="13E0303D" w14:textId="77777777" w:rsidR="00577A69" w:rsidRPr="00404DB0" w:rsidRDefault="00577A69" w:rsidP="00440E80">
            <w:pPr>
              <w:spacing w:after="0" w:line="240" w:lineRule="auto"/>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Average</w:t>
            </w:r>
          </w:p>
        </w:tc>
        <w:tc>
          <w:tcPr>
            <w:tcW w:w="1340" w:type="dxa"/>
            <w:tcBorders>
              <w:top w:val="single" w:sz="4" w:space="0" w:color="auto"/>
              <w:left w:val="nil"/>
              <w:bottom w:val="single" w:sz="4" w:space="0" w:color="auto"/>
              <w:right w:val="nil"/>
            </w:tcBorders>
            <w:shd w:val="clear" w:color="auto" w:fill="auto"/>
            <w:noWrap/>
            <w:vAlign w:val="bottom"/>
            <w:hideMark/>
          </w:tcPr>
          <w:p w14:paraId="1AA73DE6"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2.16</w:t>
            </w:r>
          </w:p>
        </w:tc>
        <w:tc>
          <w:tcPr>
            <w:tcW w:w="1460" w:type="dxa"/>
            <w:tcBorders>
              <w:top w:val="single" w:sz="4" w:space="0" w:color="auto"/>
              <w:left w:val="nil"/>
              <w:bottom w:val="single" w:sz="4" w:space="0" w:color="auto"/>
              <w:right w:val="nil"/>
            </w:tcBorders>
            <w:shd w:val="clear" w:color="auto" w:fill="auto"/>
            <w:noWrap/>
            <w:vAlign w:val="bottom"/>
            <w:hideMark/>
          </w:tcPr>
          <w:p w14:paraId="1CFE5AB4"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2.26</w:t>
            </w:r>
          </w:p>
        </w:tc>
        <w:tc>
          <w:tcPr>
            <w:tcW w:w="1240" w:type="dxa"/>
            <w:tcBorders>
              <w:top w:val="single" w:sz="4" w:space="0" w:color="auto"/>
              <w:left w:val="nil"/>
              <w:bottom w:val="single" w:sz="4" w:space="0" w:color="auto"/>
              <w:right w:val="nil"/>
            </w:tcBorders>
            <w:shd w:val="clear" w:color="auto" w:fill="auto"/>
            <w:noWrap/>
            <w:vAlign w:val="bottom"/>
            <w:hideMark/>
          </w:tcPr>
          <w:p w14:paraId="64EA5D11"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2.34</w:t>
            </w:r>
          </w:p>
        </w:tc>
        <w:tc>
          <w:tcPr>
            <w:tcW w:w="1140" w:type="dxa"/>
            <w:tcBorders>
              <w:top w:val="single" w:sz="4" w:space="0" w:color="auto"/>
              <w:left w:val="nil"/>
              <w:bottom w:val="single" w:sz="4" w:space="0" w:color="auto"/>
              <w:right w:val="nil"/>
            </w:tcBorders>
            <w:shd w:val="clear" w:color="auto" w:fill="auto"/>
            <w:noWrap/>
            <w:vAlign w:val="bottom"/>
            <w:hideMark/>
          </w:tcPr>
          <w:p w14:paraId="0E013F6D"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2.27</w:t>
            </w:r>
          </w:p>
        </w:tc>
        <w:tc>
          <w:tcPr>
            <w:tcW w:w="1100" w:type="dxa"/>
            <w:tcBorders>
              <w:top w:val="single" w:sz="4" w:space="0" w:color="auto"/>
              <w:left w:val="nil"/>
              <w:bottom w:val="single" w:sz="4" w:space="0" w:color="auto"/>
              <w:right w:val="nil"/>
            </w:tcBorders>
            <w:shd w:val="clear" w:color="auto" w:fill="auto"/>
            <w:noWrap/>
            <w:vAlign w:val="bottom"/>
            <w:hideMark/>
          </w:tcPr>
          <w:p w14:paraId="60EB01CD"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2.47</w:t>
            </w:r>
          </w:p>
        </w:tc>
      </w:tr>
    </w:tbl>
    <w:p w14:paraId="774E8AC5" w14:textId="7011982D" w:rsidR="00577A69" w:rsidRPr="00404DB0" w:rsidRDefault="00577A69" w:rsidP="008B4E20">
      <w:pPr>
        <w:pStyle w:val="NoSpacing"/>
        <w:spacing w:after="240"/>
        <w:jc w:val="both"/>
        <w:rPr>
          <w:rFonts w:ascii="Times New Roman" w:hAnsi="Times New Roman" w:cs="Times New Roman"/>
        </w:rPr>
      </w:pPr>
      <w:r w:rsidRPr="00E554CD">
        <w:rPr>
          <w:rFonts w:ascii="Times New Roman" w:hAnsi="Times New Roman" w:cs="Times New Roman"/>
          <w:bCs/>
          <w:sz w:val="20"/>
          <w:szCs w:val="20"/>
        </w:rPr>
        <w:t xml:space="preserve">Notes: Figures refer </w:t>
      </w:r>
      <w:r w:rsidR="0089785D">
        <w:rPr>
          <w:rFonts w:ascii="Times New Roman" w:hAnsi="Times New Roman" w:cs="Times New Roman"/>
          <w:bCs/>
          <w:sz w:val="20"/>
          <w:szCs w:val="20"/>
        </w:rPr>
        <w:t xml:space="preserve">to </w:t>
      </w:r>
      <w:r w:rsidRPr="00E554CD">
        <w:rPr>
          <w:rFonts w:ascii="Times New Roman" w:hAnsi="Times New Roman" w:cs="Times New Roman"/>
          <w:bCs/>
          <w:sz w:val="20"/>
          <w:szCs w:val="20"/>
        </w:rPr>
        <w:t>unconditional percentages with the age 26 survey weight applied. The ‘average score’ refers to the average along the four-point scale, where 1 = strongly disagree and 4 = strongly agree. Sample sizes are approximately 283 (teachers), 1,804 (lower managerial), 2,655 (graduates), 227 (health workers) and 271 (office jobs).</w:t>
      </w:r>
      <w:r w:rsidR="00875EB6">
        <w:rPr>
          <w:rFonts w:ascii="Times New Roman" w:hAnsi="Times New Roman" w:cs="Times New Roman"/>
          <w:bCs/>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Next Steps dataset</w:t>
      </w:r>
      <w:r w:rsidR="00875EB6" w:rsidRPr="00C15BFD">
        <w:rPr>
          <w:rFonts w:ascii="Times New Roman" w:hAnsi="Times New Roman" w:cs="Times New Roman"/>
          <w:sz w:val="20"/>
          <w:szCs w:val="20"/>
        </w:rPr>
        <w:t>.</w:t>
      </w:r>
    </w:p>
    <w:p w14:paraId="1B2EA839" w14:textId="2D3B0AFC" w:rsidR="00784EE6" w:rsidRDefault="00577A69">
      <w:pPr>
        <w:pStyle w:val="NoSpacing"/>
        <w:spacing w:after="160" w:line="360" w:lineRule="auto"/>
        <w:jc w:val="both"/>
        <w:rPr>
          <w:rFonts w:ascii="Times New Roman" w:hAnsi="Times New Roman" w:cs="Times New Roman"/>
        </w:rPr>
      </w:pPr>
      <w:r w:rsidRPr="00404DB0">
        <w:rPr>
          <w:rFonts w:ascii="Times New Roman" w:hAnsi="Times New Roman" w:cs="Times New Roman"/>
        </w:rPr>
        <w:t xml:space="preserve">The long hours that junior teachers work (for little extra pay) may contribute to the results presented in the final row of Table </w:t>
      </w:r>
      <w:r>
        <w:rPr>
          <w:rFonts w:ascii="Times New Roman" w:hAnsi="Times New Roman" w:cs="Times New Roman"/>
        </w:rPr>
        <w:t>7.</w:t>
      </w:r>
      <w:r w:rsidRPr="00404DB0">
        <w:rPr>
          <w:rFonts w:ascii="Times New Roman" w:hAnsi="Times New Roman" w:cs="Times New Roman"/>
        </w:rPr>
        <w:t>2; recently qualified teachers in England are less likely to believe that ‘</w:t>
      </w:r>
      <w:r w:rsidRPr="00404DB0">
        <w:rPr>
          <w:rFonts w:ascii="Times New Roman" w:hAnsi="Times New Roman" w:cs="Times New Roman"/>
          <w:iCs/>
          <w:szCs w:val="24"/>
        </w:rPr>
        <w:t>Britain today is a place where hard work is rewarded’</w:t>
      </w:r>
      <w:r w:rsidRPr="00404DB0">
        <w:rPr>
          <w:rFonts w:ascii="Times New Roman" w:hAnsi="Times New Roman" w:cs="Times New Roman"/>
        </w:rPr>
        <w:t xml:space="preserve"> than those who work in other careers. Around 30</w:t>
      </w:r>
      <w:r w:rsidR="0089785D">
        <w:rPr>
          <w:rFonts w:ascii="Times New Roman" w:hAnsi="Times New Roman" w:cs="Times New Roman"/>
        </w:rPr>
        <w:t>%</w:t>
      </w:r>
      <w:r w:rsidRPr="00404DB0">
        <w:rPr>
          <w:rFonts w:ascii="Times New Roman" w:hAnsi="Times New Roman" w:cs="Times New Roman"/>
        </w:rPr>
        <w:t xml:space="preserve"> of teachers agree or strongly agree that hard work is rewarded, compared to around 40</w:t>
      </w:r>
      <w:r w:rsidR="0089785D">
        <w:rPr>
          <w:rFonts w:ascii="Times New Roman" w:hAnsi="Times New Roman" w:cs="Times New Roman"/>
        </w:rPr>
        <w:t>%</w:t>
      </w:r>
      <w:r w:rsidRPr="00404DB0">
        <w:rPr>
          <w:rFonts w:ascii="Times New Roman" w:hAnsi="Times New Roman" w:cs="Times New Roman"/>
        </w:rPr>
        <w:t xml:space="preserve"> of health workers and lower</w:t>
      </w:r>
      <w:r w:rsidR="00623C78">
        <w:rPr>
          <w:rFonts w:ascii="Times New Roman" w:hAnsi="Times New Roman" w:cs="Times New Roman"/>
        </w:rPr>
        <w:t xml:space="preserve"> </w:t>
      </w:r>
      <w:r w:rsidRPr="00404DB0">
        <w:rPr>
          <w:rFonts w:ascii="Times New Roman" w:hAnsi="Times New Roman" w:cs="Times New Roman"/>
        </w:rPr>
        <w:t>managerial workers, 45</w:t>
      </w:r>
      <w:r w:rsidR="0089785D">
        <w:rPr>
          <w:rFonts w:ascii="Times New Roman" w:hAnsi="Times New Roman" w:cs="Times New Roman"/>
        </w:rPr>
        <w:t>%</w:t>
      </w:r>
      <w:r w:rsidRPr="00404DB0">
        <w:rPr>
          <w:rFonts w:ascii="Times New Roman" w:hAnsi="Times New Roman" w:cs="Times New Roman"/>
        </w:rPr>
        <w:t xml:space="preserve"> of all graduates and over half of all office workers. </w:t>
      </w:r>
    </w:p>
    <w:p w14:paraId="0E8CA998" w14:textId="77777777" w:rsidR="00784EE6" w:rsidRDefault="00784EE6">
      <w:pPr>
        <w:spacing w:line="259" w:lineRule="auto"/>
        <w:rPr>
          <w:rFonts w:ascii="Times New Roman" w:eastAsiaTheme="minorEastAsia" w:hAnsi="Times New Roman" w:cs="Times New Roman"/>
          <w:sz w:val="24"/>
          <w:szCs w:val="21"/>
        </w:rPr>
      </w:pPr>
      <w:r>
        <w:rPr>
          <w:rFonts w:ascii="Times New Roman" w:hAnsi="Times New Roman" w:cs="Times New Roman"/>
        </w:rPr>
        <w:br w:type="page"/>
      </w:r>
    </w:p>
    <w:p w14:paraId="5697B58E" w14:textId="4D211F9E" w:rsidR="00577A69" w:rsidRPr="00404DB0" w:rsidRDefault="00577A69" w:rsidP="008B4E20">
      <w:pPr>
        <w:pStyle w:val="NoSpacing"/>
        <w:spacing w:after="160" w:line="360" w:lineRule="auto"/>
        <w:jc w:val="both"/>
        <w:rPr>
          <w:rFonts w:ascii="Times New Roman" w:hAnsi="Times New Roman" w:cs="Times New Roman"/>
          <w:b/>
          <w:bCs/>
        </w:rPr>
      </w:pPr>
      <w:r w:rsidRPr="00E554CD">
        <w:rPr>
          <w:rFonts w:ascii="Times New Roman" w:hAnsi="Times New Roman" w:cs="Times New Roman"/>
          <w:b/>
        </w:rPr>
        <w:lastRenderedPageBreak/>
        <w:t>7.5 Mental health</w:t>
      </w:r>
    </w:p>
    <w:p w14:paraId="10AE5B32" w14:textId="0AC6C179" w:rsidR="00577A69" w:rsidRDefault="00577A69" w:rsidP="008B4E20">
      <w:pPr>
        <w:pStyle w:val="NoSpacing"/>
        <w:spacing w:after="160" w:line="360" w:lineRule="auto"/>
        <w:jc w:val="both"/>
        <w:rPr>
          <w:rFonts w:ascii="Times New Roman" w:hAnsi="Times New Roman" w:cs="Times New Roman"/>
          <w:b/>
          <w:bCs/>
        </w:rPr>
      </w:pPr>
      <w:r w:rsidRPr="00404DB0">
        <w:rPr>
          <w:rFonts w:ascii="Times New Roman" w:hAnsi="Times New Roman" w:cs="Times New Roman"/>
        </w:rPr>
        <w:t xml:space="preserve">The issue of mental health, as measured by responses to the GHQ, is covered in Table </w:t>
      </w:r>
      <w:r>
        <w:rPr>
          <w:rFonts w:ascii="Times New Roman" w:hAnsi="Times New Roman" w:cs="Times New Roman"/>
        </w:rPr>
        <w:t>7.</w:t>
      </w:r>
      <w:r w:rsidRPr="00404DB0">
        <w:rPr>
          <w:rFonts w:ascii="Times New Roman" w:hAnsi="Times New Roman" w:cs="Times New Roman"/>
        </w:rPr>
        <w:t xml:space="preserve">3. This provides the percentage of respondents with a total score above a certain threshold, with our particular interest being in those with a score of four or more (a threshold often used to potentially indicate anxiety or depression). The final row also gives the average GHQ score of respondents along the 12-point scale. </w:t>
      </w:r>
    </w:p>
    <w:p w14:paraId="0BED3E52" w14:textId="7E9B8753" w:rsidR="00577A69" w:rsidRDefault="00577A69" w:rsidP="008B4E20">
      <w:pPr>
        <w:pStyle w:val="NoSpacing"/>
        <w:spacing w:after="160" w:line="360" w:lineRule="auto"/>
        <w:jc w:val="both"/>
        <w:rPr>
          <w:rFonts w:ascii="Times New Roman" w:hAnsi="Times New Roman" w:cs="Times New Roman"/>
        </w:rPr>
      </w:pPr>
      <w:r w:rsidRPr="00404DB0">
        <w:rPr>
          <w:rFonts w:ascii="Times New Roman" w:hAnsi="Times New Roman" w:cs="Times New Roman"/>
        </w:rPr>
        <w:t xml:space="preserve">There is no evidence that the mental health of junior teachers at age 26 was any worse, on average, than when they were age 17. At both </w:t>
      </w:r>
      <w:proofErr w:type="spellStart"/>
      <w:r w:rsidRPr="00404DB0">
        <w:rPr>
          <w:rFonts w:ascii="Times New Roman" w:hAnsi="Times New Roman" w:cs="Times New Roman"/>
        </w:rPr>
        <w:t>timepoints</w:t>
      </w:r>
      <w:proofErr w:type="spellEnd"/>
      <w:r w:rsidRPr="00404DB0">
        <w:rPr>
          <w:rFonts w:ascii="Times New Roman" w:hAnsi="Times New Roman" w:cs="Times New Roman"/>
        </w:rPr>
        <w:t>, around one</w:t>
      </w:r>
      <w:r w:rsidR="00867A6B">
        <w:rPr>
          <w:rFonts w:ascii="Times New Roman" w:hAnsi="Times New Roman" w:cs="Times New Roman"/>
        </w:rPr>
        <w:t xml:space="preserve"> </w:t>
      </w:r>
      <w:r w:rsidRPr="00404DB0">
        <w:rPr>
          <w:rFonts w:ascii="Times New Roman" w:hAnsi="Times New Roman" w:cs="Times New Roman"/>
        </w:rPr>
        <w:t>in</w:t>
      </w:r>
      <w:r w:rsidR="00867A6B">
        <w:rPr>
          <w:rFonts w:ascii="Times New Roman" w:hAnsi="Times New Roman" w:cs="Times New Roman"/>
        </w:rPr>
        <w:t xml:space="preserve"> </w:t>
      </w:r>
      <w:r w:rsidRPr="00404DB0">
        <w:rPr>
          <w:rFonts w:ascii="Times New Roman" w:hAnsi="Times New Roman" w:cs="Times New Roman"/>
        </w:rPr>
        <w:t>five individuals who went on to become teachers had a GHQ score of four or more. A similar finding holds for the other occupational groups considered, with only health workers seeing a sizeable fall in respondents with depressive symptoms (36</w:t>
      </w:r>
      <w:r w:rsidR="00867A6B">
        <w:rPr>
          <w:rFonts w:ascii="Times New Roman" w:hAnsi="Times New Roman" w:cs="Times New Roman"/>
        </w:rPr>
        <w:t>%</w:t>
      </w:r>
      <w:r w:rsidRPr="00404DB0">
        <w:rPr>
          <w:rFonts w:ascii="Times New Roman" w:hAnsi="Times New Roman" w:cs="Times New Roman"/>
        </w:rPr>
        <w:t xml:space="preserve"> at age 17 to 23</w:t>
      </w:r>
      <w:r w:rsidR="00867A6B">
        <w:rPr>
          <w:rFonts w:ascii="Times New Roman" w:hAnsi="Times New Roman" w:cs="Times New Roman"/>
        </w:rPr>
        <w:t>%</w:t>
      </w:r>
      <w:r w:rsidRPr="00404DB0">
        <w:rPr>
          <w:rFonts w:ascii="Times New Roman" w:hAnsi="Times New Roman" w:cs="Times New Roman"/>
        </w:rPr>
        <w:t xml:space="preserve"> at age 26). Overall, Table </w:t>
      </w:r>
      <w:r>
        <w:rPr>
          <w:rFonts w:ascii="Times New Roman" w:hAnsi="Times New Roman" w:cs="Times New Roman"/>
        </w:rPr>
        <w:t>7.</w:t>
      </w:r>
      <w:r w:rsidRPr="00404DB0">
        <w:rPr>
          <w:rFonts w:ascii="Times New Roman" w:hAnsi="Times New Roman" w:cs="Times New Roman"/>
        </w:rPr>
        <w:t xml:space="preserve">3 provides little evidence that the mental health of junior teachers has declined compared to when they were younger, or that it is any worse than for other young professionals. </w:t>
      </w:r>
    </w:p>
    <w:p w14:paraId="0BB01524" w14:textId="2A006F47" w:rsidR="00556F66" w:rsidRPr="00404DB0" w:rsidRDefault="00577A69" w:rsidP="00577A69">
      <w:pPr>
        <w:pStyle w:val="NoSpacing"/>
        <w:jc w:val="center"/>
        <w:rPr>
          <w:rFonts w:ascii="Times New Roman" w:hAnsi="Times New Roman" w:cs="Times New Roman"/>
          <w:b/>
          <w:bCs/>
        </w:rPr>
      </w:pPr>
      <w:r w:rsidRPr="00404DB0">
        <w:rPr>
          <w:rFonts w:ascii="Times New Roman" w:hAnsi="Times New Roman" w:cs="Times New Roman"/>
          <w:b/>
          <w:bCs/>
        </w:rPr>
        <w:t xml:space="preserve">Table </w:t>
      </w:r>
      <w:r>
        <w:rPr>
          <w:rFonts w:ascii="Times New Roman" w:hAnsi="Times New Roman" w:cs="Times New Roman"/>
          <w:b/>
          <w:bCs/>
        </w:rPr>
        <w:t>7.</w:t>
      </w:r>
      <w:r w:rsidRPr="00404DB0">
        <w:rPr>
          <w:rFonts w:ascii="Times New Roman" w:hAnsi="Times New Roman" w:cs="Times New Roman"/>
          <w:b/>
          <w:bCs/>
        </w:rPr>
        <w:t xml:space="preserve">3 Comparison of current </w:t>
      </w:r>
      <w:r w:rsidRPr="00A006FE">
        <w:rPr>
          <w:rFonts w:ascii="Times New Roman" w:hAnsi="Times New Roman" w:cs="Times New Roman"/>
          <w:b/>
          <w:bCs/>
        </w:rPr>
        <w:t>mental health outcomes.</w:t>
      </w:r>
      <w:r w:rsidRPr="00404DB0">
        <w:rPr>
          <w:rFonts w:ascii="Times New Roman" w:hAnsi="Times New Roman" w:cs="Times New Roman"/>
          <w:b/>
          <w:bCs/>
        </w:rPr>
        <w:t xml:space="preserve"> Teachers versus other occupational groups</w:t>
      </w:r>
    </w:p>
    <w:p w14:paraId="6FAA8F07" w14:textId="77777777" w:rsidR="00577A69" w:rsidRPr="00404DB0" w:rsidRDefault="00577A69" w:rsidP="008B4E20">
      <w:pPr>
        <w:pStyle w:val="NoSpacing"/>
        <w:jc w:val="center"/>
        <w:rPr>
          <w:rFonts w:ascii="Times New Roman" w:hAnsi="Times New Roman" w:cs="Times New Roman"/>
          <w:b/>
          <w:bCs/>
        </w:rPr>
      </w:pPr>
    </w:p>
    <w:tbl>
      <w:tblPr>
        <w:tblW w:w="0" w:type="auto"/>
        <w:jc w:val="center"/>
        <w:tblLook w:val="04A0" w:firstRow="1" w:lastRow="0" w:firstColumn="1" w:lastColumn="0" w:noHBand="0" w:noVBand="1"/>
      </w:tblPr>
      <w:tblGrid>
        <w:gridCol w:w="2003"/>
        <w:gridCol w:w="703"/>
        <w:gridCol w:w="703"/>
        <w:gridCol w:w="703"/>
        <w:gridCol w:w="702"/>
        <w:gridCol w:w="702"/>
        <w:gridCol w:w="702"/>
        <w:gridCol w:w="702"/>
        <w:gridCol w:w="702"/>
        <w:gridCol w:w="702"/>
        <w:gridCol w:w="702"/>
      </w:tblGrid>
      <w:tr w:rsidR="00577A69" w:rsidRPr="00404DB0" w14:paraId="1CCD9C72" w14:textId="77777777" w:rsidTr="00440E80">
        <w:trPr>
          <w:trHeight w:val="570"/>
          <w:jc w:val="center"/>
        </w:trPr>
        <w:tc>
          <w:tcPr>
            <w:tcW w:w="2574" w:type="dxa"/>
            <w:tcBorders>
              <w:top w:val="single" w:sz="4" w:space="0" w:color="auto"/>
              <w:left w:val="nil"/>
              <w:bottom w:val="single" w:sz="4" w:space="0" w:color="auto"/>
              <w:right w:val="nil"/>
            </w:tcBorders>
            <w:shd w:val="clear" w:color="000000" w:fill="B4C6E7"/>
            <w:vAlign w:val="center"/>
            <w:hideMark/>
          </w:tcPr>
          <w:p w14:paraId="7D3DE884"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 </w:t>
            </w:r>
          </w:p>
        </w:tc>
        <w:tc>
          <w:tcPr>
            <w:tcW w:w="0" w:type="auto"/>
            <w:gridSpan w:val="2"/>
            <w:tcBorders>
              <w:top w:val="single" w:sz="4" w:space="0" w:color="auto"/>
              <w:left w:val="nil"/>
              <w:bottom w:val="single" w:sz="4" w:space="0" w:color="auto"/>
              <w:right w:val="nil"/>
            </w:tcBorders>
            <w:shd w:val="clear" w:color="000000" w:fill="B4C6E7"/>
            <w:vAlign w:val="center"/>
            <w:hideMark/>
          </w:tcPr>
          <w:p w14:paraId="4B0DFC39"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Teachers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729202AD"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Lower managerial</w:t>
            </w:r>
          </w:p>
        </w:tc>
        <w:tc>
          <w:tcPr>
            <w:tcW w:w="0" w:type="auto"/>
            <w:gridSpan w:val="2"/>
            <w:tcBorders>
              <w:top w:val="single" w:sz="4" w:space="0" w:color="auto"/>
              <w:left w:val="nil"/>
              <w:bottom w:val="single" w:sz="4" w:space="0" w:color="auto"/>
              <w:right w:val="nil"/>
            </w:tcBorders>
            <w:shd w:val="clear" w:color="000000" w:fill="B4C6E7"/>
            <w:vAlign w:val="center"/>
            <w:hideMark/>
          </w:tcPr>
          <w:p w14:paraId="667D9D3B"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Graduates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7C05E055"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Health workers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087C1F68"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Office job</w:t>
            </w:r>
          </w:p>
        </w:tc>
      </w:tr>
      <w:tr w:rsidR="00577A69" w:rsidRPr="00404DB0" w14:paraId="1EC00F76" w14:textId="77777777" w:rsidTr="00440E80">
        <w:trPr>
          <w:trHeight w:val="300"/>
          <w:jc w:val="center"/>
        </w:trPr>
        <w:tc>
          <w:tcPr>
            <w:tcW w:w="2574" w:type="dxa"/>
            <w:tcBorders>
              <w:top w:val="nil"/>
              <w:left w:val="nil"/>
              <w:bottom w:val="single" w:sz="4" w:space="0" w:color="auto"/>
              <w:right w:val="nil"/>
            </w:tcBorders>
            <w:shd w:val="clear" w:color="000000" w:fill="B4C6E7"/>
            <w:noWrap/>
            <w:vAlign w:val="center"/>
            <w:hideMark/>
          </w:tcPr>
          <w:p w14:paraId="16F775B8"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GHQ total score</w:t>
            </w:r>
          </w:p>
        </w:tc>
        <w:tc>
          <w:tcPr>
            <w:tcW w:w="0" w:type="auto"/>
            <w:tcBorders>
              <w:top w:val="nil"/>
              <w:left w:val="nil"/>
              <w:bottom w:val="single" w:sz="4" w:space="0" w:color="auto"/>
              <w:right w:val="nil"/>
            </w:tcBorders>
            <w:shd w:val="clear" w:color="000000" w:fill="B4C6E7"/>
            <w:noWrap/>
            <w:vAlign w:val="center"/>
            <w:hideMark/>
          </w:tcPr>
          <w:p w14:paraId="2E6BBF14"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768E34AF"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48881649"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27CBB9F9"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4DAA5BEC"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1B955E1A"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4C47DE77"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7C2E5EF5"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19FDD424"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39C03BBA"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r>
      <w:tr w:rsidR="00577A69" w:rsidRPr="00404DB0" w14:paraId="470B5CF2" w14:textId="77777777" w:rsidTr="00440E80">
        <w:trPr>
          <w:trHeight w:val="269"/>
          <w:jc w:val="center"/>
        </w:trPr>
        <w:tc>
          <w:tcPr>
            <w:tcW w:w="2574" w:type="dxa"/>
            <w:tcBorders>
              <w:top w:val="nil"/>
              <w:left w:val="nil"/>
              <w:bottom w:val="nil"/>
              <w:right w:val="nil"/>
            </w:tcBorders>
            <w:shd w:val="clear" w:color="auto" w:fill="auto"/>
            <w:vAlign w:val="center"/>
            <w:hideMark/>
          </w:tcPr>
          <w:p w14:paraId="491DE0E2"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0 (No evidence of anxiety depression)</w:t>
            </w:r>
          </w:p>
        </w:tc>
        <w:tc>
          <w:tcPr>
            <w:tcW w:w="0" w:type="auto"/>
            <w:tcBorders>
              <w:top w:val="nil"/>
              <w:left w:val="nil"/>
              <w:bottom w:val="nil"/>
              <w:right w:val="nil"/>
            </w:tcBorders>
            <w:shd w:val="clear" w:color="auto" w:fill="auto"/>
            <w:vAlign w:val="center"/>
            <w:hideMark/>
          </w:tcPr>
          <w:p w14:paraId="1A490EB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43%</w:t>
            </w:r>
          </w:p>
        </w:tc>
        <w:tc>
          <w:tcPr>
            <w:tcW w:w="0" w:type="auto"/>
            <w:tcBorders>
              <w:top w:val="nil"/>
              <w:left w:val="nil"/>
              <w:bottom w:val="nil"/>
              <w:right w:val="nil"/>
            </w:tcBorders>
            <w:shd w:val="clear" w:color="auto" w:fill="auto"/>
            <w:vAlign w:val="center"/>
            <w:hideMark/>
          </w:tcPr>
          <w:p w14:paraId="7FC6BA2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45%</w:t>
            </w:r>
          </w:p>
        </w:tc>
        <w:tc>
          <w:tcPr>
            <w:tcW w:w="0" w:type="auto"/>
            <w:tcBorders>
              <w:top w:val="nil"/>
              <w:left w:val="nil"/>
              <w:bottom w:val="nil"/>
              <w:right w:val="nil"/>
            </w:tcBorders>
            <w:shd w:val="clear" w:color="auto" w:fill="auto"/>
            <w:vAlign w:val="center"/>
            <w:hideMark/>
          </w:tcPr>
          <w:p w14:paraId="05DF658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39%</w:t>
            </w:r>
          </w:p>
        </w:tc>
        <w:tc>
          <w:tcPr>
            <w:tcW w:w="0" w:type="auto"/>
            <w:tcBorders>
              <w:top w:val="nil"/>
              <w:left w:val="nil"/>
              <w:bottom w:val="nil"/>
              <w:right w:val="nil"/>
            </w:tcBorders>
            <w:shd w:val="clear" w:color="auto" w:fill="auto"/>
            <w:vAlign w:val="center"/>
            <w:hideMark/>
          </w:tcPr>
          <w:p w14:paraId="6647728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41%</w:t>
            </w:r>
          </w:p>
        </w:tc>
        <w:tc>
          <w:tcPr>
            <w:tcW w:w="0" w:type="auto"/>
            <w:tcBorders>
              <w:top w:val="nil"/>
              <w:left w:val="nil"/>
              <w:bottom w:val="nil"/>
              <w:right w:val="nil"/>
            </w:tcBorders>
            <w:shd w:val="clear" w:color="auto" w:fill="auto"/>
            <w:vAlign w:val="center"/>
            <w:hideMark/>
          </w:tcPr>
          <w:p w14:paraId="5E0116C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35%</w:t>
            </w:r>
          </w:p>
        </w:tc>
        <w:tc>
          <w:tcPr>
            <w:tcW w:w="0" w:type="auto"/>
            <w:tcBorders>
              <w:top w:val="nil"/>
              <w:left w:val="nil"/>
              <w:bottom w:val="nil"/>
              <w:right w:val="nil"/>
            </w:tcBorders>
            <w:shd w:val="clear" w:color="auto" w:fill="auto"/>
            <w:vAlign w:val="center"/>
            <w:hideMark/>
          </w:tcPr>
          <w:p w14:paraId="6AD4C96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w:t>
            </w:r>
          </w:p>
        </w:tc>
        <w:tc>
          <w:tcPr>
            <w:tcW w:w="0" w:type="auto"/>
            <w:tcBorders>
              <w:top w:val="nil"/>
              <w:left w:val="nil"/>
              <w:bottom w:val="nil"/>
              <w:right w:val="nil"/>
            </w:tcBorders>
            <w:shd w:val="clear" w:color="auto" w:fill="auto"/>
            <w:vAlign w:val="center"/>
            <w:hideMark/>
          </w:tcPr>
          <w:p w14:paraId="003F7C3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24%</w:t>
            </w:r>
          </w:p>
        </w:tc>
        <w:tc>
          <w:tcPr>
            <w:tcW w:w="0" w:type="auto"/>
            <w:tcBorders>
              <w:top w:val="nil"/>
              <w:left w:val="nil"/>
              <w:bottom w:val="nil"/>
              <w:right w:val="nil"/>
            </w:tcBorders>
            <w:shd w:val="clear" w:color="auto" w:fill="auto"/>
            <w:vAlign w:val="center"/>
            <w:hideMark/>
          </w:tcPr>
          <w:p w14:paraId="1E8C1C6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41%</w:t>
            </w:r>
          </w:p>
        </w:tc>
        <w:tc>
          <w:tcPr>
            <w:tcW w:w="0" w:type="auto"/>
            <w:tcBorders>
              <w:top w:val="nil"/>
              <w:left w:val="nil"/>
              <w:bottom w:val="nil"/>
              <w:right w:val="nil"/>
            </w:tcBorders>
            <w:shd w:val="clear" w:color="auto" w:fill="auto"/>
            <w:vAlign w:val="center"/>
            <w:hideMark/>
          </w:tcPr>
          <w:p w14:paraId="002947A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32%</w:t>
            </w:r>
          </w:p>
        </w:tc>
        <w:tc>
          <w:tcPr>
            <w:tcW w:w="0" w:type="auto"/>
            <w:tcBorders>
              <w:top w:val="nil"/>
              <w:left w:val="nil"/>
              <w:bottom w:val="nil"/>
              <w:right w:val="nil"/>
            </w:tcBorders>
            <w:shd w:val="clear" w:color="auto" w:fill="auto"/>
            <w:vAlign w:val="center"/>
            <w:hideMark/>
          </w:tcPr>
          <w:p w14:paraId="4AAF6D9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36%</w:t>
            </w:r>
          </w:p>
        </w:tc>
      </w:tr>
      <w:tr w:rsidR="00577A69" w:rsidRPr="00404DB0" w14:paraId="79B19DD4" w14:textId="77777777" w:rsidTr="00440E80">
        <w:trPr>
          <w:trHeight w:val="300"/>
          <w:jc w:val="center"/>
        </w:trPr>
        <w:tc>
          <w:tcPr>
            <w:tcW w:w="2574" w:type="dxa"/>
            <w:tcBorders>
              <w:top w:val="nil"/>
              <w:left w:val="nil"/>
              <w:bottom w:val="nil"/>
              <w:right w:val="nil"/>
            </w:tcBorders>
            <w:shd w:val="clear" w:color="auto" w:fill="auto"/>
            <w:noWrap/>
            <w:vAlign w:val="bottom"/>
            <w:hideMark/>
          </w:tcPr>
          <w:p w14:paraId="19F98F27"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 to 3</w:t>
            </w:r>
          </w:p>
        </w:tc>
        <w:tc>
          <w:tcPr>
            <w:tcW w:w="0" w:type="auto"/>
            <w:tcBorders>
              <w:top w:val="nil"/>
              <w:left w:val="nil"/>
              <w:bottom w:val="nil"/>
              <w:right w:val="nil"/>
            </w:tcBorders>
            <w:shd w:val="clear" w:color="auto" w:fill="auto"/>
            <w:vAlign w:val="center"/>
            <w:hideMark/>
          </w:tcPr>
          <w:p w14:paraId="15F5797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36%</w:t>
            </w:r>
          </w:p>
        </w:tc>
        <w:tc>
          <w:tcPr>
            <w:tcW w:w="0" w:type="auto"/>
            <w:tcBorders>
              <w:top w:val="nil"/>
              <w:left w:val="nil"/>
              <w:bottom w:val="nil"/>
              <w:right w:val="nil"/>
            </w:tcBorders>
            <w:shd w:val="clear" w:color="auto" w:fill="auto"/>
            <w:vAlign w:val="center"/>
            <w:hideMark/>
          </w:tcPr>
          <w:p w14:paraId="0541FA8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36%</w:t>
            </w:r>
          </w:p>
        </w:tc>
        <w:tc>
          <w:tcPr>
            <w:tcW w:w="0" w:type="auto"/>
            <w:tcBorders>
              <w:top w:val="nil"/>
              <w:left w:val="nil"/>
              <w:bottom w:val="nil"/>
              <w:right w:val="nil"/>
            </w:tcBorders>
            <w:shd w:val="clear" w:color="auto" w:fill="auto"/>
            <w:vAlign w:val="center"/>
            <w:hideMark/>
          </w:tcPr>
          <w:p w14:paraId="4F3542F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36%</w:t>
            </w:r>
          </w:p>
        </w:tc>
        <w:tc>
          <w:tcPr>
            <w:tcW w:w="0" w:type="auto"/>
            <w:tcBorders>
              <w:top w:val="nil"/>
              <w:left w:val="nil"/>
              <w:bottom w:val="nil"/>
              <w:right w:val="nil"/>
            </w:tcBorders>
            <w:shd w:val="clear" w:color="auto" w:fill="auto"/>
            <w:vAlign w:val="center"/>
            <w:hideMark/>
          </w:tcPr>
          <w:p w14:paraId="4956FED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37%</w:t>
            </w:r>
          </w:p>
        </w:tc>
        <w:tc>
          <w:tcPr>
            <w:tcW w:w="0" w:type="auto"/>
            <w:tcBorders>
              <w:top w:val="nil"/>
              <w:left w:val="nil"/>
              <w:bottom w:val="nil"/>
              <w:right w:val="nil"/>
            </w:tcBorders>
            <w:shd w:val="clear" w:color="auto" w:fill="auto"/>
            <w:vAlign w:val="center"/>
            <w:hideMark/>
          </w:tcPr>
          <w:p w14:paraId="297B09F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39%</w:t>
            </w:r>
          </w:p>
        </w:tc>
        <w:tc>
          <w:tcPr>
            <w:tcW w:w="0" w:type="auto"/>
            <w:tcBorders>
              <w:top w:val="nil"/>
              <w:left w:val="nil"/>
              <w:bottom w:val="nil"/>
              <w:right w:val="nil"/>
            </w:tcBorders>
            <w:shd w:val="clear" w:color="auto" w:fill="auto"/>
            <w:vAlign w:val="center"/>
            <w:hideMark/>
          </w:tcPr>
          <w:p w14:paraId="7039573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37%</w:t>
            </w:r>
          </w:p>
        </w:tc>
        <w:tc>
          <w:tcPr>
            <w:tcW w:w="0" w:type="auto"/>
            <w:tcBorders>
              <w:top w:val="nil"/>
              <w:left w:val="nil"/>
              <w:bottom w:val="nil"/>
              <w:right w:val="nil"/>
            </w:tcBorders>
            <w:shd w:val="clear" w:color="auto" w:fill="auto"/>
            <w:vAlign w:val="center"/>
            <w:hideMark/>
          </w:tcPr>
          <w:p w14:paraId="62D3ABB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w:t>
            </w:r>
          </w:p>
        </w:tc>
        <w:tc>
          <w:tcPr>
            <w:tcW w:w="0" w:type="auto"/>
            <w:tcBorders>
              <w:top w:val="nil"/>
              <w:left w:val="nil"/>
              <w:bottom w:val="nil"/>
              <w:right w:val="nil"/>
            </w:tcBorders>
            <w:shd w:val="clear" w:color="auto" w:fill="auto"/>
            <w:vAlign w:val="center"/>
            <w:hideMark/>
          </w:tcPr>
          <w:p w14:paraId="6D6EE03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35%</w:t>
            </w:r>
          </w:p>
        </w:tc>
        <w:tc>
          <w:tcPr>
            <w:tcW w:w="0" w:type="auto"/>
            <w:tcBorders>
              <w:top w:val="nil"/>
              <w:left w:val="nil"/>
              <w:bottom w:val="nil"/>
              <w:right w:val="nil"/>
            </w:tcBorders>
            <w:shd w:val="clear" w:color="auto" w:fill="auto"/>
            <w:vAlign w:val="center"/>
            <w:hideMark/>
          </w:tcPr>
          <w:p w14:paraId="519DB22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38%</w:t>
            </w:r>
          </w:p>
        </w:tc>
        <w:tc>
          <w:tcPr>
            <w:tcW w:w="0" w:type="auto"/>
            <w:tcBorders>
              <w:top w:val="nil"/>
              <w:left w:val="nil"/>
              <w:bottom w:val="nil"/>
              <w:right w:val="nil"/>
            </w:tcBorders>
            <w:shd w:val="clear" w:color="auto" w:fill="auto"/>
            <w:vAlign w:val="center"/>
            <w:hideMark/>
          </w:tcPr>
          <w:p w14:paraId="29C8069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39%</w:t>
            </w:r>
          </w:p>
        </w:tc>
      </w:tr>
      <w:tr w:rsidR="00577A69" w:rsidRPr="00404DB0" w14:paraId="36176EDA" w14:textId="77777777" w:rsidTr="00440E80">
        <w:trPr>
          <w:trHeight w:val="208"/>
          <w:jc w:val="center"/>
        </w:trPr>
        <w:tc>
          <w:tcPr>
            <w:tcW w:w="2574" w:type="dxa"/>
            <w:tcBorders>
              <w:top w:val="nil"/>
              <w:left w:val="nil"/>
              <w:bottom w:val="nil"/>
              <w:right w:val="nil"/>
            </w:tcBorders>
            <w:shd w:val="clear" w:color="auto" w:fill="auto"/>
            <w:vAlign w:val="bottom"/>
            <w:hideMark/>
          </w:tcPr>
          <w:p w14:paraId="2E00B917"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 (suggestion of anxiety/depression)</w:t>
            </w:r>
          </w:p>
        </w:tc>
        <w:tc>
          <w:tcPr>
            <w:tcW w:w="0" w:type="auto"/>
            <w:tcBorders>
              <w:top w:val="nil"/>
              <w:left w:val="nil"/>
              <w:bottom w:val="nil"/>
              <w:right w:val="nil"/>
            </w:tcBorders>
            <w:shd w:val="clear" w:color="auto" w:fill="auto"/>
            <w:vAlign w:val="center"/>
            <w:hideMark/>
          </w:tcPr>
          <w:p w14:paraId="6CC9708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21%</w:t>
            </w:r>
          </w:p>
        </w:tc>
        <w:tc>
          <w:tcPr>
            <w:tcW w:w="0" w:type="auto"/>
            <w:tcBorders>
              <w:top w:val="nil"/>
              <w:left w:val="nil"/>
              <w:bottom w:val="nil"/>
              <w:right w:val="nil"/>
            </w:tcBorders>
            <w:shd w:val="clear" w:color="auto" w:fill="auto"/>
            <w:vAlign w:val="center"/>
            <w:hideMark/>
          </w:tcPr>
          <w:p w14:paraId="06F0098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19%</w:t>
            </w:r>
          </w:p>
        </w:tc>
        <w:tc>
          <w:tcPr>
            <w:tcW w:w="0" w:type="auto"/>
            <w:tcBorders>
              <w:top w:val="nil"/>
              <w:left w:val="nil"/>
              <w:bottom w:val="nil"/>
              <w:right w:val="nil"/>
            </w:tcBorders>
            <w:shd w:val="clear" w:color="auto" w:fill="auto"/>
            <w:vAlign w:val="center"/>
            <w:hideMark/>
          </w:tcPr>
          <w:p w14:paraId="41AB136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24%</w:t>
            </w:r>
          </w:p>
        </w:tc>
        <w:tc>
          <w:tcPr>
            <w:tcW w:w="0" w:type="auto"/>
            <w:tcBorders>
              <w:top w:val="nil"/>
              <w:left w:val="nil"/>
              <w:bottom w:val="nil"/>
              <w:right w:val="nil"/>
            </w:tcBorders>
            <w:shd w:val="clear" w:color="auto" w:fill="auto"/>
            <w:vAlign w:val="center"/>
            <w:hideMark/>
          </w:tcPr>
          <w:p w14:paraId="5B14449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22%</w:t>
            </w:r>
          </w:p>
        </w:tc>
        <w:tc>
          <w:tcPr>
            <w:tcW w:w="0" w:type="auto"/>
            <w:tcBorders>
              <w:top w:val="nil"/>
              <w:left w:val="nil"/>
              <w:bottom w:val="nil"/>
              <w:right w:val="nil"/>
            </w:tcBorders>
            <w:shd w:val="clear" w:color="auto" w:fill="auto"/>
            <w:vAlign w:val="center"/>
            <w:hideMark/>
          </w:tcPr>
          <w:p w14:paraId="3397229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26%</w:t>
            </w:r>
          </w:p>
        </w:tc>
        <w:tc>
          <w:tcPr>
            <w:tcW w:w="0" w:type="auto"/>
            <w:tcBorders>
              <w:top w:val="nil"/>
              <w:left w:val="nil"/>
              <w:bottom w:val="nil"/>
              <w:right w:val="nil"/>
            </w:tcBorders>
            <w:shd w:val="clear" w:color="auto" w:fill="auto"/>
            <w:vAlign w:val="center"/>
            <w:hideMark/>
          </w:tcPr>
          <w:p w14:paraId="4817431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24%</w:t>
            </w:r>
          </w:p>
        </w:tc>
        <w:tc>
          <w:tcPr>
            <w:tcW w:w="0" w:type="auto"/>
            <w:tcBorders>
              <w:top w:val="nil"/>
              <w:left w:val="nil"/>
              <w:bottom w:val="nil"/>
              <w:right w:val="nil"/>
            </w:tcBorders>
            <w:shd w:val="clear" w:color="auto" w:fill="auto"/>
            <w:vAlign w:val="center"/>
            <w:hideMark/>
          </w:tcPr>
          <w:p w14:paraId="3F74A3D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36%</w:t>
            </w:r>
          </w:p>
        </w:tc>
        <w:tc>
          <w:tcPr>
            <w:tcW w:w="0" w:type="auto"/>
            <w:tcBorders>
              <w:top w:val="nil"/>
              <w:left w:val="nil"/>
              <w:bottom w:val="nil"/>
              <w:right w:val="nil"/>
            </w:tcBorders>
            <w:shd w:val="clear" w:color="auto" w:fill="auto"/>
            <w:vAlign w:val="center"/>
            <w:hideMark/>
          </w:tcPr>
          <w:p w14:paraId="78BE3F9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23%</w:t>
            </w:r>
          </w:p>
        </w:tc>
        <w:tc>
          <w:tcPr>
            <w:tcW w:w="0" w:type="auto"/>
            <w:tcBorders>
              <w:top w:val="nil"/>
              <w:left w:val="nil"/>
              <w:bottom w:val="nil"/>
              <w:right w:val="nil"/>
            </w:tcBorders>
            <w:shd w:val="clear" w:color="auto" w:fill="auto"/>
            <w:vAlign w:val="center"/>
            <w:hideMark/>
          </w:tcPr>
          <w:p w14:paraId="3599EDC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30%</w:t>
            </w:r>
          </w:p>
        </w:tc>
        <w:tc>
          <w:tcPr>
            <w:tcW w:w="0" w:type="auto"/>
            <w:tcBorders>
              <w:top w:val="nil"/>
              <w:left w:val="nil"/>
              <w:bottom w:val="nil"/>
              <w:right w:val="nil"/>
            </w:tcBorders>
            <w:shd w:val="clear" w:color="auto" w:fill="auto"/>
            <w:vAlign w:val="center"/>
            <w:hideMark/>
          </w:tcPr>
          <w:p w14:paraId="6D42C89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25%</w:t>
            </w:r>
          </w:p>
        </w:tc>
      </w:tr>
      <w:tr w:rsidR="00577A69" w:rsidRPr="00404DB0" w14:paraId="5BD3B6A6" w14:textId="77777777" w:rsidTr="00440E80">
        <w:trPr>
          <w:trHeight w:val="300"/>
          <w:jc w:val="center"/>
        </w:trPr>
        <w:tc>
          <w:tcPr>
            <w:tcW w:w="2574" w:type="dxa"/>
            <w:tcBorders>
              <w:top w:val="single" w:sz="4" w:space="0" w:color="auto"/>
              <w:left w:val="nil"/>
              <w:bottom w:val="single" w:sz="4" w:space="0" w:color="auto"/>
              <w:right w:val="nil"/>
            </w:tcBorders>
            <w:shd w:val="clear" w:color="auto" w:fill="auto"/>
            <w:noWrap/>
            <w:vAlign w:val="bottom"/>
            <w:hideMark/>
          </w:tcPr>
          <w:p w14:paraId="3C047B09" w14:textId="77777777" w:rsidR="00577A69" w:rsidRPr="00404DB0" w:rsidRDefault="00577A69" w:rsidP="00440E80">
            <w:pPr>
              <w:spacing w:after="0" w:line="240" w:lineRule="auto"/>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Average GHQ score</w:t>
            </w:r>
          </w:p>
        </w:tc>
        <w:tc>
          <w:tcPr>
            <w:tcW w:w="0" w:type="auto"/>
            <w:tcBorders>
              <w:top w:val="single" w:sz="4" w:space="0" w:color="auto"/>
              <w:left w:val="nil"/>
              <w:bottom w:val="single" w:sz="4" w:space="0" w:color="auto"/>
              <w:right w:val="nil"/>
            </w:tcBorders>
            <w:shd w:val="clear" w:color="auto" w:fill="auto"/>
            <w:noWrap/>
            <w:vAlign w:val="bottom"/>
            <w:hideMark/>
          </w:tcPr>
          <w:p w14:paraId="12F0D9F2"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1.91</w:t>
            </w:r>
          </w:p>
        </w:tc>
        <w:tc>
          <w:tcPr>
            <w:tcW w:w="0" w:type="auto"/>
            <w:tcBorders>
              <w:top w:val="single" w:sz="4" w:space="0" w:color="auto"/>
              <w:left w:val="nil"/>
              <w:bottom w:val="single" w:sz="4" w:space="0" w:color="auto"/>
              <w:right w:val="nil"/>
            </w:tcBorders>
            <w:shd w:val="clear" w:color="auto" w:fill="auto"/>
            <w:noWrap/>
            <w:vAlign w:val="bottom"/>
            <w:hideMark/>
          </w:tcPr>
          <w:p w14:paraId="3CE5CBF1"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1.97</w:t>
            </w:r>
          </w:p>
        </w:tc>
        <w:tc>
          <w:tcPr>
            <w:tcW w:w="0" w:type="auto"/>
            <w:tcBorders>
              <w:top w:val="single" w:sz="4" w:space="0" w:color="auto"/>
              <w:left w:val="nil"/>
              <w:bottom w:val="single" w:sz="4" w:space="0" w:color="auto"/>
              <w:right w:val="nil"/>
            </w:tcBorders>
            <w:shd w:val="clear" w:color="auto" w:fill="auto"/>
            <w:noWrap/>
            <w:vAlign w:val="bottom"/>
            <w:hideMark/>
          </w:tcPr>
          <w:p w14:paraId="56CDAAC6"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2.25</w:t>
            </w:r>
          </w:p>
        </w:tc>
        <w:tc>
          <w:tcPr>
            <w:tcW w:w="0" w:type="auto"/>
            <w:tcBorders>
              <w:top w:val="single" w:sz="4" w:space="0" w:color="auto"/>
              <w:left w:val="nil"/>
              <w:bottom w:val="single" w:sz="4" w:space="0" w:color="auto"/>
              <w:right w:val="nil"/>
            </w:tcBorders>
            <w:shd w:val="clear" w:color="auto" w:fill="auto"/>
            <w:noWrap/>
            <w:vAlign w:val="bottom"/>
            <w:hideMark/>
          </w:tcPr>
          <w:p w14:paraId="2B1D600C"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2.14</w:t>
            </w:r>
          </w:p>
        </w:tc>
        <w:tc>
          <w:tcPr>
            <w:tcW w:w="0" w:type="auto"/>
            <w:tcBorders>
              <w:top w:val="single" w:sz="4" w:space="0" w:color="auto"/>
              <w:left w:val="nil"/>
              <w:bottom w:val="single" w:sz="4" w:space="0" w:color="auto"/>
              <w:right w:val="nil"/>
            </w:tcBorders>
            <w:shd w:val="clear" w:color="auto" w:fill="auto"/>
            <w:noWrap/>
            <w:vAlign w:val="bottom"/>
            <w:hideMark/>
          </w:tcPr>
          <w:p w14:paraId="20FA7857"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2.33</w:t>
            </w:r>
          </w:p>
        </w:tc>
        <w:tc>
          <w:tcPr>
            <w:tcW w:w="0" w:type="auto"/>
            <w:tcBorders>
              <w:top w:val="single" w:sz="4" w:space="0" w:color="auto"/>
              <w:left w:val="nil"/>
              <w:bottom w:val="single" w:sz="4" w:space="0" w:color="auto"/>
              <w:right w:val="nil"/>
            </w:tcBorders>
            <w:shd w:val="clear" w:color="auto" w:fill="auto"/>
            <w:noWrap/>
            <w:vAlign w:val="bottom"/>
            <w:hideMark/>
          </w:tcPr>
          <w:p w14:paraId="43E75C20"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2.32</w:t>
            </w:r>
          </w:p>
        </w:tc>
        <w:tc>
          <w:tcPr>
            <w:tcW w:w="0" w:type="auto"/>
            <w:tcBorders>
              <w:top w:val="single" w:sz="4" w:space="0" w:color="auto"/>
              <w:left w:val="nil"/>
              <w:bottom w:val="single" w:sz="4" w:space="0" w:color="auto"/>
              <w:right w:val="nil"/>
            </w:tcBorders>
            <w:shd w:val="clear" w:color="auto" w:fill="auto"/>
            <w:noWrap/>
            <w:vAlign w:val="bottom"/>
            <w:hideMark/>
          </w:tcPr>
          <w:p w14:paraId="1DC60C26"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2.96</w:t>
            </w:r>
          </w:p>
        </w:tc>
        <w:tc>
          <w:tcPr>
            <w:tcW w:w="0" w:type="auto"/>
            <w:tcBorders>
              <w:top w:val="single" w:sz="4" w:space="0" w:color="auto"/>
              <w:left w:val="nil"/>
              <w:bottom w:val="single" w:sz="4" w:space="0" w:color="auto"/>
              <w:right w:val="nil"/>
            </w:tcBorders>
            <w:shd w:val="clear" w:color="auto" w:fill="auto"/>
            <w:noWrap/>
            <w:vAlign w:val="bottom"/>
            <w:hideMark/>
          </w:tcPr>
          <w:p w14:paraId="51CCBD15"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2.14</w:t>
            </w:r>
          </w:p>
        </w:tc>
        <w:tc>
          <w:tcPr>
            <w:tcW w:w="0" w:type="auto"/>
            <w:tcBorders>
              <w:top w:val="single" w:sz="4" w:space="0" w:color="auto"/>
              <w:left w:val="nil"/>
              <w:bottom w:val="single" w:sz="4" w:space="0" w:color="auto"/>
              <w:right w:val="nil"/>
            </w:tcBorders>
            <w:shd w:val="clear" w:color="auto" w:fill="auto"/>
            <w:noWrap/>
            <w:vAlign w:val="bottom"/>
            <w:hideMark/>
          </w:tcPr>
          <w:p w14:paraId="367EC012"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2.58</w:t>
            </w:r>
          </w:p>
        </w:tc>
        <w:tc>
          <w:tcPr>
            <w:tcW w:w="0" w:type="auto"/>
            <w:tcBorders>
              <w:top w:val="single" w:sz="4" w:space="0" w:color="auto"/>
              <w:left w:val="nil"/>
              <w:bottom w:val="single" w:sz="4" w:space="0" w:color="auto"/>
              <w:right w:val="nil"/>
            </w:tcBorders>
            <w:shd w:val="clear" w:color="auto" w:fill="auto"/>
            <w:noWrap/>
            <w:vAlign w:val="bottom"/>
            <w:hideMark/>
          </w:tcPr>
          <w:p w14:paraId="379B4C87"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2.37</w:t>
            </w:r>
          </w:p>
        </w:tc>
      </w:tr>
    </w:tbl>
    <w:p w14:paraId="63BA5FA0" w14:textId="6DB9D054" w:rsidR="00577A69" w:rsidRPr="00404DB0" w:rsidRDefault="00577A69" w:rsidP="008B4E20">
      <w:pPr>
        <w:pStyle w:val="NoSpacing"/>
        <w:spacing w:after="240"/>
        <w:jc w:val="both"/>
        <w:rPr>
          <w:rFonts w:ascii="Times New Roman" w:hAnsi="Times New Roman" w:cs="Times New Roman"/>
        </w:rPr>
      </w:pPr>
      <w:r w:rsidRPr="0091393E">
        <w:rPr>
          <w:rFonts w:ascii="Times New Roman" w:hAnsi="Times New Roman" w:cs="Times New Roman"/>
          <w:bCs/>
          <w:sz w:val="20"/>
          <w:szCs w:val="20"/>
        </w:rPr>
        <w:t xml:space="preserve">Notes: Figures refer </w:t>
      </w:r>
      <w:r w:rsidR="00867A6B">
        <w:rPr>
          <w:rFonts w:ascii="Times New Roman" w:hAnsi="Times New Roman" w:cs="Times New Roman"/>
          <w:bCs/>
          <w:sz w:val="20"/>
          <w:szCs w:val="20"/>
        </w:rPr>
        <w:t xml:space="preserve">to </w:t>
      </w:r>
      <w:r w:rsidRPr="0091393E">
        <w:rPr>
          <w:rFonts w:ascii="Times New Roman" w:hAnsi="Times New Roman" w:cs="Times New Roman"/>
          <w:bCs/>
          <w:sz w:val="20"/>
          <w:szCs w:val="20"/>
        </w:rPr>
        <w:t>unconditional percentages with the age 26 survey weight applied. The ‘average score’ refers to the average across the 12-point GHQ scale. Sample sizes are approximately 248 (teachers), 1,509 (lower managerial), 2,220 (graduates), 188 (health workers) and 228 (office jobs).</w:t>
      </w:r>
      <w:r w:rsidR="00875EB6">
        <w:rPr>
          <w:rFonts w:ascii="Times New Roman" w:hAnsi="Times New Roman" w:cs="Times New Roman"/>
          <w:bCs/>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Next Steps dataset</w:t>
      </w:r>
      <w:r w:rsidR="00875EB6" w:rsidRPr="00C15BFD">
        <w:rPr>
          <w:rFonts w:ascii="Times New Roman" w:hAnsi="Times New Roman" w:cs="Times New Roman"/>
          <w:sz w:val="20"/>
          <w:szCs w:val="20"/>
        </w:rPr>
        <w:t>.</w:t>
      </w:r>
    </w:p>
    <w:p w14:paraId="6541CD1D" w14:textId="2A9029ED" w:rsidR="00577A69" w:rsidRDefault="00577A69" w:rsidP="00577A69">
      <w:pPr>
        <w:pStyle w:val="NoSpacing"/>
        <w:jc w:val="both"/>
        <w:rPr>
          <w:rFonts w:ascii="Times New Roman" w:hAnsi="Times New Roman" w:cs="Times New Roman"/>
          <w:b/>
          <w:bCs/>
        </w:rPr>
      </w:pPr>
      <w:r w:rsidRPr="00404DB0">
        <w:rPr>
          <w:rFonts w:ascii="Times New Roman" w:hAnsi="Times New Roman" w:cs="Times New Roman"/>
        </w:rPr>
        <w:t xml:space="preserve">Figure </w:t>
      </w:r>
      <w:r>
        <w:rPr>
          <w:rFonts w:ascii="Times New Roman" w:hAnsi="Times New Roman" w:cs="Times New Roman"/>
        </w:rPr>
        <w:t>7.</w:t>
      </w:r>
      <w:r w:rsidRPr="00404DB0">
        <w:rPr>
          <w:rFonts w:ascii="Times New Roman" w:hAnsi="Times New Roman" w:cs="Times New Roman"/>
        </w:rPr>
        <w:t xml:space="preserve">1 </w:t>
      </w:r>
      <w:proofErr w:type="gramStart"/>
      <w:r w:rsidR="00867A6B">
        <w:rPr>
          <w:rFonts w:ascii="Times New Roman" w:hAnsi="Times New Roman" w:cs="Times New Roman"/>
        </w:rPr>
        <w:t>I</w:t>
      </w:r>
      <w:r w:rsidR="00867A6B" w:rsidRPr="00404DB0">
        <w:rPr>
          <w:rFonts w:ascii="Times New Roman" w:hAnsi="Times New Roman" w:cs="Times New Roman"/>
        </w:rPr>
        <w:t>llustrates</w:t>
      </w:r>
      <w:proofErr w:type="gramEnd"/>
      <w:r w:rsidR="00867A6B" w:rsidRPr="00404DB0">
        <w:rPr>
          <w:rFonts w:ascii="Times New Roman" w:hAnsi="Times New Roman" w:cs="Times New Roman"/>
        </w:rPr>
        <w:t xml:space="preserve"> </w:t>
      </w:r>
      <w:r w:rsidRPr="00404DB0">
        <w:rPr>
          <w:rFonts w:ascii="Times New Roman" w:hAnsi="Times New Roman" w:cs="Times New Roman"/>
        </w:rPr>
        <w:t>the change in how teachers responded to each question on the GHQ, with figures referring to the percent</w:t>
      </w:r>
      <w:r w:rsidR="00867A6B">
        <w:rPr>
          <w:rFonts w:ascii="Times New Roman" w:hAnsi="Times New Roman" w:cs="Times New Roman"/>
        </w:rPr>
        <w:t>age</w:t>
      </w:r>
      <w:r w:rsidRPr="00404DB0">
        <w:rPr>
          <w:rFonts w:ascii="Times New Roman" w:hAnsi="Times New Roman" w:cs="Times New Roman"/>
        </w:rPr>
        <w:t xml:space="preserve"> of respondents who reported the symptom to be </w:t>
      </w:r>
      <w:r w:rsidR="00783004" w:rsidRPr="00404DB0">
        <w:rPr>
          <w:rFonts w:ascii="Times New Roman" w:hAnsi="Times New Roman" w:cs="Times New Roman"/>
        </w:rPr>
        <w:t xml:space="preserve">currently </w:t>
      </w:r>
      <w:r w:rsidRPr="00404DB0">
        <w:rPr>
          <w:rFonts w:ascii="Times New Roman" w:hAnsi="Times New Roman" w:cs="Times New Roman"/>
        </w:rPr>
        <w:t>worse than usual. There are two key points to note. First, for most of the questions, roughly the same percentage of teachers reported suffering from the problem at age 26 as age 17. This reaffirms our previous finding that the mental health of junior teachers is (on average) little different from before when they started working in their job. Second, there are two out of the 12 questions where teachers are more likely to report a negative outcome at age 26 (than at age 17); they tend to feel more constantly under strain (an increase from 39</w:t>
      </w:r>
      <w:r w:rsidR="003A6AC6">
        <w:rPr>
          <w:rFonts w:ascii="Times New Roman" w:hAnsi="Times New Roman" w:cs="Times New Roman"/>
        </w:rPr>
        <w:t>-</w:t>
      </w:r>
      <w:r w:rsidRPr="00404DB0">
        <w:rPr>
          <w:rFonts w:ascii="Times New Roman" w:hAnsi="Times New Roman" w:cs="Times New Roman"/>
        </w:rPr>
        <w:t>44</w:t>
      </w:r>
      <w:r w:rsidR="003A6AC6">
        <w:rPr>
          <w:rFonts w:ascii="Times New Roman" w:hAnsi="Times New Roman" w:cs="Times New Roman"/>
        </w:rPr>
        <w:t>%</w:t>
      </w:r>
      <w:r w:rsidRPr="00404DB0">
        <w:rPr>
          <w:rFonts w:ascii="Times New Roman" w:hAnsi="Times New Roman" w:cs="Times New Roman"/>
        </w:rPr>
        <w:t xml:space="preserve">) and unable to play a useful part in things (an increase from </w:t>
      </w:r>
      <w:r w:rsidR="003A6AC6">
        <w:rPr>
          <w:rFonts w:ascii="Times New Roman" w:hAnsi="Times New Roman" w:cs="Times New Roman"/>
        </w:rPr>
        <w:t>4-9%</w:t>
      </w:r>
      <w:r w:rsidRPr="00404DB0">
        <w:rPr>
          <w:rFonts w:ascii="Times New Roman" w:hAnsi="Times New Roman" w:cs="Times New Roman"/>
        </w:rPr>
        <w:t xml:space="preserve">). Interestingly, the same pattern with respect to feeling ‘constantly under strain’ cannot be observed for individuals working in other jobs (see </w:t>
      </w:r>
      <w:r>
        <w:rPr>
          <w:rFonts w:ascii="Times New Roman" w:hAnsi="Times New Roman" w:cs="Times New Roman"/>
        </w:rPr>
        <w:t>Jerrim</w:t>
      </w:r>
      <w:r w:rsidR="006E13F5">
        <w:rPr>
          <w:rFonts w:ascii="Times New Roman" w:hAnsi="Times New Roman" w:cs="Times New Roman"/>
        </w:rPr>
        <w:t>,</w:t>
      </w:r>
      <w:r>
        <w:rPr>
          <w:rFonts w:ascii="Times New Roman" w:hAnsi="Times New Roman" w:cs="Times New Roman"/>
        </w:rPr>
        <w:t xml:space="preserve"> 2020</w:t>
      </w:r>
      <w:r w:rsidRPr="00404DB0">
        <w:rPr>
          <w:rFonts w:ascii="Times New Roman" w:hAnsi="Times New Roman" w:cs="Times New Roman"/>
        </w:rPr>
        <w:t>). This is therefore potentially one aspect of junior teachers</w:t>
      </w:r>
      <w:r w:rsidR="003A6AC6">
        <w:rPr>
          <w:rFonts w:ascii="Times New Roman" w:hAnsi="Times New Roman" w:cs="Times New Roman"/>
        </w:rPr>
        <w:t>’</w:t>
      </w:r>
      <w:r w:rsidRPr="00404DB0">
        <w:rPr>
          <w:rFonts w:ascii="Times New Roman" w:hAnsi="Times New Roman" w:cs="Times New Roman"/>
        </w:rPr>
        <w:t xml:space="preserve"> mental health – </w:t>
      </w:r>
      <w:r w:rsidRPr="00404DB0">
        <w:rPr>
          <w:rFonts w:ascii="Times New Roman" w:hAnsi="Times New Roman" w:cs="Times New Roman"/>
        </w:rPr>
        <w:lastRenderedPageBreak/>
        <w:t xml:space="preserve">feeling constantly under pressure – which may get worse as a result of their occupational choice. </w:t>
      </w:r>
    </w:p>
    <w:p w14:paraId="4FC57C19" w14:textId="77777777" w:rsidR="004812D3" w:rsidRDefault="004812D3" w:rsidP="00577A69">
      <w:pPr>
        <w:pStyle w:val="NoSpacing"/>
        <w:jc w:val="both"/>
        <w:rPr>
          <w:rFonts w:ascii="Times New Roman" w:hAnsi="Times New Roman" w:cs="Times New Roman"/>
          <w:b/>
          <w:bCs/>
        </w:rPr>
      </w:pPr>
    </w:p>
    <w:p w14:paraId="1A67E32B" w14:textId="17B59D81" w:rsidR="00577A69" w:rsidRPr="00404DB0" w:rsidRDefault="00577A69" w:rsidP="00577A69">
      <w:pPr>
        <w:pStyle w:val="NoSpacing"/>
        <w:jc w:val="center"/>
        <w:rPr>
          <w:rFonts w:ascii="Times New Roman" w:hAnsi="Times New Roman" w:cs="Times New Roman"/>
          <w:b/>
          <w:bCs/>
        </w:rPr>
      </w:pPr>
      <w:r w:rsidRPr="00404DB0">
        <w:rPr>
          <w:rFonts w:ascii="Times New Roman" w:hAnsi="Times New Roman" w:cs="Times New Roman"/>
          <w:b/>
          <w:bCs/>
        </w:rPr>
        <w:t xml:space="preserve">Figure </w:t>
      </w:r>
      <w:r>
        <w:rPr>
          <w:rFonts w:ascii="Times New Roman" w:hAnsi="Times New Roman" w:cs="Times New Roman"/>
          <w:b/>
          <w:bCs/>
        </w:rPr>
        <w:t>7.</w:t>
      </w:r>
      <w:r w:rsidRPr="00404DB0">
        <w:rPr>
          <w:rFonts w:ascii="Times New Roman" w:hAnsi="Times New Roman" w:cs="Times New Roman"/>
          <w:b/>
          <w:bCs/>
        </w:rPr>
        <w:t>1 Responses of teachers to each GHQ question. Age 17 and age 26</w:t>
      </w:r>
    </w:p>
    <w:p w14:paraId="1E82B965" w14:textId="77777777" w:rsidR="00577A69" w:rsidRPr="00404DB0" w:rsidRDefault="00577A69" w:rsidP="00577A69">
      <w:pPr>
        <w:pStyle w:val="NoSpacing"/>
        <w:jc w:val="center"/>
        <w:rPr>
          <w:rFonts w:ascii="Times New Roman" w:hAnsi="Times New Roman" w:cs="Times New Roman"/>
          <w:b/>
          <w:bCs/>
        </w:rPr>
      </w:pPr>
      <w:r w:rsidRPr="00404DB0">
        <w:rPr>
          <w:noProof/>
          <w:lang w:eastAsia="en-GB"/>
        </w:rPr>
        <w:drawing>
          <wp:inline distT="0" distB="0" distL="0" distR="0" wp14:anchorId="652BF574" wp14:editId="6274600B">
            <wp:extent cx="6372225" cy="4905375"/>
            <wp:effectExtent l="0" t="0" r="0" b="0"/>
            <wp:docPr id="35" name="Chart 35">
              <a:extLst xmlns:a="http://schemas.openxmlformats.org/drawingml/2006/main">
                <a:ext uri="{FF2B5EF4-FFF2-40B4-BE49-F238E27FC236}">
                  <a16:creationId xmlns:a16="http://schemas.microsoft.com/office/drawing/2014/main" id="{88922F16-CBA8-46AB-AC6C-8AC222D2AC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1730F2C8" w14:textId="0D1A8085" w:rsidR="007540C4" w:rsidRPr="00404DB0" w:rsidRDefault="00577A69" w:rsidP="008B4E20">
      <w:pPr>
        <w:pStyle w:val="NoSpacing"/>
        <w:spacing w:after="240"/>
        <w:jc w:val="both"/>
        <w:rPr>
          <w:rFonts w:ascii="Times New Roman" w:hAnsi="Times New Roman" w:cs="Times New Roman"/>
          <w:b/>
          <w:bCs/>
        </w:rPr>
      </w:pPr>
      <w:r w:rsidRPr="00A006FE">
        <w:rPr>
          <w:rFonts w:ascii="Times New Roman" w:hAnsi="Times New Roman" w:cs="Times New Roman"/>
          <w:bCs/>
          <w:sz w:val="20"/>
          <w:szCs w:val="20"/>
        </w:rPr>
        <w:t>Notes: Figures refer to the percentage of teachers reporting each symptom to be worse than usual. Sample sizes are approximately 255 teachers.</w:t>
      </w:r>
      <w:r w:rsidR="00875EB6">
        <w:rPr>
          <w:rFonts w:ascii="Times New Roman" w:hAnsi="Times New Roman" w:cs="Times New Roman"/>
          <w:bCs/>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Next Steps dataset</w:t>
      </w:r>
      <w:r w:rsidR="00875EB6" w:rsidRPr="00C15BFD">
        <w:rPr>
          <w:rFonts w:ascii="Times New Roman" w:hAnsi="Times New Roman" w:cs="Times New Roman"/>
          <w:sz w:val="20"/>
          <w:szCs w:val="20"/>
        </w:rPr>
        <w:t>.</w:t>
      </w:r>
    </w:p>
    <w:p w14:paraId="1D0CBF63" w14:textId="77777777" w:rsidR="00577A69" w:rsidRPr="00A006FE" w:rsidRDefault="00577A69" w:rsidP="008B4E20">
      <w:pPr>
        <w:pStyle w:val="NoSpacing"/>
        <w:spacing w:after="160" w:line="360" w:lineRule="auto"/>
        <w:jc w:val="both"/>
        <w:rPr>
          <w:rFonts w:ascii="Times New Roman" w:hAnsi="Times New Roman" w:cs="Times New Roman"/>
          <w:b/>
        </w:rPr>
      </w:pPr>
      <w:r w:rsidRPr="00A006FE">
        <w:rPr>
          <w:rFonts w:ascii="Times New Roman" w:hAnsi="Times New Roman" w:cs="Times New Roman"/>
          <w:b/>
        </w:rPr>
        <w:t>7.6 Sleep</w:t>
      </w:r>
    </w:p>
    <w:p w14:paraId="5B43CF64" w14:textId="58237302" w:rsidR="00577A69" w:rsidRDefault="00577A69" w:rsidP="008B4E20">
      <w:pPr>
        <w:pStyle w:val="NoSpacing"/>
        <w:spacing w:after="160" w:line="360" w:lineRule="auto"/>
        <w:jc w:val="both"/>
        <w:rPr>
          <w:rFonts w:ascii="Times New Roman" w:hAnsi="Times New Roman" w:cs="Times New Roman"/>
          <w:b/>
          <w:bCs/>
        </w:rPr>
      </w:pPr>
      <w:r w:rsidRPr="00404DB0">
        <w:rPr>
          <w:rFonts w:ascii="Times New Roman" w:hAnsi="Times New Roman" w:cs="Times New Roman"/>
        </w:rPr>
        <w:t xml:space="preserve">Table </w:t>
      </w:r>
      <w:r>
        <w:rPr>
          <w:rFonts w:ascii="Times New Roman" w:hAnsi="Times New Roman" w:cs="Times New Roman"/>
        </w:rPr>
        <w:t>7.</w:t>
      </w:r>
      <w:r w:rsidRPr="00404DB0">
        <w:rPr>
          <w:rFonts w:ascii="Times New Roman" w:hAnsi="Times New Roman" w:cs="Times New Roman"/>
        </w:rPr>
        <w:t xml:space="preserve">4 turns to the specific issue of sleep, which previous research has shown to be affected by certain mental health problems, such as anxiety (Alvaro, Roberts </w:t>
      </w:r>
      <w:r w:rsidR="006E13F5">
        <w:rPr>
          <w:rFonts w:ascii="Times New Roman" w:hAnsi="Times New Roman" w:cs="Times New Roman"/>
        </w:rPr>
        <w:t>&amp;</w:t>
      </w:r>
      <w:r w:rsidR="006E13F5" w:rsidRPr="00404DB0">
        <w:rPr>
          <w:rFonts w:ascii="Times New Roman" w:hAnsi="Times New Roman" w:cs="Times New Roman"/>
        </w:rPr>
        <w:t xml:space="preserve"> </w:t>
      </w:r>
      <w:r w:rsidRPr="00404DB0">
        <w:rPr>
          <w:rFonts w:ascii="Times New Roman" w:hAnsi="Times New Roman" w:cs="Times New Roman"/>
        </w:rPr>
        <w:t>Harris</w:t>
      </w:r>
      <w:r w:rsidR="006E13F5">
        <w:rPr>
          <w:rFonts w:ascii="Times New Roman" w:hAnsi="Times New Roman" w:cs="Times New Roman"/>
        </w:rPr>
        <w:t>,</w:t>
      </w:r>
      <w:r w:rsidRPr="00404DB0">
        <w:rPr>
          <w:rFonts w:ascii="Times New Roman" w:hAnsi="Times New Roman" w:cs="Times New Roman"/>
        </w:rPr>
        <w:t xml:space="preserve"> 2013). There is no evidence that junior teachers get less sleep overall than other occupational groups; with most 26-year-olds </w:t>
      </w:r>
      <w:r w:rsidR="001812B6">
        <w:rPr>
          <w:rFonts w:ascii="Times New Roman" w:hAnsi="Times New Roman" w:cs="Times New Roman"/>
        </w:rPr>
        <w:t xml:space="preserve">sleeping </w:t>
      </w:r>
      <w:r w:rsidRPr="00404DB0">
        <w:rPr>
          <w:rFonts w:ascii="Times New Roman" w:hAnsi="Times New Roman" w:cs="Times New Roman"/>
        </w:rPr>
        <w:t>around seven hours each night, irrespective of their job. In terms of quality of sleep, there is again little to suggest that junior teachers stand out. Those individuals who decided to become teachers were just as likely to report suffering from problems sleeping at age 17 (26</w:t>
      </w:r>
      <w:r w:rsidR="00523EAD">
        <w:rPr>
          <w:rFonts w:ascii="Times New Roman" w:hAnsi="Times New Roman" w:cs="Times New Roman"/>
        </w:rPr>
        <w:t>%</w:t>
      </w:r>
      <w:r w:rsidRPr="00404DB0">
        <w:rPr>
          <w:rFonts w:ascii="Times New Roman" w:hAnsi="Times New Roman" w:cs="Times New Roman"/>
        </w:rPr>
        <w:t>) as at age 26 (26</w:t>
      </w:r>
      <w:r w:rsidR="00523EAD">
        <w:rPr>
          <w:rFonts w:ascii="Times New Roman" w:hAnsi="Times New Roman" w:cs="Times New Roman"/>
        </w:rPr>
        <w:t>%</w:t>
      </w:r>
      <w:r w:rsidRPr="00404DB0">
        <w:rPr>
          <w:rFonts w:ascii="Times New Roman" w:hAnsi="Times New Roman" w:cs="Times New Roman"/>
        </w:rPr>
        <w:t xml:space="preserve">). Similarly, the percentage of teachers reporting issues with sleeping at age 26 is similar to other occupational groups. Our overall </w:t>
      </w:r>
      <w:r w:rsidRPr="00404DB0">
        <w:rPr>
          <w:rFonts w:ascii="Times New Roman" w:hAnsi="Times New Roman" w:cs="Times New Roman"/>
        </w:rPr>
        <w:lastRenderedPageBreak/>
        <w:t xml:space="preserve">interpretation of Table </w:t>
      </w:r>
      <w:r>
        <w:rPr>
          <w:rFonts w:ascii="Times New Roman" w:hAnsi="Times New Roman" w:cs="Times New Roman"/>
        </w:rPr>
        <w:t>7.</w:t>
      </w:r>
      <w:r w:rsidRPr="00404DB0">
        <w:rPr>
          <w:rFonts w:ascii="Times New Roman" w:hAnsi="Times New Roman" w:cs="Times New Roman"/>
        </w:rPr>
        <w:t>4 is therefore that there is little suggestion that the quality and quantity of junior teachers</w:t>
      </w:r>
      <w:r w:rsidR="00523EAD">
        <w:rPr>
          <w:rFonts w:ascii="Times New Roman" w:hAnsi="Times New Roman" w:cs="Times New Roman"/>
        </w:rPr>
        <w:t>’</w:t>
      </w:r>
      <w:r w:rsidRPr="00404DB0">
        <w:rPr>
          <w:rFonts w:ascii="Times New Roman" w:hAnsi="Times New Roman" w:cs="Times New Roman"/>
        </w:rPr>
        <w:t xml:space="preserve"> sleep differs substantially from young people working in other jobs. </w:t>
      </w:r>
    </w:p>
    <w:p w14:paraId="53780319" w14:textId="1123F003" w:rsidR="00577A69" w:rsidRPr="00404DB0" w:rsidRDefault="00577A69" w:rsidP="00577A69">
      <w:pPr>
        <w:pStyle w:val="NoSpacing"/>
        <w:jc w:val="center"/>
        <w:rPr>
          <w:rFonts w:ascii="Times New Roman" w:hAnsi="Times New Roman" w:cs="Times New Roman"/>
          <w:b/>
          <w:bCs/>
        </w:rPr>
      </w:pPr>
      <w:r w:rsidRPr="00404DB0">
        <w:rPr>
          <w:rFonts w:ascii="Times New Roman" w:hAnsi="Times New Roman" w:cs="Times New Roman"/>
          <w:b/>
          <w:bCs/>
        </w:rPr>
        <w:t xml:space="preserve">Table </w:t>
      </w:r>
      <w:r>
        <w:rPr>
          <w:rFonts w:ascii="Times New Roman" w:hAnsi="Times New Roman" w:cs="Times New Roman"/>
          <w:b/>
          <w:bCs/>
        </w:rPr>
        <w:t>7.</w:t>
      </w:r>
      <w:r w:rsidRPr="00404DB0">
        <w:rPr>
          <w:rFonts w:ascii="Times New Roman" w:hAnsi="Times New Roman" w:cs="Times New Roman"/>
          <w:b/>
          <w:bCs/>
        </w:rPr>
        <w:t xml:space="preserve">4 Comparison of </w:t>
      </w:r>
      <w:r w:rsidRPr="00A006FE">
        <w:rPr>
          <w:rFonts w:ascii="Times New Roman" w:hAnsi="Times New Roman" w:cs="Times New Roman"/>
          <w:b/>
          <w:bCs/>
        </w:rPr>
        <w:t>sleep quality and quantity</w:t>
      </w:r>
      <w:r w:rsidRPr="00404DB0">
        <w:rPr>
          <w:rFonts w:ascii="Times New Roman" w:hAnsi="Times New Roman" w:cs="Times New Roman"/>
          <w:b/>
          <w:bCs/>
        </w:rPr>
        <w:t xml:space="preserve"> between recently qualified teachers and other occupational groups</w:t>
      </w:r>
    </w:p>
    <w:p w14:paraId="3E1BB2C5" w14:textId="77777777" w:rsidR="00577A69" w:rsidRPr="00404DB0" w:rsidRDefault="00577A69" w:rsidP="00577A69">
      <w:pPr>
        <w:pStyle w:val="NoSpacing"/>
        <w:jc w:val="center"/>
        <w:rPr>
          <w:rFonts w:ascii="Times New Roman" w:hAnsi="Times New Roman" w:cs="Times New Roman"/>
          <w:b/>
          <w:bCs/>
        </w:rPr>
      </w:pPr>
    </w:p>
    <w:tbl>
      <w:tblPr>
        <w:tblW w:w="0" w:type="auto"/>
        <w:jc w:val="center"/>
        <w:tblLook w:val="04A0" w:firstRow="1" w:lastRow="0" w:firstColumn="1" w:lastColumn="0" w:noHBand="0" w:noVBand="1"/>
      </w:tblPr>
      <w:tblGrid>
        <w:gridCol w:w="2269"/>
        <w:gridCol w:w="675"/>
        <w:gridCol w:w="675"/>
        <w:gridCol w:w="675"/>
        <w:gridCol w:w="676"/>
        <w:gridCol w:w="676"/>
        <w:gridCol w:w="676"/>
        <w:gridCol w:w="676"/>
        <w:gridCol w:w="676"/>
        <w:gridCol w:w="676"/>
        <w:gridCol w:w="676"/>
      </w:tblGrid>
      <w:tr w:rsidR="00577A69" w:rsidRPr="00404DB0" w14:paraId="63D31AEB" w14:textId="77777777" w:rsidTr="00440E80">
        <w:trPr>
          <w:trHeight w:val="300"/>
          <w:jc w:val="center"/>
        </w:trPr>
        <w:tc>
          <w:tcPr>
            <w:tcW w:w="3086" w:type="dxa"/>
            <w:tcBorders>
              <w:top w:val="single" w:sz="4" w:space="0" w:color="auto"/>
              <w:left w:val="nil"/>
              <w:bottom w:val="nil"/>
              <w:right w:val="nil"/>
            </w:tcBorders>
            <w:shd w:val="clear" w:color="000000" w:fill="B4C6E7"/>
            <w:vAlign w:val="center"/>
            <w:hideMark/>
          </w:tcPr>
          <w:p w14:paraId="47A5FD7E"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 </w:t>
            </w:r>
          </w:p>
        </w:tc>
        <w:tc>
          <w:tcPr>
            <w:tcW w:w="0" w:type="auto"/>
            <w:gridSpan w:val="2"/>
            <w:tcBorders>
              <w:top w:val="single" w:sz="4" w:space="0" w:color="auto"/>
              <w:left w:val="nil"/>
              <w:bottom w:val="nil"/>
              <w:right w:val="nil"/>
            </w:tcBorders>
            <w:shd w:val="clear" w:color="000000" w:fill="B4C6E7"/>
            <w:vAlign w:val="center"/>
            <w:hideMark/>
          </w:tcPr>
          <w:p w14:paraId="45FAA104"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Teachers</w:t>
            </w:r>
          </w:p>
        </w:tc>
        <w:tc>
          <w:tcPr>
            <w:tcW w:w="0" w:type="auto"/>
            <w:gridSpan w:val="2"/>
            <w:tcBorders>
              <w:top w:val="single" w:sz="4" w:space="0" w:color="auto"/>
              <w:left w:val="nil"/>
              <w:bottom w:val="nil"/>
              <w:right w:val="nil"/>
            </w:tcBorders>
            <w:shd w:val="clear" w:color="000000" w:fill="B4C6E7"/>
            <w:vAlign w:val="center"/>
            <w:hideMark/>
          </w:tcPr>
          <w:p w14:paraId="3AFFF2EA"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Lower managerial</w:t>
            </w:r>
          </w:p>
        </w:tc>
        <w:tc>
          <w:tcPr>
            <w:tcW w:w="0" w:type="auto"/>
            <w:gridSpan w:val="2"/>
            <w:tcBorders>
              <w:top w:val="single" w:sz="4" w:space="0" w:color="auto"/>
              <w:left w:val="nil"/>
              <w:bottom w:val="nil"/>
              <w:right w:val="nil"/>
            </w:tcBorders>
            <w:shd w:val="clear" w:color="000000" w:fill="B4C6E7"/>
            <w:vAlign w:val="center"/>
            <w:hideMark/>
          </w:tcPr>
          <w:p w14:paraId="0816DA65"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Graduates</w:t>
            </w:r>
          </w:p>
        </w:tc>
        <w:tc>
          <w:tcPr>
            <w:tcW w:w="0" w:type="auto"/>
            <w:gridSpan w:val="2"/>
            <w:tcBorders>
              <w:top w:val="single" w:sz="4" w:space="0" w:color="auto"/>
              <w:left w:val="nil"/>
              <w:bottom w:val="nil"/>
              <w:right w:val="nil"/>
            </w:tcBorders>
            <w:shd w:val="clear" w:color="000000" w:fill="B4C6E7"/>
            <w:vAlign w:val="center"/>
            <w:hideMark/>
          </w:tcPr>
          <w:p w14:paraId="6FC510E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Health workers</w:t>
            </w:r>
          </w:p>
        </w:tc>
        <w:tc>
          <w:tcPr>
            <w:tcW w:w="0" w:type="auto"/>
            <w:gridSpan w:val="2"/>
            <w:tcBorders>
              <w:top w:val="single" w:sz="4" w:space="0" w:color="auto"/>
              <w:left w:val="nil"/>
              <w:bottom w:val="nil"/>
              <w:right w:val="nil"/>
            </w:tcBorders>
            <w:shd w:val="clear" w:color="000000" w:fill="B4C6E7"/>
            <w:vAlign w:val="center"/>
            <w:hideMark/>
          </w:tcPr>
          <w:p w14:paraId="76277C29"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Office job</w:t>
            </w:r>
          </w:p>
        </w:tc>
      </w:tr>
      <w:tr w:rsidR="00577A69" w:rsidRPr="00404DB0" w14:paraId="6C934C51" w14:textId="77777777" w:rsidTr="00440E80">
        <w:trPr>
          <w:trHeight w:val="300"/>
          <w:jc w:val="center"/>
        </w:trPr>
        <w:tc>
          <w:tcPr>
            <w:tcW w:w="3086" w:type="dxa"/>
            <w:tcBorders>
              <w:top w:val="nil"/>
              <w:left w:val="nil"/>
              <w:bottom w:val="single" w:sz="4" w:space="0" w:color="auto"/>
              <w:right w:val="nil"/>
            </w:tcBorders>
            <w:shd w:val="clear" w:color="000000" w:fill="B4C6E7"/>
            <w:vAlign w:val="center"/>
            <w:hideMark/>
          </w:tcPr>
          <w:p w14:paraId="34BC841C"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 </w:t>
            </w:r>
          </w:p>
        </w:tc>
        <w:tc>
          <w:tcPr>
            <w:tcW w:w="0" w:type="auto"/>
            <w:tcBorders>
              <w:top w:val="nil"/>
              <w:left w:val="nil"/>
              <w:bottom w:val="single" w:sz="4" w:space="0" w:color="auto"/>
              <w:right w:val="nil"/>
            </w:tcBorders>
            <w:shd w:val="clear" w:color="000000" w:fill="B4C6E7"/>
            <w:noWrap/>
            <w:vAlign w:val="center"/>
            <w:hideMark/>
          </w:tcPr>
          <w:p w14:paraId="3F24FEBD"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094D66F7"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7973BE16"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68504036"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69BC38F2"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74E19A3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0DE71FCF"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76BBEF3C"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22D5C2FD"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7DA636DA"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r>
      <w:tr w:rsidR="00577A69" w:rsidRPr="00404DB0" w14:paraId="1B6A1061" w14:textId="77777777" w:rsidTr="00440E80">
        <w:trPr>
          <w:trHeight w:val="300"/>
          <w:jc w:val="center"/>
        </w:trPr>
        <w:tc>
          <w:tcPr>
            <w:tcW w:w="3086" w:type="dxa"/>
            <w:tcBorders>
              <w:top w:val="nil"/>
              <w:left w:val="nil"/>
              <w:bottom w:val="nil"/>
              <w:right w:val="nil"/>
            </w:tcBorders>
            <w:shd w:val="clear" w:color="auto" w:fill="auto"/>
            <w:noWrap/>
            <w:vAlign w:val="center"/>
            <w:hideMark/>
          </w:tcPr>
          <w:p w14:paraId="69E3BAD5"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Hours of sleep</w:t>
            </w:r>
          </w:p>
        </w:tc>
        <w:tc>
          <w:tcPr>
            <w:tcW w:w="0" w:type="auto"/>
            <w:tcBorders>
              <w:top w:val="nil"/>
              <w:left w:val="nil"/>
              <w:bottom w:val="nil"/>
              <w:right w:val="nil"/>
            </w:tcBorders>
            <w:shd w:val="clear" w:color="auto" w:fill="auto"/>
            <w:noWrap/>
            <w:vAlign w:val="bottom"/>
            <w:hideMark/>
          </w:tcPr>
          <w:p w14:paraId="60835D8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center"/>
            <w:hideMark/>
          </w:tcPr>
          <w:p w14:paraId="2AA7462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7.15</w:t>
            </w:r>
          </w:p>
        </w:tc>
        <w:tc>
          <w:tcPr>
            <w:tcW w:w="0" w:type="auto"/>
            <w:tcBorders>
              <w:top w:val="nil"/>
              <w:left w:val="nil"/>
              <w:bottom w:val="nil"/>
              <w:right w:val="nil"/>
            </w:tcBorders>
            <w:shd w:val="clear" w:color="auto" w:fill="auto"/>
            <w:noWrap/>
            <w:vAlign w:val="bottom"/>
            <w:hideMark/>
          </w:tcPr>
          <w:p w14:paraId="6E3B1EA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center"/>
            <w:hideMark/>
          </w:tcPr>
          <w:p w14:paraId="6D1400B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7.00</w:t>
            </w:r>
          </w:p>
        </w:tc>
        <w:tc>
          <w:tcPr>
            <w:tcW w:w="0" w:type="auto"/>
            <w:tcBorders>
              <w:top w:val="nil"/>
              <w:left w:val="nil"/>
              <w:bottom w:val="nil"/>
              <w:right w:val="nil"/>
            </w:tcBorders>
            <w:shd w:val="clear" w:color="auto" w:fill="auto"/>
            <w:noWrap/>
            <w:vAlign w:val="bottom"/>
            <w:hideMark/>
          </w:tcPr>
          <w:p w14:paraId="336CB66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center"/>
            <w:hideMark/>
          </w:tcPr>
          <w:p w14:paraId="6C9EC81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7.11</w:t>
            </w:r>
          </w:p>
        </w:tc>
        <w:tc>
          <w:tcPr>
            <w:tcW w:w="0" w:type="auto"/>
            <w:tcBorders>
              <w:top w:val="nil"/>
              <w:left w:val="nil"/>
              <w:bottom w:val="nil"/>
              <w:right w:val="nil"/>
            </w:tcBorders>
            <w:shd w:val="clear" w:color="auto" w:fill="auto"/>
            <w:noWrap/>
            <w:vAlign w:val="bottom"/>
            <w:hideMark/>
          </w:tcPr>
          <w:p w14:paraId="226DF99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center"/>
            <w:hideMark/>
          </w:tcPr>
          <w:p w14:paraId="700BC49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6.90</w:t>
            </w:r>
          </w:p>
        </w:tc>
        <w:tc>
          <w:tcPr>
            <w:tcW w:w="0" w:type="auto"/>
            <w:tcBorders>
              <w:top w:val="nil"/>
              <w:left w:val="nil"/>
              <w:bottom w:val="nil"/>
              <w:right w:val="nil"/>
            </w:tcBorders>
            <w:shd w:val="clear" w:color="auto" w:fill="auto"/>
            <w:noWrap/>
            <w:vAlign w:val="center"/>
            <w:hideMark/>
          </w:tcPr>
          <w:p w14:paraId="0E81559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center"/>
            <w:hideMark/>
          </w:tcPr>
          <w:p w14:paraId="12BDEE4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7.10</w:t>
            </w:r>
          </w:p>
        </w:tc>
      </w:tr>
      <w:tr w:rsidR="00577A69" w:rsidRPr="00404DB0" w14:paraId="3F452384" w14:textId="77777777" w:rsidTr="00440E80">
        <w:trPr>
          <w:trHeight w:val="300"/>
          <w:jc w:val="center"/>
        </w:trPr>
        <w:tc>
          <w:tcPr>
            <w:tcW w:w="3086" w:type="dxa"/>
            <w:tcBorders>
              <w:top w:val="nil"/>
              <w:left w:val="nil"/>
              <w:bottom w:val="nil"/>
              <w:right w:val="nil"/>
            </w:tcBorders>
            <w:shd w:val="clear" w:color="auto" w:fill="auto"/>
            <w:noWrap/>
            <w:vAlign w:val="center"/>
            <w:hideMark/>
          </w:tcPr>
          <w:p w14:paraId="4F0307C5"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Lost sleep over worry</w:t>
            </w:r>
          </w:p>
        </w:tc>
        <w:tc>
          <w:tcPr>
            <w:tcW w:w="0" w:type="auto"/>
            <w:tcBorders>
              <w:top w:val="nil"/>
              <w:left w:val="nil"/>
              <w:bottom w:val="nil"/>
              <w:right w:val="nil"/>
            </w:tcBorders>
            <w:shd w:val="clear" w:color="auto" w:fill="auto"/>
            <w:noWrap/>
            <w:vAlign w:val="center"/>
            <w:hideMark/>
          </w:tcPr>
          <w:p w14:paraId="424DE2B0"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p>
        </w:tc>
        <w:tc>
          <w:tcPr>
            <w:tcW w:w="0" w:type="auto"/>
            <w:tcBorders>
              <w:top w:val="nil"/>
              <w:left w:val="nil"/>
              <w:bottom w:val="nil"/>
              <w:right w:val="nil"/>
            </w:tcBorders>
            <w:shd w:val="clear" w:color="auto" w:fill="auto"/>
            <w:noWrap/>
            <w:vAlign w:val="center"/>
            <w:hideMark/>
          </w:tcPr>
          <w:p w14:paraId="40FE56C6"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center"/>
            <w:hideMark/>
          </w:tcPr>
          <w:p w14:paraId="7853C5CA"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center"/>
            <w:hideMark/>
          </w:tcPr>
          <w:p w14:paraId="40D7CABF"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center"/>
            <w:hideMark/>
          </w:tcPr>
          <w:p w14:paraId="3189DEAC"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center"/>
            <w:hideMark/>
          </w:tcPr>
          <w:p w14:paraId="11304BCC"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center"/>
            <w:hideMark/>
          </w:tcPr>
          <w:p w14:paraId="04D88663"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center"/>
            <w:hideMark/>
          </w:tcPr>
          <w:p w14:paraId="01A83D10"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center"/>
            <w:hideMark/>
          </w:tcPr>
          <w:p w14:paraId="2E3B5206"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c>
          <w:tcPr>
            <w:tcW w:w="0" w:type="auto"/>
            <w:tcBorders>
              <w:top w:val="nil"/>
              <w:left w:val="nil"/>
              <w:bottom w:val="nil"/>
              <w:right w:val="nil"/>
            </w:tcBorders>
            <w:shd w:val="clear" w:color="auto" w:fill="auto"/>
            <w:noWrap/>
            <w:vAlign w:val="center"/>
            <w:hideMark/>
          </w:tcPr>
          <w:p w14:paraId="34C68766" w14:textId="77777777" w:rsidR="00577A69" w:rsidRPr="00404DB0" w:rsidRDefault="00577A69" w:rsidP="00440E80">
            <w:pPr>
              <w:spacing w:after="0" w:line="240" w:lineRule="auto"/>
              <w:jc w:val="center"/>
              <w:rPr>
                <w:rFonts w:ascii="Times New Roman" w:eastAsia="Times New Roman" w:hAnsi="Times New Roman" w:cs="Times New Roman"/>
                <w:sz w:val="20"/>
                <w:szCs w:val="20"/>
                <w:lang w:eastAsia="en-GB"/>
              </w:rPr>
            </w:pPr>
          </w:p>
        </w:tc>
      </w:tr>
      <w:tr w:rsidR="00577A69" w:rsidRPr="00404DB0" w14:paraId="0768191E" w14:textId="77777777" w:rsidTr="00440E80">
        <w:trPr>
          <w:trHeight w:val="300"/>
          <w:jc w:val="center"/>
        </w:trPr>
        <w:tc>
          <w:tcPr>
            <w:tcW w:w="3086" w:type="dxa"/>
            <w:tcBorders>
              <w:top w:val="nil"/>
              <w:left w:val="nil"/>
              <w:bottom w:val="nil"/>
              <w:right w:val="nil"/>
            </w:tcBorders>
            <w:shd w:val="clear" w:color="auto" w:fill="auto"/>
            <w:noWrap/>
            <w:vAlign w:val="bottom"/>
            <w:hideMark/>
          </w:tcPr>
          <w:p w14:paraId="5A705DC6"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 Not at all</w:t>
            </w:r>
          </w:p>
        </w:tc>
        <w:tc>
          <w:tcPr>
            <w:tcW w:w="0" w:type="auto"/>
            <w:tcBorders>
              <w:top w:val="nil"/>
              <w:left w:val="nil"/>
              <w:bottom w:val="nil"/>
              <w:right w:val="nil"/>
            </w:tcBorders>
            <w:shd w:val="clear" w:color="auto" w:fill="auto"/>
            <w:vAlign w:val="center"/>
            <w:hideMark/>
          </w:tcPr>
          <w:p w14:paraId="23CA5CC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26%</w:t>
            </w:r>
          </w:p>
        </w:tc>
        <w:tc>
          <w:tcPr>
            <w:tcW w:w="0" w:type="auto"/>
            <w:tcBorders>
              <w:top w:val="nil"/>
              <w:left w:val="nil"/>
              <w:bottom w:val="nil"/>
              <w:right w:val="nil"/>
            </w:tcBorders>
            <w:shd w:val="clear" w:color="auto" w:fill="auto"/>
            <w:vAlign w:val="center"/>
            <w:hideMark/>
          </w:tcPr>
          <w:p w14:paraId="2556350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22%</w:t>
            </w:r>
          </w:p>
        </w:tc>
        <w:tc>
          <w:tcPr>
            <w:tcW w:w="0" w:type="auto"/>
            <w:tcBorders>
              <w:top w:val="nil"/>
              <w:left w:val="nil"/>
              <w:bottom w:val="nil"/>
              <w:right w:val="nil"/>
            </w:tcBorders>
            <w:shd w:val="clear" w:color="auto" w:fill="auto"/>
            <w:vAlign w:val="center"/>
            <w:hideMark/>
          </w:tcPr>
          <w:p w14:paraId="773E301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35%</w:t>
            </w:r>
          </w:p>
        </w:tc>
        <w:tc>
          <w:tcPr>
            <w:tcW w:w="0" w:type="auto"/>
            <w:tcBorders>
              <w:top w:val="nil"/>
              <w:left w:val="nil"/>
              <w:bottom w:val="nil"/>
              <w:right w:val="nil"/>
            </w:tcBorders>
            <w:shd w:val="clear" w:color="auto" w:fill="auto"/>
            <w:vAlign w:val="center"/>
            <w:hideMark/>
          </w:tcPr>
          <w:p w14:paraId="27C8435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24%</w:t>
            </w:r>
          </w:p>
        </w:tc>
        <w:tc>
          <w:tcPr>
            <w:tcW w:w="0" w:type="auto"/>
            <w:tcBorders>
              <w:top w:val="nil"/>
              <w:left w:val="nil"/>
              <w:bottom w:val="nil"/>
              <w:right w:val="nil"/>
            </w:tcBorders>
            <w:shd w:val="clear" w:color="auto" w:fill="auto"/>
            <w:vAlign w:val="center"/>
            <w:hideMark/>
          </w:tcPr>
          <w:p w14:paraId="48CD329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33%</w:t>
            </w:r>
          </w:p>
        </w:tc>
        <w:tc>
          <w:tcPr>
            <w:tcW w:w="0" w:type="auto"/>
            <w:tcBorders>
              <w:top w:val="nil"/>
              <w:left w:val="nil"/>
              <w:bottom w:val="nil"/>
              <w:right w:val="nil"/>
            </w:tcBorders>
            <w:shd w:val="clear" w:color="auto" w:fill="auto"/>
            <w:vAlign w:val="center"/>
            <w:hideMark/>
          </w:tcPr>
          <w:p w14:paraId="031B4CC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25%</w:t>
            </w:r>
          </w:p>
        </w:tc>
        <w:tc>
          <w:tcPr>
            <w:tcW w:w="0" w:type="auto"/>
            <w:tcBorders>
              <w:top w:val="nil"/>
              <w:left w:val="nil"/>
              <w:bottom w:val="nil"/>
              <w:right w:val="nil"/>
            </w:tcBorders>
            <w:shd w:val="clear" w:color="auto" w:fill="auto"/>
            <w:vAlign w:val="center"/>
            <w:hideMark/>
          </w:tcPr>
          <w:p w14:paraId="495C904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24%</w:t>
            </w:r>
          </w:p>
        </w:tc>
        <w:tc>
          <w:tcPr>
            <w:tcW w:w="0" w:type="auto"/>
            <w:tcBorders>
              <w:top w:val="nil"/>
              <w:left w:val="nil"/>
              <w:bottom w:val="nil"/>
              <w:right w:val="nil"/>
            </w:tcBorders>
            <w:shd w:val="clear" w:color="auto" w:fill="auto"/>
            <w:vAlign w:val="center"/>
            <w:hideMark/>
          </w:tcPr>
          <w:p w14:paraId="7F170F6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w:t>
            </w:r>
          </w:p>
        </w:tc>
        <w:tc>
          <w:tcPr>
            <w:tcW w:w="0" w:type="auto"/>
            <w:tcBorders>
              <w:top w:val="nil"/>
              <w:left w:val="nil"/>
              <w:bottom w:val="nil"/>
              <w:right w:val="nil"/>
            </w:tcBorders>
            <w:shd w:val="clear" w:color="auto" w:fill="auto"/>
            <w:vAlign w:val="center"/>
            <w:hideMark/>
          </w:tcPr>
          <w:p w14:paraId="32B650E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26%</w:t>
            </w:r>
          </w:p>
        </w:tc>
        <w:tc>
          <w:tcPr>
            <w:tcW w:w="0" w:type="auto"/>
            <w:tcBorders>
              <w:top w:val="nil"/>
              <w:left w:val="nil"/>
              <w:bottom w:val="nil"/>
              <w:right w:val="nil"/>
            </w:tcBorders>
            <w:shd w:val="clear" w:color="auto" w:fill="auto"/>
            <w:vAlign w:val="center"/>
            <w:hideMark/>
          </w:tcPr>
          <w:p w14:paraId="1749DB2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22%</w:t>
            </w:r>
          </w:p>
        </w:tc>
      </w:tr>
      <w:tr w:rsidR="00577A69" w:rsidRPr="00404DB0" w14:paraId="24559CF7" w14:textId="77777777" w:rsidTr="00440E80">
        <w:trPr>
          <w:trHeight w:val="300"/>
          <w:jc w:val="center"/>
        </w:trPr>
        <w:tc>
          <w:tcPr>
            <w:tcW w:w="3086" w:type="dxa"/>
            <w:tcBorders>
              <w:top w:val="nil"/>
              <w:left w:val="nil"/>
              <w:bottom w:val="nil"/>
              <w:right w:val="nil"/>
            </w:tcBorders>
            <w:shd w:val="clear" w:color="auto" w:fill="auto"/>
            <w:noWrap/>
            <w:vAlign w:val="bottom"/>
            <w:hideMark/>
          </w:tcPr>
          <w:p w14:paraId="3F985A1B"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 No more than usual</w:t>
            </w:r>
          </w:p>
        </w:tc>
        <w:tc>
          <w:tcPr>
            <w:tcW w:w="0" w:type="auto"/>
            <w:tcBorders>
              <w:top w:val="nil"/>
              <w:left w:val="nil"/>
              <w:bottom w:val="nil"/>
              <w:right w:val="nil"/>
            </w:tcBorders>
            <w:shd w:val="clear" w:color="auto" w:fill="auto"/>
            <w:vAlign w:val="center"/>
            <w:hideMark/>
          </w:tcPr>
          <w:p w14:paraId="52C59F3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48%</w:t>
            </w:r>
          </w:p>
        </w:tc>
        <w:tc>
          <w:tcPr>
            <w:tcW w:w="0" w:type="auto"/>
            <w:tcBorders>
              <w:top w:val="nil"/>
              <w:left w:val="nil"/>
              <w:bottom w:val="nil"/>
              <w:right w:val="nil"/>
            </w:tcBorders>
            <w:shd w:val="clear" w:color="auto" w:fill="auto"/>
            <w:vAlign w:val="center"/>
            <w:hideMark/>
          </w:tcPr>
          <w:p w14:paraId="0279DFE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51%</w:t>
            </w:r>
          </w:p>
        </w:tc>
        <w:tc>
          <w:tcPr>
            <w:tcW w:w="0" w:type="auto"/>
            <w:tcBorders>
              <w:top w:val="nil"/>
              <w:left w:val="nil"/>
              <w:bottom w:val="nil"/>
              <w:right w:val="nil"/>
            </w:tcBorders>
            <w:shd w:val="clear" w:color="auto" w:fill="auto"/>
            <w:vAlign w:val="center"/>
            <w:hideMark/>
          </w:tcPr>
          <w:p w14:paraId="188FF32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39%</w:t>
            </w:r>
          </w:p>
        </w:tc>
        <w:tc>
          <w:tcPr>
            <w:tcW w:w="0" w:type="auto"/>
            <w:tcBorders>
              <w:top w:val="nil"/>
              <w:left w:val="nil"/>
              <w:bottom w:val="nil"/>
              <w:right w:val="nil"/>
            </w:tcBorders>
            <w:shd w:val="clear" w:color="auto" w:fill="auto"/>
            <w:vAlign w:val="center"/>
            <w:hideMark/>
          </w:tcPr>
          <w:p w14:paraId="6570865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50%</w:t>
            </w:r>
          </w:p>
        </w:tc>
        <w:tc>
          <w:tcPr>
            <w:tcW w:w="0" w:type="auto"/>
            <w:tcBorders>
              <w:top w:val="nil"/>
              <w:left w:val="nil"/>
              <w:bottom w:val="nil"/>
              <w:right w:val="nil"/>
            </w:tcBorders>
            <w:shd w:val="clear" w:color="auto" w:fill="auto"/>
            <w:vAlign w:val="center"/>
            <w:hideMark/>
          </w:tcPr>
          <w:p w14:paraId="28DDF67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38%</w:t>
            </w:r>
          </w:p>
        </w:tc>
        <w:tc>
          <w:tcPr>
            <w:tcW w:w="0" w:type="auto"/>
            <w:tcBorders>
              <w:top w:val="nil"/>
              <w:left w:val="nil"/>
              <w:bottom w:val="nil"/>
              <w:right w:val="nil"/>
            </w:tcBorders>
            <w:shd w:val="clear" w:color="auto" w:fill="auto"/>
            <w:vAlign w:val="center"/>
            <w:hideMark/>
          </w:tcPr>
          <w:p w14:paraId="66461F8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50%</w:t>
            </w:r>
          </w:p>
        </w:tc>
        <w:tc>
          <w:tcPr>
            <w:tcW w:w="0" w:type="auto"/>
            <w:tcBorders>
              <w:top w:val="nil"/>
              <w:left w:val="nil"/>
              <w:bottom w:val="nil"/>
              <w:right w:val="nil"/>
            </w:tcBorders>
            <w:shd w:val="clear" w:color="auto" w:fill="auto"/>
            <w:vAlign w:val="center"/>
            <w:hideMark/>
          </w:tcPr>
          <w:p w14:paraId="2B34837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41%</w:t>
            </w:r>
          </w:p>
        </w:tc>
        <w:tc>
          <w:tcPr>
            <w:tcW w:w="0" w:type="auto"/>
            <w:tcBorders>
              <w:top w:val="nil"/>
              <w:left w:val="nil"/>
              <w:bottom w:val="nil"/>
              <w:right w:val="nil"/>
            </w:tcBorders>
            <w:shd w:val="clear" w:color="auto" w:fill="auto"/>
            <w:vAlign w:val="center"/>
            <w:hideMark/>
          </w:tcPr>
          <w:p w14:paraId="18A53F8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50%</w:t>
            </w:r>
          </w:p>
        </w:tc>
        <w:tc>
          <w:tcPr>
            <w:tcW w:w="0" w:type="auto"/>
            <w:tcBorders>
              <w:top w:val="nil"/>
              <w:left w:val="nil"/>
              <w:bottom w:val="nil"/>
              <w:right w:val="nil"/>
            </w:tcBorders>
            <w:shd w:val="clear" w:color="auto" w:fill="auto"/>
            <w:vAlign w:val="center"/>
            <w:hideMark/>
          </w:tcPr>
          <w:p w14:paraId="168223B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37%</w:t>
            </w:r>
          </w:p>
        </w:tc>
        <w:tc>
          <w:tcPr>
            <w:tcW w:w="0" w:type="auto"/>
            <w:tcBorders>
              <w:top w:val="nil"/>
              <w:left w:val="nil"/>
              <w:bottom w:val="nil"/>
              <w:right w:val="nil"/>
            </w:tcBorders>
            <w:shd w:val="clear" w:color="auto" w:fill="auto"/>
            <w:vAlign w:val="center"/>
            <w:hideMark/>
          </w:tcPr>
          <w:p w14:paraId="199FD90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54%</w:t>
            </w:r>
          </w:p>
        </w:tc>
      </w:tr>
      <w:tr w:rsidR="00577A69" w:rsidRPr="00404DB0" w14:paraId="41156024" w14:textId="77777777" w:rsidTr="00440E80">
        <w:trPr>
          <w:trHeight w:val="300"/>
          <w:jc w:val="center"/>
        </w:trPr>
        <w:tc>
          <w:tcPr>
            <w:tcW w:w="3086" w:type="dxa"/>
            <w:tcBorders>
              <w:top w:val="nil"/>
              <w:left w:val="nil"/>
              <w:bottom w:val="nil"/>
              <w:right w:val="nil"/>
            </w:tcBorders>
            <w:shd w:val="clear" w:color="auto" w:fill="auto"/>
            <w:noWrap/>
            <w:vAlign w:val="bottom"/>
            <w:hideMark/>
          </w:tcPr>
          <w:p w14:paraId="037364C9"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 Rather more than usual</w:t>
            </w:r>
          </w:p>
        </w:tc>
        <w:tc>
          <w:tcPr>
            <w:tcW w:w="0" w:type="auto"/>
            <w:tcBorders>
              <w:top w:val="nil"/>
              <w:left w:val="nil"/>
              <w:bottom w:val="nil"/>
              <w:right w:val="nil"/>
            </w:tcBorders>
            <w:shd w:val="clear" w:color="auto" w:fill="auto"/>
            <w:vAlign w:val="center"/>
            <w:hideMark/>
          </w:tcPr>
          <w:p w14:paraId="7CEE173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w:t>
            </w:r>
          </w:p>
        </w:tc>
        <w:tc>
          <w:tcPr>
            <w:tcW w:w="0" w:type="auto"/>
            <w:tcBorders>
              <w:top w:val="nil"/>
              <w:left w:val="nil"/>
              <w:bottom w:val="nil"/>
              <w:right w:val="nil"/>
            </w:tcBorders>
            <w:shd w:val="clear" w:color="auto" w:fill="auto"/>
            <w:vAlign w:val="center"/>
            <w:hideMark/>
          </w:tcPr>
          <w:p w14:paraId="54FD423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19%</w:t>
            </w:r>
          </w:p>
        </w:tc>
        <w:tc>
          <w:tcPr>
            <w:tcW w:w="0" w:type="auto"/>
            <w:tcBorders>
              <w:top w:val="nil"/>
              <w:left w:val="nil"/>
              <w:bottom w:val="nil"/>
              <w:right w:val="nil"/>
            </w:tcBorders>
            <w:shd w:val="clear" w:color="auto" w:fill="auto"/>
            <w:vAlign w:val="center"/>
            <w:hideMark/>
          </w:tcPr>
          <w:p w14:paraId="12E1280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w:t>
            </w:r>
          </w:p>
        </w:tc>
        <w:tc>
          <w:tcPr>
            <w:tcW w:w="0" w:type="auto"/>
            <w:tcBorders>
              <w:top w:val="nil"/>
              <w:left w:val="nil"/>
              <w:bottom w:val="nil"/>
              <w:right w:val="nil"/>
            </w:tcBorders>
            <w:shd w:val="clear" w:color="auto" w:fill="auto"/>
            <w:vAlign w:val="center"/>
            <w:hideMark/>
          </w:tcPr>
          <w:p w14:paraId="62CA0A7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w:t>
            </w:r>
          </w:p>
        </w:tc>
        <w:tc>
          <w:tcPr>
            <w:tcW w:w="0" w:type="auto"/>
            <w:tcBorders>
              <w:top w:val="nil"/>
              <w:left w:val="nil"/>
              <w:bottom w:val="nil"/>
              <w:right w:val="nil"/>
            </w:tcBorders>
            <w:shd w:val="clear" w:color="auto" w:fill="auto"/>
            <w:vAlign w:val="center"/>
            <w:hideMark/>
          </w:tcPr>
          <w:p w14:paraId="7C0009E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23%</w:t>
            </w:r>
          </w:p>
        </w:tc>
        <w:tc>
          <w:tcPr>
            <w:tcW w:w="0" w:type="auto"/>
            <w:tcBorders>
              <w:top w:val="nil"/>
              <w:left w:val="nil"/>
              <w:bottom w:val="nil"/>
              <w:right w:val="nil"/>
            </w:tcBorders>
            <w:shd w:val="clear" w:color="auto" w:fill="auto"/>
            <w:vAlign w:val="center"/>
            <w:hideMark/>
          </w:tcPr>
          <w:p w14:paraId="28882C1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19%</w:t>
            </w:r>
          </w:p>
        </w:tc>
        <w:tc>
          <w:tcPr>
            <w:tcW w:w="0" w:type="auto"/>
            <w:tcBorders>
              <w:top w:val="nil"/>
              <w:left w:val="nil"/>
              <w:bottom w:val="nil"/>
              <w:right w:val="nil"/>
            </w:tcBorders>
            <w:shd w:val="clear" w:color="auto" w:fill="auto"/>
            <w:vAlign w:val="center"/>
            <w:hideMark/>
          </w:tcPr>
          <w:p w14:paraId="0B0F89E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27%</w:t>
            </w:r>
          </w:p>
        </w:tc>
        <w:tc>
          <w:tcPr>
            <w:tcW w:w="0" w:type="auto"/>
            <w:tcBorders>
              <w:top w:val="nil"/>
              <w:left w:val="nil"/>
              <w:bottom w:val="nil"/>
              <w:right w:val="nil"/>
            </w:tcBorders>
            <w:shd w:val="clear" w:color="auto" w:fill="auto"/>
            <w:vAlign w:val="center"/>
            <w:hideMark/>
          </w:tcPr>
          <w:p w14:paraId="6E29405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25%</w:t>
            </w:r>
          </w:p>
        </w:tc>
        <w:tc>
          <w:tcPr>
            <w:tcW w:w="0" w:type="auto"/>
            <w:tcBorders>
              <w:top w:val="nil"/>
              <w:left w:val="nil"/>
              <w:bottom w:val="nil"/>
              <w:right w:val="nil"/>
            </w:tcBorders>
            <w:shd w:val="clear" w:color="auto" w:fill="auto"/>
            <w:vAlign w:val="center"/>
            <w:hideMark/>
          </w:tcPr>
          <w:p w14:paraId="3F9583D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27%</w:t>
            </w:r>
          </w:p>
        </w:tc>
        <w:tc>
          <w:tcPr>
            <w:tcW w:w="0" w:type="auto"/>
            <w:tcBorders>
              <w:top w:val="nil"/>
              <w:left w:val="nil"/>
              <w:bottom w:val="nil"/>
              <w:right w:val="nil"/>
            </w:tcBorders>
            <w:shd w:val="clear" w:color="auto" w:fill="auto"/>
            <w:vAlign w:val="center"/>
            <w:hideMark/>
          </w:tcPr>
          <w:p w14:paraId="65EFF19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19%</w:t>
            </w:r>
          </w:p>
        </w:tc>
      </w:tr>
      <w:tr w:rsidR="00577A69" w:rsidRPr="00404DB0" w14:paraId="1CAE5701" w14:textId="77777777" w:rsidTr="00440E80">
        <w:trPr>
          <w:trHeight w:val="300"/>
          <w:jc w:val="center"/>
        </w:trPr>
        <w:tc>
          <w:tcPr>
            <w:tcW w:w="3086" w:type="dxa"/>
            <w:tcBorders>
              <w:top w:val="nil"/>
              <w:left w:val="nil"/>
              <w:bottom w:val="single" w:sz="4" w:space="0" w:color="auto"/>
              <w:right w:val="nil"/>
            </w:tcBorders>
            <w:shd w:val="clear" w:color="auto" w:fill="auto"/>
            <w:noWrap/>
            <w:vAlign w:val="bottom"/>
            <w:hideMark/>
          </w:tcPr>
          <w:p w14:paraId="6C1616D3"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 Much more than usual</w:t>
            </w:r>
          </w:p>
        </w:tc>
        <w:tc>
          <w:tcPr>
            <w:tcW w:w="0" w:type="auto"/>
            <w:tcBorders>
              <w:top w:val="nil"/>
              <w:left w:val="nil"/>
              <w:bottom w:val="single" w:sz="4" w:space="0" w:color="auto"/>
              <w:right w:val="nil"/>
            </w:tcBorders>
            <w:shd w:val="clear" w:color="auto" w:fill="auto"/>
            <w:vAlign w:val="center"/>
            <w:hideMark/>
          </w:tcPr>
          <w:p w14:paraId="26767D0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single" w:sz="4" w:space="0" w:color="auto"/>
              <w:right w:val="nil"/>
            </w:tcBorders>
            <w:shd w:val="clear" w:color="auto" w:fill="auto"/>
            <w:vAlign w:val="center"/>
            <w:hideMark/>
          </w:tcPr>
          <w:p w14:paraId="2AA6A65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w:t>
            </w:r>
          </w:p>
        </w:tc>
        <w:tc>
          <w:tcPr>
            <w:tcW w:w="0" w:type="auto"/>
            <w:tcBorders>
              <w:top w:val="nil"/>
              <w:left w:val="nil"/>
              <w:bottom w:val="single" w:sz="4" w:space="0" w:color="auto"/>
              <w:right w:val="nil"/>
            </w:tcBorders>
            <w:shd w:val="clear" w:color="auto" w:fill="auto"/>
            <w:vAlign w:val="center"/>
            <w:hideMark/>
          </w:tcPr>
          <w:p w14:paraId="5648580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single" w:sz="4" w:space="0" w:color="auto"/>
              <w:right w:val="nil"/>
            </w:tcBorders>
            <w:shd w:val="clear" w:color="auto" w:fill="auto"/>
            <w:vAlign w:val="center"/>
            <w:hideMark/>
          </w:tcPr>
          <w:p w14:paraId="3066117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c>
          <w:tcPr>
            <w:tcW w:w="0" w:type="auto"/>
            <w:tcBorders>
              <w:top w:val="nil"/>
              <w:left w:val="nil"/>
              <w:bottom w:val="single" w:sz="4" w:space="0" w:color="auto"/>
              <w:right w:val="nil"/>
            </w:tcBorders>
            <w:shd w:val="clear" w:color="auto" w:fill="auto"/>
            <w:vAlign w:val="center"/>
            <w:hideMark/>
          </w:tcPr>
          <w:p w14:paraId="56B98F1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c>
          <w:tcPr>
            <w:tcW w:w="0" w:type="auto"/>
            <w:tcBorders>
              <w:top w:val="nil"/>
              <w:left w:val="nil"/>
              <w:bottom w:val="single" w:sz="4" w:space="0" w:color="auto"/>
              <w:right w:val="nil"/>
            </w:tcBorders>
            <w:shd w:val="clear" w:color="auto" w:fill="auto"/>
            <w:vAlign w:val="center"/>
            <w:hideMark/>
          </w:tcPr>
          <w:p w14:paraId="27B29B4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single" w:sz="4" w:space="0" w:color="auto"/>
              <w:right w:val="nil"/>
            </w:tcBorders>
            <w:shd w:val="clear" w:color="auto" w:fill="auto"/>
            <w:vAlign w:val="center"/>
            <w:hideMark/>
          </w:tcPr>
          <w:p w14:paraId="09FACDC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w:t>
            </w:r>
          </w:p>
        </w:tc>
        <w:tc>
          <w:tcPr>
            <w:tcW w:w="0" w:type="auto"/>
            <w:tcBorders>
              <w:top w:val="nil"/>
              <w:left w:val="nil"/>
              <w:bottom w:val="single" w:sz="4" w:space="0" w:color="auto"/>
              <w:right w:val="nil"/>
            </w:tcBorders>
            <w:shd w:val="clear" w:color="auto" w:fill="auto"/>
            <w:vAlign w:val="center"/>
            <w:hideMark/>
          </w:tcPr>
          <w:p w14:paraId="75B60C5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single" w:sz="4" w:space="0" w:color="auto"/>
              <w:right w:val="nil"/>
            </w:tcBorders>
            <w:shd w:val="clear" w:color="auto" w:fill="auto"/>
            <w:vAlign w:val="center"/>
            <w:hideMark/>
          </w:tcPr>
          <w:p w14:paraId="64050BE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10%</w:t>
            </w:r>
          </w:p>
        </w:tc>
        <w:tc>
          <w:tcPr>
            <w:tcW w:w="0" w:type="auto"/>
            <w:tcBorders>
              <w:top w:val="nil"/>
              <w:left w:val="nil"/>
              <w:bottom w:val="single" w:sz="4" w:space="0" w:color="auto"/>
              <w:right w:val="nil"/>
            </w:tcBorders>
            <w:shd w:val="clear" w:color="auto" w:fill="auto"/>
            <w:vAlign w:val="center"/>
            <w:hideMark/>
          </w:tcPr>
          <w:p w14:paraId="30A7492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r>
      <w:tr w:rsidR="00577A69" w:rsidRPr="00404DB0" w14:paraId="27C63B78" w14:textId="77777777" w:rsidTr="00440E80">
        <w:trPr>
          <w:trHeight w:val="300"/>
          <w:jc w:val="center"/>
        </w:trPr>
        <w:tc>
          <w:tcPr>
            <w:tcW w:w="3086" w:type="dxa"/>
            <w:tcBorders>
              <w:top w:val="single" w:sz="4" w:space="0" w:color="auto"/>
              <w:left w:val="nil"/>
              <w:bottom w:val="single" w:sz="4" w:space="0" w:color="auto"/>
              <w:right w:val="nil"/>
            </w:tcBorders>
            <w:shd w:val="clear" w:color="auto" w:fill="auto"/>
            <w:noWrap/>
            <w:vAlign w:val="bottom"/>
            <w:hideMark/>
          </w:tcPr>
          <w:p w14:paraId="674C822D"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Average</w:t>
            </w:r>
          </w:p>
        </w:tc>
        <w:tc>
          <w:tcPr>
            <w:tcW w:w="0" w:type="auto"/>
            <w:tcBorders>
              <w:top w:val="single" w:sz="4" w:space="0" w:color="auto"/>
              <w:left w:val="nil"/>
              <w:bottom w:val="single" w:sz="4" w:space="0" w:color="auto"/>
              <w:right w:val="nil"/>
            </w:tcBorders>
            <w:shd w:val="clear" w:color="auto" w:fill="auto"/>
            <w:noWrap/>
            <w:vAlign w:val="bottom"/>
            <w:hideMark/>
          </w:tcPr>
          <w:p w14:paraId="7D2AD6C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2.06</w:t>
            </w:r>
          </w:p>
        </w:tc>
        <w:tc>
          <w:tcPr>
            <w:tcW w:w="0" w:type="auto"/>
            <w:tcBorders>
              <w:top w:val="single" w:sz="4" w:space="0" w:color="auto"/>
              <w:left w:val="nil"/>
              <w:bottom w:val="single" w:sz="4" w:space="0" w:color="auto"/>
              <w:right w:val="nil"/>
            </w:tcBorders>
            <w:shd w:val="clear" w:color="auto" w:fill="auto"/>
            <w:noWrap/>
            <w:vAlign w:val="bottom"/>
            <w:hideMark/>
          </w:tcPr>
          <w:p w14:paraId="6F7DA53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2.12</w:t>
            </w:r>
          </w:p>
        </w:tc>
        <w:tc>
          <w:tcPr>
            <w:tcW w:w="0" w:type="auto"/>
            <w:tcBorders>
              <w:top w:val="single" w:sz="4" w:space="0" w:color="auto"/>
              <w:left w:val="nil"/>
              <w:bottom w:val="single" w:sz="4" w:space="0" w:color="auto"/>
              <w:right w:val="nil"/>
            </w:tcBorders>
            <w:shd w:val="clear" w:color="auto" w:fill="auto"/>
            <w:noWrap/>
            <w:vAlign w:val="bottom"/>
            <w:hideMark/>
          </w:tcPr>
          <w:p w14:paraId="42383FF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1.97</w:t>
            </w:r>
          </w:p>
        </w:tc>
        <w:tc>
          <w:tcPr>
            <w:tcW w:w="0" w:type="auto"/>
            <w:tcBorders>
              <w:top w:val="single" w:sz="4" w:space="0" w:color="auto"/>
              <w:left w:val="nil"/>
              <w:bottom w:val="single" w:sz="4" w:space="0" w:color="auto"/>
              <w:right w:val="nil"/>
            </w:tcBorders>
            <w:shd w:val="clear" w:color="auto" w:fill="auto"/>
            <w:noWrap/>
            <w:vAlign w:val="bottom"/>
            <w:hideMark/>
          </w:tcPr>
          <w:p w14:paraId="02FAD2D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2.07</w:t>
            </w:r>
          </w:p>
        </w:tc>
        <w:tc>
          <w:tcPr>
            <w:tcW w:w="0" w:type="auto"/>
            <w:tcBorders>
              <w:top w:val="single" w:sz="4" w:space="0" w:color="auto"/>
              <w:left w:val="nil"/>
              <w:bottom w:val="single" w:sz="4" w:space="0" w:color="auto"/>
              <w:right w:val="nil"/>
            </w:tcBorders>
            <w:shd w:val="clear" w:color="auto" w:fill="auto"/>
            <w:noWrap/>
            <w:vAlign w:val="bottom"/>
            <w:hideMark/>
          </w:tcPr>
          <w:p w14:paraId="6B77D32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2.01</w:t>
            </w:r>
          </w:p>
        </w:tc>
        <w:tc>
          <w:tcPr>
            <w:tcW w:w="0" w:type="auto"/>
            <w:tcBorders>
              <w:top w:val="single" w:sz="4" w:space="0" w:color="auto"/>
              <w:left w:val="nil"/>
              <w:bottom w:val="single" w:sz="4" w:space="0" w:color="auto"/>
              <w:right w:val="nil"/>
            </w:tcBorders>
            <w:shd w:val="clear" w:color="auto" w:fill="auto"/>
            <w:noWrap/>
            <w:vAlign w:val="bottom"/>
            <w:hideMark/>
          </w:tcPr>
          <w:p w14:paraId="6EEC76D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2.05</w:t>
            </w:r>
          </w:p>
        </w:tc>
        <w:tc>
          <w:tcPr>
            <w:tcW w:w="0" w:type="auto"/>
            <w:tcBorders>
              <w:top w:val="single" w:sz="4" w:space="0" w:color="auto"/>
              <w:left w:val="nil"/>
              <w:bottom w:val="single" w:sz="4" w:space="0" w:color="auto"/>
              <w:right w:val="nil"/>
            </w:tcBorders>
            <w:shd w:val="clear" w:color="auto" w:fill="auto"/>
            <w:noWrap/>
            <w:vAlign w:val="bottom"/>
            <w:hideMark/>
          </w:tcPr>
          <w:p w14:paraId="009796E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2.18</w:t>
            </w:r>
          </w:p>
        </w:tc>
        <w:tc>
          <w:tcPr>
            <w:tcW w:w="0" w:type="auto"/>
            <w:tcBorders>
              <w:top w:val="single" w:sz="4" w:space="0" w:color="auto"/>
              <w:left w:val="nil"/>
              <w:bottom w:val="single" w:sz="4" w:space="0" w:color="auto"/>
              <w:right w:val="nil"/>
            </w:tcBorders>
            <w:shd w:val="clear" w:color="auto" w:fill="auto"/>
            <w:noWrap/>
            <w:vAlign w:val="bottom"/>
            <w:hideMark/>
          </w:tcPr>
          <w:p w14:paraId="5286024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2.16</w:t>
            </w:r>
          </w:p>
        </w:tc>
        <w:tc>
          <w:tcPr>
            <w:tcW w:w="0" w:type="auto"/>
            <w:tcBorders>
              <w:top w:val="single" w:sz="4" w:space="0" w:color="auto"/>
              <w:left w:val="nil"/>
              <w:bottom w:val="single" w:sz="4" w:space="0" w:color="auto"/>
              <w:right w:val="nil"/>
            </w:tcBorders>
            <w:shd w:val="clear" w:color="auto" w:fill="auto"/>
            <w:noWrap/>
            <w:vAlign w:val="bottom"/>
            <w:hideMark/>
          </w:tcPr>
          <w:p w14:paraId="7A1315A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2.20</w:t>
            </w:r>
          </w:p>
        </w:tc>
        <w:tc>
          <w:tcPr>
            <w:tcW w:w="0" w:type="auto"/>
            <w:tcBorders>
              <w:top w:val="single" w:sz="4" w:space="0" w:color="auto"/>
              <w:left w:val="nil"/>
              <w:bottom w:val="single" w:sz="4" w:space="0" w:color="auto"/>
              <w:right w:val="nil"/>
            </w:tcBorders>
            <w:shd w:val="clear" w:color="auto" w:fill="auto"/>
            <w:noWrap/>
            <w:vAlign w:val="bottom"/>
            <w:hideMark/>
          </w:tcPr>
          <w:p w14:paraId="49323FC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2.07</w:t>
            </w:r>
          </w:p>
        </w:tc>
      </w:tr>
    </w:tbl>
    <w:p w14:paraId="4786AC04" w14:textId="7178D8E3" w:rsidR="00577A69" w:rsidRDefault="00577A69" w:rsidP="008B4E20">
      <w:pPr>
        <w:pStyle w:val="NoSpacing"/>
        <w:spacing w:after="240"/>
        <w:jc w:val="both"/>
        <w:rPr>
          <w:rFonts w:ascii="Times New Roman" w:hAnsi="Times New Roman" w:cs="Times New Roman"/>
          <w:u w:val="single"/>
        </w:rPr>
      </w:pPr>
      <w:r w:rsidRPr="0091393E">
        <w:rPr>
          <w:rFonts w:ascii="Times New Roman" w:hAnsi="Times New Roman" w:cs="Times New Roman"/>
          <w:bCs/>
          <w:sz w:val="20"/>
          <w:szCs w:val="20"/>
        </w:rPr>
        <w:t>Notes: Figures refer</w:t>
      </w:r>
      <w:r w:rsidR="007A597E">
        <w:rPr>
          <w:rFonts w:ascii="Times New Roman" w:hAnsi="Times New Roman" w:cs="Times New Roman"/>
          <w:bCs/>
          <w:sz w:val="20"/>
          <w:szCs w:val="20"/>
        </w:rPr>
        <w:t xml:space="preserve"> </w:t>
      </w:r>
      <w:r w:rsidR="00523EAD">
        <w:rPr>
          <w:rFonts w:ascii="Times New Roman" w:hAnsi="Times New Roman" w:cs="Times New Roman"/>
          <w:bCs/>
          <w:sz w:val="20"/>
          <w:szCs w:val="20"/>
        </w:rPr>
        <w:t>to</w:t>
      </w:r>
      <w:r w:rsidRPr="0091393E">
        <w:rPr>
          <w:rFonts w:ascii="Times New Roman" w:hAnsi="Times New Roman" w:cs="Times New Roman"/>
          <w:bCs/>
          <w:sz w:val="20"/>
          <w:szCs w:val="20"/>
        </w:rPr>
        <w:t xml:space="preserve"> unconditional percentages with the age 26 survey weight applied. The ‘average score’ refers to the average along the four-point scale, where 1 = not </w:t>
      </w:r>
      <w:proofErr w:type="spellStart"/>
      <w:r w:rsidRPr="0091393E">
        <w:rPr>
          <w:rFonts w:ascii="Times New Roman" w:hAnsi="Times New Roman" w:cs="Times New Roman"/>
          <w:bCs/>
          <w:sz w:val="20"/>
          <w:szCs w:val="20"/>
        </w:rPr>
        <w:t>al</w:t>
      </w:r>
      <w:proofErr w:type="spellEnd"/>
      <w:r w:rsidRPr="0091393E">
        <w:rPr>
          <w:rFonts w:ascii="Times New Roman" w:hAnsi="Times New Roman" w:cs="Times New Roman"/>
          <w:bCs/>
          <w:sz w:val="20"/>
          <w:szCs w:val="20"/>
        </w:rPr>
        <w:t xml:space="preserve"> all and 4 = much more than usual. Sample sizes are approximately 255 (teachers), 1,537 (lower managerial), 2,274 (graduates), 194 (health workers) and 235 (office jobs).</w:t>
      </w:r>
      <w:r w:rsidR="00875EB6">
        <w:rPr>
          <w:rFonts w:ascii="Times New Roman" w:hAnsi="Times New Roman" w:cs="Times New Roman"/>
          <w:bCs/>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Next Steps dataset</w:t>
      </w:r>
      <w:r w:rsidR="00875EB6" w:rsidRPr="00C15BFD">
        <w:rPr>
          <w:rFonts w:ascii="Times New Roman" w:hAnsi="Times New Roman" w:cs="Times New Roman"/>
          <w:sz w:val="20"/>
          <w:szCs w:val="20"/>
        </w:rPr>
        <w:t>.</w:t>
      </w:r>
    </w:p>
    <w:p w14:paraId="1481F630" w14:textId="77777777" w:rsidR="00577A69" w:rsidRPr="00A006FE" w:rsidRDefault="00577A69" w:rsidP="008B4E20">
      <w:pPr>
        <w:pStyle w:val="NoSpacing"/>
        <w:spacing w:after="160" w:line="360" w:lineRule="auto"/>
        <w:jc w:val="both"/>
        <w:rPr>
          <w:rFonts w:ascii="Times New Roman" w:hAnsi="Times New Roman" w:cs="Times New Roman"/>
          <w:b/>
        </w:rPr>
      </w:pPr>
      <w:r w:rsidRPr="00A006FE">
        <w:rPr>
          <w:rFonts w:ascii="Times New Roman" w:hAnsi="Times New Roman" w:cs="Times New Roman"/>
          <w:b/>
        </w:rPr>
        <w:t>7.5 Social life</w:t>
      </w:r>
    </w:p>
    <w:p w14:paraId="3934AA7B" w14:textId="6D4B3833" w:rsidR="004812D3" w:rsidRDefault="00577A69">
      <w:pPr>
        <w:pStyle w:val="NoSpacing"/>
        <w:spacing w:after="160" w:line="360" w:lineRule="auto"/>
        <w:jc w:val="both"/>
        <w:rPr>
          <w:rFonts w:ascii="Times New Roman" w:hAnsi="Times New Roman" w:cs="Times New Roman"/>
        </w:rPr>
      </w:pPr>
      <w:r w:rsidRPr="00404DB0">
        <w:rPr>
          <w:rFonts w:ascii="Times New Roman" w:hAnsi="Times New Roman" w:cs="Times New Roman"/>
        </w:rPr>
        <w:t xml:space="preserve">We have already seen how junior teachers tend to work longer hours per week (on average) than their former school peers pursuing other careers (recall Table </w:t>
      </w:r>
      <w:r>
        <w:rPr>
          <w:rFonts w:ascii="Times New Roman" w:hAnsi="Times New Roman" w:cs="Times New Roman"/>
        </w:rPr>
        <w:t>7.2</w:t>
      </w:r>
      <w:r w:rsidRPr="00404DB0">
        <w:rPr>
          <w:rFonts w:ascii="Times New Roman" w:hAnsi="Times New Roman" w:cs="Times New Roman"/>
        </w:rPr>
        <w:t xml:space="preserve">2). But does this then mean that junior teachers sacrifice their life outside of work and their social activities? Table </w:t>
      </w:r>
      <w:r>
        <w:rPr>
          <w:rFonts w:ascii="Times New Roman" w:hAnsi="Times New Roman" w:cs="Times New Roman"/>
        </w:rPr>
        <w:t>7.</w:t>
      </w:r>
      <w:r w:rsidRPr="00404DB0">
        <w:rPr>
          <w:rFonts w:ascii="Times New Roman" w:hAnsi="Times New Roman" w:cs="Times New Roman"/>
        </w:rPr>
        <w:t>5 provides some insight into this issue of work-life balance.</w:t>
      </w:r>
    </w:p>
    <w:p w14:paraId="79B7F2E0" w14:textId="77777777" w:rsidR="004812D3" w:rsidRDefault="004812D3">
      <w:pPr>
        <w:spacing w:line="259" w:lineRule="auto"/>
        <w:rPr>
          <w:rFonts w:ascii="Times New Roman" w:eastAsiaTheme="minorEastAsia" w:hAnsi="Times New Roman" w:cs="Times New Roman"/>
          <w:sz w:val="24"/>
          <w:szCs w:val="21"/>
        </w:rPr>
      </w:pPr>
      <w:r>
        <w:rPr>
          <w:rFonts w:ascii="Times New Roman" w:hAnsi="Times New Roman" w:cs="Times New Roman"/>
        </w:rPr>
        <w:br w:type="page"/>
      </w:r>
    </w:p>
    <w:p w14:paraId="7EC6DBB3" w14:textId="6A387FCE" w:rsidR="00577A69" w:rsidRDefault="00577A69" w:rsidP="00577A69">
      <w:pPr>
        <w:pStyle w:val="NoSpacing"/>
        <w:jc w:val="center"/>
        <w:rPr>
          <w:rFonts w:ascii="Times New Roman" w:hAnsi="Times New Roman" w:cs="Times New Roman"/>
          <w:b/>
          <w:bCs/>
        </w:rPr>
      </w:pPr>
      <w:r w:rsidRPr="00404DB0">
        <w:rPr>
          <w:rFonts w:ascii="Times New Roman" w:hAnsi="Times New Roman" w:cs="Times New Roman"/>
          <w:b/>
          <w:bCs/>
        </w:rPr>
        <w:lastRenderedPageBreak/>
        <w:t xml:space="preserve">Table </w:t>
      </w:r>
      <w:r>
        <w:rPr>
          <w:rFonts w:ascii="Times New Roman" w:hAnsi="Times New Roman" w:cs="Times New Roman"/>
          <w:b/>
          <w:bCs/>
        </w:rPr>
        <w:t>7.</w:t>
      </w:r>
      <w:r w:rsidRPr="00404DB0">
        <w:rPr>
          <w:rFonts w:ascii="Times New Roman" w:hAnsi="Times New Roman" w:cs="Times New Roman"/>
          <w:b/>
          <w:bCs/>
        </w:rPr>
        <w:t xml:space="preserve">5 Comparison of </w:t>
      </w:r>
      <w:r w:rsidRPr="00404DB0">
        <w:rPr>
          <w:rFonts w:ascii="Times New Roman" w:hAnsi="Times New Roman" w:cs="Times New Roman"/>
          <w:b/>
          <w:bCs/>
          <w:u w:val="single"/>
        </w:rPr>
        <w:t>frequency of social activities</w:t>
      </w:r>
      <w:r w:rsidRPr="00404DB0">
        <w:rPr>
          <w:rFonts w:ascii="Times New Roman" w:hAnsi="Times New Roman" w:cs="Times New Roman"/>
          <w:b/>
          <w:bCs/>
        </w:rPr>
        <w:t xml:space="preserve"> between recently qualified teachers and other occupational groups</w:t>
      </w:r>
    </w:p>
    <w:p w14:paraId="6C7FE21A" w14:textId="77777777" w:rsidR="00F309E0" w:rsidRPr="00404DB0" w:rsidRDefault="00F309E0" w:rsidP="00577A69">
      <w:pPr>
        <w:pStyle w:val="NoSpacing"/>
        <w:jc w:val="center"/>
        <w:rPr>
          <w:rFonts w:ascii="Times New Roman" w:hAnsi="Times New Roman" w:cs="Times New Roman"/>
          <w:b/>
          <w:bCs/>
        </w:rPr>
      </w:pPr>
    </w:p>
    <w:tbl>
      <w:tblPr>
        <w:tblW w:w="0" w:type="auto"/>
        <w:jc w:val="center"/>
        <w:tblLook w:val="04A0" w:firstRow="1" w:lastRow="0" w:firstColumn="1" w:lastColumn="0" w:noHBand="0" w:noVBand="1"/>
      </w:tblPr>
      <w:tblGrid>
        <w:gridCol w:w="2590"/>
        <w:gridCol w:w="643"/>
        <w:gridCol w:w="643"/>
        <w:gridCol w:w="643"/>
        <w:gridCol w:w="643"/>
        <w:gridCol w:w="644"/>
        <w:gridCol w:w="644"/>
        <w:gridCol w:w="644"/>
        <w:gridCol w:w="644"/>
        <w:gridCol w:w="644"/>
        <w:gridCol w:w="644"/>
      </w:tblGrid>
      <w:tr w:rsidR="00577A69" w:rsidRPr="00404DB0" w14:paraId="1C6199EE" w14:textId="77777777" w:rsidTr="00440E80">
        <w:trPr>
          <w:trHeight w:val="570"/>
          <w:jc w:val="center"/>
        </w:trPr>
        <w:tc>
          <w:tcPr>
            <w:tcW w:w="3782" w:type="dxa"/>
            <w:tcBorders>
              <w:top w:val="single" w:sz="4" w:space="0" w:color="auto"/>
              <w:left w:val="nil"/>
              <w:bottom w:val="single" w:sz="4" w:space="0" w:color="auto"/>
              <w:right w:val="nil"/>
            </w:tcBorders>
            <w:shd w:val="clear" w:color="000000" w:fill="B4C6E7"/>
            <w:vAlign w:val="center"/>
            <w:hideMark/>
          </w:tcPr>
          <w:p w14:paraId="2DE752B9"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 </w:t>
            </w:r>
          </w:p>
        </w:tc>
        <w:tc>
          <w:tcPr>
            <w:tcW w:w="0" w:type="auto"/>
            <w:gridSpan w:val="2"/>
            <w:tcBorders>
              <w:top w:val="single" w:sz="4" w:space="0" w:color="auto"/>
              <w:left w:val="nil"/>
              <w:bottom w:val="single" w:sz="4" w:space="0" w:color="auto"/>
              <w:right w:val="nil"/>
            </w:tcBorders>
            <w:shd w:val="clear" w:color="000000" w:fill="B4C6E7"/>
            <w:vAlign w:val="center"/>
            <w:hideMark/>
          </w:tcPr>
          <w:p w14:paraId="1E5D3DE1"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Teachers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7A1B9CD4"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Lower managerial</w:t>
            </w:r>
          </w:p>
        </w:tc>
        <w:tc>
          <w:tcPr>
            <w:tcW w:w="0" w:type="auto"/>
            <w:gridSpan w:val="2"/>
            <w:tcBorders>
              <w:top w:val="single" w:sz="4" w:space="0" w:color="auto"/>
              <w:left w:val="nil"/>
              <w:bottom w:val="single" w:sz="4" w:space="0" w:color="auto"/>
              <w:right w:val="nil"/>
            </w:tcBorders>
            <w:shd w:val="clear" w:color="000000" w:fill="B4C6E7"/>
            <w:vAlign w:val="center"/>
            <w:hideMark/>
          </w:tcPr>
          <w:p w14:paraId="105C64C8"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Graduates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4393188F"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Health workers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7D21FFDC"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Office job</w:t>
            </w:r>
          </w:p>
        </w:tc>
      </w:tr>
      <w:tr w:rsidR="00577A69" w:rsidRPr="00404DB0" w14:paraId="4E0E683E" w14:textId="77777777" w:rsidTr="00440E80">
        <w:trPr>
          <w:trHeight w:val="300"/>
          <w:jc w:val="center"/>
        </w:trPr>
        <w:tc>
          <w:tcPr>
            <w:tcW w:w="3782" w:type="dxa"/>
            <w:tcBorders>
              <w:top w:val="nil"/>
              <w:left w:val="nil"/>
              <w:bottom w:val="single" w:sz="4" w:space="0" w:color="auto"/>
              <w:right w:val="nil"/>
            </w:tcBorders>
            <w:shd w:val="clear" w:color="000000" w:fill="B4C6E7"/>
            <w:noWrap/>
            <w:vAlign w:val="center"/>
            <w:hideMark/>
          </w:tcPr>
          <w:p w14:paraId="675AEE70"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 </w:t>
            </w:r>
          </w:p>
        </w:tc>
        <w:tc>
          <w:tcPr>
            <w:tcW w:w="0" w:type="auto"/>
            <w:tcBorders>
              <w:top w:val="nil"/>
              <w:left w:val="nil"/>
              <w:bottom w:val="single" w:sz="4" w:space="0" w:color="auto"/>
              <w:right w:val="nil"/>
            </w:tcBorders>
            <w:shd w:val="clear" w:color="000000" w:fill="B4C6E7"/>
            <w:noWrap/>
            <w:vAlign w:val="center"/>
            <w:hideMark/>
          </w:tcPr>
          <w:p w14:paraId="267A3A9F"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3A27A9DF"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1EACAE20"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61A0BA7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6E1F6EC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46EAB86A"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35B1A3C8"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7AE5115C"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single" w:sz="4" w:space="0" w:color="auto"/>
              <w:right w:val="nil"/>
            </w:tcBorders>
            <w:shd w:val="clear" w:color="000000" w:fill="B4C6E7"/>
            <w:noWrap/>
            <w:vAlign w:val="center"/>
            <w:hideMark/>
          </w:tcPr>
          <w:p w14:paraId="40D7F13B"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17</w:t>
            </w:r>
          </w:p>
        </w:tc>
        <w:tc>
          <w:tcPr>
            <w:tcW w:w="0" w:type="auto"/>
            <w:tcBorders>
              <w:top w:val="nil"/>
              <w:left w:val="nil"/>
              <w:bottom w:val="single" w:sz="4" w:space="0" w:color="auto"/>
              <w:right w:val="nil"/>
            </w:tcBorders>
            <w:shd w:val="clear" w:color="000000" w:fill="B4C6E7"/>
            <w:noWrap/>
            <w:vAlign w:val="center"/>
            <w:hideMark/>
          </w:tcPr>
          <w:p w14:paraId="374E332F"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r>
      <w:tr w:rsidR="00577A69" w:rsidRPr="00404DB0" w14:paraId="615EFEC2" w14:textId="77777777" w:rsidTr="00440E80">
        <w:trPr>
          <w:trHeight w:val="300"/>
          <w:jc w:val="center"/>
        </w:trPr>
        <w:tc>
          <w:tcPr>
            <w:tcW w:w="3782" w:type="dxa"/>
            <w:tcBorders>
              <w:top w:val="nil"/>
              <w:left w:val="nil"/>
              <w:bottom w:val="nil"/>
              <w:right w:val="nil"/>
            </w:tcBorders>
            <w:shd w:val="clear" w:color="auto" w:fill="auto"/>
            <w:noWrap/>
            <w:vAlign w:val="center"/>
            <w:hideMark/>
          </w:tcPr>
          <w:p w14:paraId="19C1E805" w14:textId="55D8DD9D"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Sport/exercise weekly</w:t>
            </w:r>
          </w:p>
        </w:tc>
        <w:tc>
          <w:tcPr>
            <w:tcW w:w="0" w:type="auto"/>
            <w:tcBorders>
              <w:top w:val="nil"/>
              <w:left w:val="nil"/>
              <w:bottom w:val="nil"/>
              <w:right w:val="nil"/>
            </w:tcBorders>
            <w:shd w:val="clear" w:color="auto" w:fill="auto"/>
            <w:noWrap/>
            <w:vAlign w:val="center"/>
            <w:hideMark/>
          </w:tcPr>
          <w:p w14:paraId="3EEEC4F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67%</w:t>
            </w:r>
          </w:p>
        </w:tc>
        <w:tc>
          <w:tcPr>
            <w:tcW w:w="0" w:type="auto"/>
            <w:tcBorders>
              <w:top w:val="nil"/>
              <w:left w:val="nil"/>
              <w:bottom w:val="nil"/>
              <w:right w:val="nil"/>
            </w:tcBorders>
            <w:shd w:val="clear" w:color="auto" w:fill="auto"/>
            <w:noWrap/>
            <w:vAlign w:val="center"/>
            <w:hideMark/>
          </w:tcPr>
          <w:p w14:paraId="6906CD3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72%</w:t>
            </w:r>
          </w:p>
        </w:tc>
        <w:tc>
          <w:tcPr>
            <w:tcW w:w="0" w:type="auto"/>
            <w:tcBorders>
              <w:top w:val="nil"/>
              <w:left w:val="nil"/>
              <w:bottom w:val="nil"/>
              <w:right w:val="nil"/>
            </w:tcBorders>
            <w:shd w:val="clear" w:color="auto" w:fill="auto"/>
            <w:noWrap/>
            <w:vAlign w:val="center"/>
            <w:hideMark/>
          </w:tcPr>
          <w:p w14:paraId="44FC55A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54%</w:t>
            </w:r>
          </w:p>
        </w:tc>
        <w:tc>
          <w:tcPr>
            <w:tcW w:w="0" w:type="auto"/>
            <w:tcBorders>
              <w:top w:val="nil"/>
              <w:left w:val="nil"/>
              <w:bottom w:val="nil"/>
              <w:right w:val="nil"/>
            </w:tcBorders>
            <w:shd w:val="clear" w:color="auto" w:fill="auto"/>
            <w:noWrap/>
            <w:vAlign w:val="center"/>
            <w:hideMark/>
          </w:tcPr>
          <w:p w14:paraId="1F6EE63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66%</w:t>
            </w:r>
          </w:p>
        </w:tc>
        <w:tc>
          <w:tcPr>
            <w:tcW w:w="0" w:type="auto"/>
            <w:tcBorders>
              <w:top w:val="nil"/>
              <w:left w:val="nil"/>
              <w:bottom w:val="nil"/>
              <w:right w:val="nil"/>
            </w:tcBorders>
            <w:shd w:val="clear" w:color="auto" w:fill="auto"/>
            <w:noWrap/>
            <w:vAlign w:val="center"/>
            <w:hideMark/>
          </w:tcPr>
          <w:p w14:paraId="7C82EA8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62%</w:t>
            </w:r>
          </w:p>
        </w:tc>
        <w:tc>
          <w:tcPr>
            <w:tcW w:w="0" w:type="auto"/>
            <w:tcBorders>
              <w:top w:val="nil"/>
              <w:left w:val="nil"/>
              <w:bottom w:val="nil"/>
              <w:right w:val="nil"/>
            </w:tcBorders>
            <w:shd w:val="clear" w:color="auto" w:fill="auto"/>
            <w:noWrap/>
            <w:vAlign w:val="center"/>
            <w:hideMark/>
          </w:tcPr>
          <w:p w14:paraId="456C245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71%</w:t>
            </w:r>
          </w:p>
        </w:tc>
        <w:tc>
          <w:tcPr>
            <w:tcW w:w="0" w:type="auto"/>
            <w:tcBorders>
              <w:top w:val="nil"/>
              <w:left w:val="nil"/>
              <w:bottom w:val="nil"/>
              <w:right w:val="nil"/>
            </w:tcBorders>
            <w:shd w:val="clear" w:color="auto" w:fill="auto"/>
            <w:noWrap/>
            <w:vAlign w:val="center"/>
            <w:hideMark/>
          </w:tcPr>
          <w:p w14:paraId="60BC169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50%</w:t>
            </w:r>
          </w:p>
        </w:tc>
        <w:tc>
          <w:tcPr>
            <w:tcW w:w="0" w:type="auto"/>
            <w:tcBorders>
              <w:top w:val="nil"/>
              <w:left w:val="nil"/>
              <w:bottom w:val="nil"/>
              <w:right w:val="nil"/>
            </w:tcBorders>
            <w:shd w:val="clear" w:color="auto" w:fill="auto"/>
            <w:noWrap/>
            <w:vAlign w:val="center"/>
            <w:hideMark/>
          </w:tcPr>
          <w:p w14:paraId="2ABAB28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66%</w:t>
            </w:r>
          </w:p>
        </w:tc>
        <w:tc>
          <w:tcPr>
            <w:tcW w:w="0" w:type="auto"/>
            <w:tcBorders>
              <w:top w:val="nil"/>
              <w:left w:val="nil"/>
              <w:bottom w:val="nil"/>
              <w:right w:val="nil"/>
            </w:tcBorders>
            <w:shd w:val="clear" w:color="auto" w:fill="auto"/>
            <w:noWrap/>
            <w:vAlign w:val="center"/>
            <w:hideMark/>
          </w:tcPr>
          <w:p w14:paraId="575F0C6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67%</w:t>
            </w:r>
          </w:p>
        </w:tc>
        <w:tc>
          <w:tcPr>
            <w:tcW w:w="0" w:type="auto"/>
            <w:tcBorders>
              <w:top w:val="nil"/>
              <w:left w:val="nil"/>
              <w:bottom w:val="nil"/>
              <w:right w:val="nil"/>
            </w:tcBorders>
            <w:shd w:val="clear" w:color="auto" w:fill="auto"/>
            <w:noWrap/>
            <w:vAlign w:val="bottom"/>
            <w:hideMark/>
          </w:tcPr>
          <w:p w14:paraId="746BA9D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68%</w:t>
            </w:r>
          </w:p>
        </w:tc>
      </w:tr>
      <w:tr w:rsidR="00577A69" w:rsidRPr="00404DB0" w14:paraId="1CCB0AA6" w14:textId="77777777" w:rsidTr="00440E80">
        <w:trPr>
          <w:trHeight w:val="300"/>
          <w:jc w:val="center"/>
        </w:trPr>
        <w:tc>
          <w:tcPr>
            <w:tcW w:w="3782" w:type="dxa"/>
            <w:tcBorders>
              <w:top w:val="nil"/>
              <w:left w:val="nil"/>
              <w:bottom w:val="nil"/>
              <w:right w:val="nil"/>
            </w:tcBorders>
            <w:shd w:val="clear" w:color="auto" w:fill="auto"/>
            <w:noWrap/>
            <w:vAlign w:val="center"/>
            <w:hideMark/>
          </w:tcPr>
          <w:p w14:paraId="1460431A" w14:textId="41C936EB"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Visit museum/gallery monthly</w:t>
            </w:r>
          </w:p>
        </w:tc>
        <w:tc>
          <w:tcPr>
            <w:tcW w:w="0" w:type="auto"/>
            <w:tcBorders>
              <w:top w:val="nil"/>
              <w:left w:val="nil"/>
              <w:bottom w:val="nil"/>
              <w:right w:val="nil"/>
            </w:tcBorders>
            <w:shd w:val="clear" w:color="auto" w:fill="auto"/>
            <w:noWrap/>
            <w:vAlign w:val="bottom"/>
            <w:hideMark/>
          </w:tcPr>
          <w:p w14:paraId="4BFB022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778D82F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13%</w:t>
            </w:r>
          </w:p>
        </w:tc>
        <w:tc>
          <w:tcPr>
            <w:tcW w:w="0" w:type="auto"/>
            <w:tcBorders>
              <w:top w:val="nil"/>
              <w:left w:val="nil"/>
              <w:bottom w:val="nil"/>
              <w:right w:val="nil"/>
            </w:tcBorders>
            <w:shd w:val="clear" w:color="auto" w:fill="auto"/>
            <w:noWrap/>
            <w:vAlign w:val="bottom"/>
            <w:hideMark/>
          </w:tcPr>
          <w:p w14:paraId="0AE6AC9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4E786C7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14%</w:t>
            </w:r>
          </w:p>
        </w:tc>
        <w:tc>
          <w:tcPr>
            <w:tcW w:w="0" w:type="auto"/>
            <w:tcBorders>
              <w:top w:val="nil"/>
              <w:left w:val="nil"/>
              <w:bottom w:val="nil"/>
              <w:right w:val="nil"/>
            </w:tcBorders>
            <w:shd w:val="clear" w:color="auto" w:fill="auto"/>
            <w:noWrap/>
            <w:vAlign w:val="bottom"/>
            <w:hideMark/>
          </w:tcPr>
          <w:p w14:paraId="7CE6910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3456E4C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19%</w:t>
            </w:r>
          </w:p>
        </w:tc>
        <w:tc>
          <w:tcPr>
            <w:tcW w:w="0" w:type="auto"/>
            <w:tcBorders>
              <w:top w:val="nil"/>
              <w:left w:val="nil"/>
              <w:bottom w:val="nil"/>
              <w:right w:val="nil"/>
            </w:tcBorders>
            <w:shd w:val="clear" w:color="auto" w:fill="auto"/>
            <w:noWrap/>
            <w:vAlign w:val="bottom"/>
            <w:hideMark/>
          </w:tcPr>
          <w:p w14:paraId="04929BE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0773B3F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10%</w:t>
            </w:r>
          </w:p>
        </w:tc>
        <w:tc>
          <w:tcPr>
            <w:tcW w:w="0" w:type="auto"/>
            <w:tcBorders>
              <w:top w:val="nil"/>
              <w:left w:val="nil"/>
              <w:bottom w:val="nil"/>
              <w:right w:val="nil"/>
            </w:tcBorders>
            <w:shd w:val="clear" w:color="auto" w:fill="auto"/>
            <w:noWrap/>
            <w:vAlign w:val="bottom"/>
            <w:hideMark/>
          </w:tcPr>
          <w:p w14:paraId="7CCB529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1F2D02A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18%</w:t>
            </w:r>
          </w:p>
        </w:tc>
      </w:tr>
      <w:tr w:rsidR="00577A69" w:rsidRPr="00404DB0" w14:paraId="3819BA49" w14:textId="77777777" w:rsidTr="00440E80">
        <w:trPr>
          <w:trHeight w:val="300"/>
          <w:jc w:val="center"/>
        </w:trPr>
        <w:tc>
          <w:tcPr>
            <w:tcW w:w="3782" w:type="dxa"/>
            <w:tcBorders>
              <w:top w:val="nil"/>
              <w:left w:val="nil"/>
              <w:bottom w:val="nil"/>
              <w:right w:val="nil"/>
            </w:tcBorders>
            <w:shd w:val="clear" w:color="auto" w:fill="auto"/>
            <w:noWrap/>
            <w:vAlign w:val="center"/>
            <w:hideMark/>
          </w:tcPr>
          <w:p w14:paraId="34643735" w14:textId="5187FB5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Cinema/concert/theatre monthly</w:t>
            </w:r>
          </w:p>
        </w:tc>
        <w:tc>
          <w:tcPr>
            <w:tcW w:w="0" w:type="auto"/>
            <w:tcBorders>
              <w:top w:val="nil"/>
              <w:left w:val="nil"/>
              <w:bottom w:val="nil"/>
              <w:right w:val="nil"/>
            </w:tcBorders>
            <w:shd w:val="clear" w:color="auto" w:fill="auto"/>
            <w:noWrap/>
            <w:vAlign w:val="bottom"/>
            <w:hideMark/>
          </w:tcPr>
          <w:p w14:paraId="03A6A8E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80%</w:t>
            </w:r>
          </w:p>
        </w:tc>
        <w:tc>
          <w:tcPr>
            <w:tcW w:w="0" w:type="auto"/>
            <w:tcBorders>
              <w:top w:val="nil"/>
              <w:left w:val="nil"/>
              <w:bottom w:val="nil"/>
              <w:right w:val="nil"/>
            </w:tcBorders>
            <w:shd w:val="clear" w:color="auto" w:fill="auto"/>
            <w:noWrap/>
            <w:vAlign w:val="bottom"/>
            <w:hideMark/>
          </w:tcPr>
          <w:p w14:paraId="2BA94AD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55%</w:t>
            </w:r>
          </w:p>
        </w:tc>
        <w:tc>
          <w:tcPr>
            <w:tcW w:w="0" w:type="auto"/>
            <w:tcBorders>
              <w:top w:val="nil"/>
              <w:left w:val="nil"/>
              <w:bottom w:val="nil"/>
              <w:right w:val="nil"/>
            </w:tcBorders>
            <w:shd w:val="clear" w:color="auto" w:fill="auto"/>
            <w:noWrap/>
            <w:vAlign w:val="bottom"/>
            <w:hideMark/>
          </w:tcPr>
          <w:p w14:paraId="18A87C5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74%</w:t>
            </w:r>
          </w:p>
        </w:tc>
        <w:tc>
          <w:tcPr>
            <w:tcW w:w="0" w:type="auto"/>
            <w:tcBorders>
              <w:top w:val="nil"/>
              <w:left w:val="nil"/>
              <w:bottom w:val="nil"/>
              <w:right w:val="nil"/>
            </w:tcBorders>
            <w:shd w:val="clear" w:color="auto" w:fill="auto"/>
            <w:noWrap/>
            <w:vAlign w:val="bottom"/>
            <w:hideMark/>
          </w:tcPr>
          <w:p w14:paraId="12B7AAF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54%</w:t>
            </w:r>
          </w:p>
        </w:tc>
        <w:tc>
          <w:tcPr>
            <w:tcW w:w="0" w:type="auto"/>
            <w:tcBorders>
              <w:top w:val="nil"/>
              <w:left w:val="nil"/>
              <w:bottom w:val="nil"/>
              <w:right w:val="nil"/>
            </w:tcBorders>
            <w:shd w:val="clear" w:color="auto" w:fill="auto"/>
            <w:noWrap/>
            <w:vAlign w:val="bottom"/>
            <w:hideMark/>
          </w:tcPr>
          <w:p w14:paraId="2B27966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77%</w:t>
            </w:r>
          </w:p>
        </w:tc>
        <w:tc>
          <w:tcPr>
            <w:tcW w:w="0" w:type="auto"/>
            <w:tcBorders>
              <w:top w:val="nil"/>
              <w:left w:val="nil"/>
              <w:bottom w:val="nil"/>
              <w:right w:val="nil"/>
            </w:tcBorders>
            <w:shd w:val="clear" w:color="auto" w:fill="auto"/>
            <w:noWrap/>
            <w:vAlign w:val="bottom"/>
            <w:hideMark/>
          </w:tcPr>
          <w:p w14:paraId="28C10BB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60%</w:t>
            </w:r>
          </w:p>
        </w:tc>
        <w:tc>
          <w:tcPr>
            <w:tcW w:w="0" w:type="auto"/>
            <w:tcBorders>
              <w:top w:val="nil"/>
              <w:left w:val="nil"/>
              <w:bottom w:val="nil"/>
              <w:right w:val="nil"/>
            </w:tcBorders>
            <w:shd w:val="clear" w:color="auto" w:fill="auto"/>
            <w:noWrap/>
            <w:vAlign w:val="bottom"/>
            <w:hideMark/>
          </w:tcPr>
          <w:p w14:paraId="10EB245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76%</w:t>
            </w:r>
          </w:p>
        </w:tc>
        <w:tc>
          <w:tcPr>
            <w:tcW w:w="0" w:type="auto"/>
            <w:tcBorders>
              <w:top w:val="nil"/>
              <w:left w:val="nil"/>
              <w:bottom w:val="nil"/>
              <w:right w:val="nil"/>
            </w:tcBorders>
            <w:shd w:val="clear" w:color="auto" w:fill="auto"/>
            <w:noWrap/>
            <w:vAlign w:val="bottom"/>
            <w:hideMark/>
          </w:tcPr>
          <w:p w14:paraId="27DE655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48%</w:t>
            </w:r>
          </w:p>
        </w:tc>
        <w:tc>
          <w:tcPr>
            <w:tcW w:w="0" w:type="auto"/>
            <w:tcBorders>
              <w:top w:val="nil"/>
              <w:left w:val="nil"/>
              <w:bottom w:val="nil"/>
              <w:right w:val="nil"/>
            </w:tcBorders>
            <w:shd w:val="clear" w:color="auto" w:fill="auto"/>
            <w:noWrap/>
            <w:vAlign w:val="bottom"/>
            <w:hideMark/>
          </w:tcPr>
          <w:p w14:paraId="19E3845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77%</w:t>
            </w:r>
          </w:p>
        </w:tc>
        <w:tc>
          <w:tcPr>
            <w:tcW w:w="0" w:type="auto"/>
            <w:tcBorders>
              <w:top w:val="nil"/>
              <w:left w:val="nil"/>
              <w:bottom w:val="nil"/>
              <w:right w:val="nil"/>
            </w:tcBorders>
            <w:shd w:val="clear" w:color="auto" w:fill="auto"/>
            <w:noWrap/>
            <w:vAlign w:val="bottom"/>
            <w:hideMark/>
          </w:tcPr>
          <w:p w14:paraId="4859CCF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63%</w:t>
            </w:r>
          </w:p>
        </w:tc>
      </w:tr>
      <w:tr w:rsidR="00577A69" w:rsidRPr="00404DB0" w14:paraId="132D5480" w14:textId="77777777" w:rsidTr="00440E80">
        <w:trPr>
          <w:trHeight w:val="300"/>
          <w:jc w:val="center"/>
        </w:trPr>
        <w:tc>
          <w:tcPr>
            <w:tcW w:w="3782" w:type="dxa"/>
            <w:tcBorders>
              <w:top w:val="nil"/>
              <w:left w:val="nil"/>
              <w:bottom w:val="nil"/>
              <w:right w:val="nil"/>
            </w:tcBorders>
            <w:shd w:val="clear" w:color="auto" w:fill="auto"/>
            <w:noWrap/>
            <w:vAlign w:val="center"/>
            <w:hideMark/>
          </w:tcPr>
          <w:p w14:paraId="4E0C5B16"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Group activities monthly</w:t>
            </w:r>
          </w:p>
        </w:tc>
        <w:tc>
          <w:tcPr>
            <w:tcW w:w="0" w:type="auto"/>
            <w:tcBorders>
              <w:top w:val="nil"/>
              <w:left w:val="nil"/>
              <w:bottom w:val="nil"/>
              <w:right w:val="nil"/>
            </w:tcBorders>
            <w:shd w:val="clear" w:color="auto" w:fill="auto"/>
            <w:noWrap/>
            <w:vAlign w:val="bottom"/>
            <w:hideMark/>
          </w:tcPr>
          <w:p w14:paraId="4B0F294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1FAFF4F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14%</w:t>
            </w:r>
          </w:p>
        </w:tc>
        <w:tc>
          <w:tcPr>
            <w:tcW w:w="0" w:type="auto"/>
            <w:tcBorders>
              <w:top w:val="nil"/>
              <w:left w:val="nil"/>
              <w:bottom w:val="nil"/>
              <w:right w:val="nil"/>
            </w:tcBorders>
            <w:shd w:val="clear" w:color="auto" w:fill="auto"/>
            <w:noWrap/>
            <w:vAlign w:val="bottom"/>
            <w:hideMark/>
          </w:tcPr>
          <w:p w14:paraId="3C5595F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3A666C8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15%</w:t>
            </w:r>
          </w:p>
        </w:tc>
        <w:tc>
          <w:tcPr>
            <w:tcW w:w="0" w:type="auto"/>
            <w:tcBorders>
              <w:top w:val="nil"/>
              <w:left w:val="nil"/>
              <w:bottom w:val="nil"/>
              <w:right w:val="nil"/>
            </w:tcBorders>
            <w:shd w:val="clear" w:color="auto" w:fill="auto"/>
            <w:noWrap/>
            <w:vAlign w:val="bottom"/>
            <w:hideMark/>
          </w:tcPr>
          <w:p w14:paraId="065E94C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757E0A9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16%</w:t>
            </w:r>
          </w:p>
        </w:tc>
        <w:tc>
          <w:tcPr>
            <w:tcW w:w="0" w:type="auto"/>
            <w:tcBorders>
              <w:top w:val="nil"/>
              <w:left w:val="nil"/>
              <w:bottom w:val="nil"/>
              <w:right w:val="nil"/>
            </w:tcBorders>
            <w:shd w:val="clear" w:color="auto" w:fill="auto"/>
            <w:noWrap/>
            <w:vAlign w:val="bottom"/>
            <w:hideMark/>
          </w:tcPr>
          <w:p w14:paraId="7F69A94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138F37C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17%</w:t>
            </w:r>
          </w:p>
        </w:tc>
        <w:tc>
          <w:tcPr>
            <w:tcW w:w="0" w:type="auto"/>
            <w:tcBorders>
              <w:top w:val="nil"/>
              <w:left w:val="nil"/>
              <w:bottom w:val="nil"/>
              <w:right w:val="nil"/>
            </w:tcBorders>
            <w:shd w:val="clear" w:color="auto" w:fill="auto"/>
            <w:noWrap/>
            <w:vAlign w:val="bottom"/>
            <w:hideMark/>
          </w:tcPr>
          <w:p w14:paraId="785C597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09E0E13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11%</w:t>
            </w:r>
          </w:p>
        </w:tc>
      </w:tr>
      <w:tr w:rsidR="00577A69" w:rsidRPr="00404DB0" w14:paraId="6ABDAD78" w14:textId="77777777" w:rsidTr="00440E80">
        <w:trPr>
          <w:trHeight w:val="300"/>
          <w:jc w:val="center"/>
        </w:trPr>
        <w:tc>
          <w:tcPr>
            <w:tcW w:w="3782" w:type="dxa"/>
            <w:tcBorders>
              <w:top w:val="nil"/>
              <w:left w:val="nil"/>
              <w:bottom w:val="nil"/>
              <w:right w:val="nil"/>
            </w:tcBorders>
            <w:shd w:val="clear" w:color="auto" w:fill="auto"/>
            <w:noWrap/>
            <w:vAlign w:val="center"/>
            <w:hideMark/>
          </w:tcPr>
          <w:p w14:paraId="4D0F7197" w14:textId="31131961"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Pub/bar/club in last month</w:t>
            </w:r>
          </w:p>
        </w:tc>
        <w:tc>
          <w:tcPr>
            <w:tcW w:w="0" w:type="auto"/>
            <w:tcBorders>
              <w:top w:val="nil"/>
              <w:left w:val="nil"/>
              <w:bottom w:val="nil"/>
              <w:right w:val="nil"/>
            </w:tcBorders>
            <w:shd w:val="clear" w:color="auto" w:fill="auto"/>
            <w:noWrap/>
            <w:vAlign w:val="bottom"/>
            <w:hideMark/>
          </w:tcPr>
          <w:p w14:paraId="6485857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76%</w:t>
            </w:r>
          </w:p>
        </w:tc>
        <w:tc>
          <w:tcPr>
            <w:tcW w:w="0" w:type="auto"/>
            <w:tcBorders>
              <w:top w:val="nil"/>
              <w:left w:val="nil"/>
              <w:bottom w:val="nil"/>
              <w:right w:val="nil"/>
            </w:tcBorders>
            <w:shd w:val="clear" w:color="auto" w:fill="auto"/>
            <w:noWrap/>
            <w:vAlign w:val="bottom"/>
            <w:hideMark/>
          </w:tcPr>
          <w:p w14:paraId="715D4D3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70%</w:t>
            </w:r>
          </w:p>
        </w:tc>
        <w:tc>
          <w:tcPr>
            <w:tcW w:w="0" w:type="auto"/>
            <w:tcBorders>
              <w:top w:val="nil"/>
              <w:left w:val="nil"/>
              <w:bottom w:val="nil"/>
              <w:right w:val="nil"/>
            </w:tcBorders>
            <w:shd w:val="clear" w:color="auto" w:fill="auto"/>
            <w:noWrap/>
            <w:vAlign w:val="bottom"/>
            <w:hideMark/>
          </w:tcPr>
          <w:p w14:paraId="236818E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77%</w:t>
            </w:r>
          </w:p>
        </w:tc>
        <w:tc>
          <w:tcPr>
            <w:tcW w:w="0" w:type="auto"/>
            <w:tcBorders>
              <w:top w:val="nil"/>
              <w:left w:val="nil"/>
              <w:bottom w:val="nil"/>
              <w:right w:val="nil"/>
            </w:tcBorders>
            <w:shd w:val="clear" w:color="auto" w:fill="auto"/>
            <w:noWrap/>
            <w:vAlign w:val="bottom"/>
            <w:hideMark/>
          </w:tcPr>
          <w:p w14:paraId="6B908C1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71%</w:t>
            </w:r>
          </w:p>
        </w:tc>
        <w:tc>
          <w:tcPr>
            <w:tcW w:w="0" w:type="auto"/>
            <w:tcBorders>
              <w:top w:val="nil"/>
              <w:left w:val="nil"/>
              <w:bottom w:val="nil"/>
              <w:right w:val="nil"/>
            </w:tcBorders>
            <w:shd w:val="clear" w:color="auto" w:fill="auto"/>
            <w:noWrap/>
            <w:vAlign w:val="bottom"/>
            <w:hideMark/>
          </w:tcPr>
          <w:p w14:paraId="235A57D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71%</w:t>
            </w:r>
          </w:p>
        </w:tc>
        <w:tc>
          <w:tcPr>
            <w:tcW w:w="0" w:type="auto"/>
            <w:tcBorders>
              <w:top w:val="nil"/>
              <w:left w:val="nil"/>
              <w:bottom w:val="nil"/>
              <w:right w:val="nil"/>
            </w:tcBorders>
            <w:shd w:val="clear" w:color="auto" w:fill="auto"/>
            <w:noWrap/>
            <w:vAlign w:val="bottom"/>
            <w:hideMark/>
          </w:tcPr>
          <w:p w14:paraId="5BE7DFA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72%</w:t>
            </w:r>
          </w:p>
        </w:tc>
        <w:tc>
          <w:tcPr>
            <w:tcW w:w="0" w:type="auto"/>
            <w:tcBorders>
              <w:top w:val="nil"/>
              <w:left w:val="nil"/>
              <w:bottom w:val="nil"/>
              <w:right w:val="nil"/>
            </w:tcBorders>
            <w:shd w:val="clear" w:color="auto" w:fill="auto"/>
            <w:noWrap/>
            <w:vAlign w:val="bottom"/>
            <w:hideMark/>
          </w:tcPr>
          <w:p w14:paraId="697B73F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75%</w:t>
            </w:r>
          </w:p>
        </w:tc>
        <w:tc>
          <w:tcPr>
            <w:tcW w:w="0" w:type="auto"/>
            <w:tcBorders>
              <w:top w:val="nil"/>
              <w:left w:val="nil"/>
              <w:bottom w:val="nil"/>
              <w:right w:val="nil"/>
            </w:tcBorders>
            <w:shd w:val="clear" w:color="auto" w:fill="auto"/>
            <w:noWrap/>
            <w:vAlign w:val="bottom"/>
            <w:hideMark/>
          </w:tcPr>
          <w:p w14:paraId="401BA47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59%</w:t>
            </w:r>
          </w:p>
        </w:tc>
        <w:tc>
          <w:tcPr>
            <w:tcW w:w="0" w:type="auto"/>
            <w:tcBorders>
              <w:top w:val="nil"/>
              <w:left w:val="nil"/>
              <w:bottom w:val="nil"/>
              <w:right w:val="nil"/>
            </w:tcBorders>
            <w:shd w:val="clear" w:color="auto" w:fill="auto"/>
            <w:noWrap/>
            <w:vAlign w:val="bottom"/>
            <w:hideMark/>
          </w:tcPr>
          <w:p w14:paraId="7F8140B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79%</w:t>
            </w:r>
          </w:p>
        </w:tc>
        <w:tc>
          <w:tcPr>
            <w:tcW w:w="0" w:type="auto"/>
            <w:tcBorders>
              <w:top w:val="nil"/>
              <w:left w:val="nil"/>
              <w:bottom w:val="nil"/>
              <w:right w:val="nil"/>
            </w:tcBorders>
            <w:shd w:val="clear" w:color="auto" w:fill="auto"/>
            <w:noWrap/>
            <w:vAlign w:val="bottom"/>
            <w:hideMark/>
          </w:tcPr>
          <w:p w14:paraId="1C9DBF3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77%</w:t>
            </w:r>
          </w:p>
        </w:tc>
      </w:tr>
      <w:tr w:rsidR="00577A69" w:rsidRPr="00404DB0" w14:paraId="014D4B4D" w14:textId="77777777" w:rsidTr="00440E80">
        <w:trPr>
          <w:trHeight w:val="300"/>
          <w:jc w:val="center"/>
        </w:trPr>
        <w:tc>
          <w:tcPr>
            <w:tcW w:w="3782" w:type="dxa"/>
            <w:tcBorders>
              <w:top w:val="nil"/>
              <w:left w:val="nil"/>
              <w:bottom w:val="nil"/>
              <w:right w:val="nil"/>
            </w:tcBorders>
            <w:shd w:val="clear" w:color="auto" w:fill="auto"/>
            <w:noWrap/>
            <w:vAlign w:val="center"/>
            <w:hideMark/>
          </w:tcPr>
          <w:p w14:paraId="09B4C48A"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Meal out weekly</w:t>
            </w:r>
          </w:p>
        </w:tc>
        <w:tc>
          <w:tcPr>
            <w:tcW w:w="0" w:type="auto"/>
            <w:tcBorders>
              <w:top w:val="nil"/>
              <w:left w:val="nil"/>
              <w:bottom w:val="nil"/>
              <w:right w:val="nil"/>
            </w:tcBorders>
            <w:shd w:val="clear" w:color="auto" w:fill="auto"/>
            <w:noWrap/>
            <w:vAlign w:val="bottom"/>
            <w:hideMark/>
          </w:tcPr>
          <w:p w14:paraId="76E4A3D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3C6E7AC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26%</w:t>
            </w:r>
          </w:p>
        </w:tc>
        <w:tc>
          <w:tcPr>
            <w:tcW w:w="0" w:type="auto"/>
            <w:tcBorders>
              <w:top w:val="nil"/>
              <w:left w:val="nil"/>
              <w:bottom w:val="nil"/>
              <w:right w:val="nil"/>
            </w:tcBorders>
            <w:shd w:val="clear" w:color="auto" w:fill="auto"/>
            <w:noWrap/>
            <w:vAlign w:val="bottom"/>
            <w:hideMark/>
          </w:tcPr>
          <w:p w14:paraId="7568C79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4FBD8E2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33%</w:t>
            </w:r>
          </w:p>
        </w:tc>
        <w:tc>
          <w:tcPr>
            <w:tcW w:w="0" w:type="auto"/>
            <w:tcBorders>
              <w:top w:val="nil"/>
              <w:left w:val="nil"/>
              <w:bottom w:val="nil"/>
              <w:right w:val="nil"/>
            </w:tcBorders>
            <w:shd w:val="clear" w:color="auto" w:fill="auto"/>
            <w:noWrap/>
            <w:vAlign w:val="bottom"/>
            <w:hideMark/>
          </w:tcPr>
          <w:p w14:paraId="36040F5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54CC6E6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32%</w:t>
            </w:r>
          </w:p>
        </w:tc>
        <w:tc>
          <w:tcPr>
            <w:tcW w:w="0" w:type="auto"/>
            <w:tcBorders>
              <w:top w:val="nil"/>
              <w:left w:val="nil"/>
              <w:bottom w:val="nil"/>
              <w:right w:val="nil"/>
            </w:tcBorders>
            <w:shd w:val="clear" w:color="auto" w:fill="auto"/>
            <w:noWrap/>
            <w:vAlign w:val="bottom"/>
            <w:hideMark/>
          </w:tcPr>
          <w:p w14:paraId="41B3D59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2B168F0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29%</w:t>
            </w:r>
          </w:p>
        </w:tc>
        <w:tc>
          <w:tcPr>
            <w:tcW w:w="0" w:type="auto"/>
            <w:tcBorders>
              <w:top w:val="nil"/>
              <w:left w:val="nil"/>
              <w:bottom w:val="nil"/>
              <w:right w:val="nil"/>
            </w:tcBorders>
            <w:shd w:val="clear" w:color="auto" w:fill="auto"/>
            <w:noWrap/>
            <w:vAlign w:val="bottom"/>
            <w:hideMark/>
          </w:tcPr>
          <w:p w14:paraId="1B78B7D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nil"/>
              <w:right w:val="nil"/>
            </w:tcBorders>
            <w:shd w:val="clear" w:color="auto" w:fill="auto"/>
            <w:noWrap/>
            <w:vAlign w:val="bottom"/>
            <w:hideMark/>
          </w:tcPr>
          <w:p w14:paraId="013249F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w:t>
            </w:r>
          </w:p>
        </w:tc>
      </w:tr>
      <w:tr w:rsidR="00577A69" w:rsidRPr="00404DB0" w14:paraId="10829F5E" w14:textId="77777777" w:rsidTr="00440E80">
        <w:trPr>
          <w:trHeight w:val="300"/>
          <w:jc w:val="center"/>
        </w:trPr>
        <w:tc>
          <w:tcPr>
            <w:tcW w:w="3782" w:type="dxa"/>
            <w:tcBorders>
              <w:top w:val="nil"/>
              <w:left w:val="nil"/>
              <w:bottom w:val="single" w:sz="4" w:space="0" w:color="auto"/>
              <w:right w:val="nil"/>
            </w:tcBorders>
            <w:shd w:val="clear" w:color="auto" w:fill="auto"/>
            <w:noWrap/>
            <w:vAlign w:val="center"/>
            <w:hideMark/>
          </w:tcPr>
          <w:p w14:paraId="0D4E7B08"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Meet up with friends weekly</w:t>
            </w:r>
          </w:p>
        </w:tc>
        <w:tc>
          <w:tcPr>
            <w:tcW w:w="0" w:type="auto"/>
            <w:tcBorders>
              <w:top w:val="nil"/>
              <w:left w:val="nil"/>
              <w:bottom w:val="single" w:sz="4" w:space="0" w:color="auto"/>
              <w:right w:val="nil"/>
            </w:tcBorders>
            <w:shd w:val="clear" w:color="auto" w:fill="auto"/>
            <w:noWrap/>
            <w:vAlign w:val="bottom"/>
            <w:hideMark/>
          </w:tcPr>
          <w:p w14:paraId="16D2876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single" w:sz="4" w:space="0" w:color="auto"/>
              <w:right w:val="nil"/>
            </w:tcBorders>
            <w:shd w:val="clear" w:color="auto" w:fill="auto"/>
            <w:noWrap/>
            <w:vAlign w:val="bottom"/>
            <w:hideMark/>
          </w:tcPr>
          <w:p w14:paraId="25A1736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61%</w:t>
            </w:r>
          </w:p>
        </w:tc>
        <w:tc>
          <w:tcPr>
            <w:tcW w:w="0" w:type="auto"/>
            <w:tcBorders>
              <w:top w:val="nil"/>
              <w:left w:val="nil"/>
              <w:bottom w:val="single" w:sz="4" w:space="0" w:color="auto"/>
              <w:right w:val="nil"/>
            </w:tcBorders>
            <w:shd w:val="clear" w:color="auto" w:fill="auto"/>
            <w:noWrap/>
            <w:vAlign w:val="bottom"/>
            <w:hideMark/>
          </w:tcPr>
          <w:p w14:paraId="3DD4EFE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single" w:sz="4" w:space="0" w:color="auto"/>
              <w:right w:val="nil"/>
            </w:tcBorders>
            <w:shd w:val="clear" w:color="auto" w:fill="auto"/>
            <w:noWrap/>
            <w:vAlign w:val="bottom"/>
            <w:hideMark/>
          </w:tcPr>
          <w:p w14:paraId="2D03BD8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68%</w:t>
            </w:r>
          </w:p>
        </w:tc>
        <w:tc>
          <w:tcPr>
            <w:tcW w:w="0" w:type="auto"/>
            <w:tcBorders>
              <w:top w:val="nil"/>
              <w:left w:val="nil"/>
              <w:bottom w:val="single" w:sz="4" w:space="0" w:color="auto"/>
              <w:right w:val="nil"/>
            </w:tcBorders>
            <w:shd w:val="clear" w:color="auto" w:fill="auto"/>
            <w:noWrap/>
            <w:vAlign w:val="bottom"/>
            <w:hideMark/>
          </w:tcPr>
          <w:p w14:paraId="038A59E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single" w:sz="4" w:space="0" w:color="auto"/>
              <w:right w:val="nil"/>
            </w:tcBorders>
            <w:shd w:val="clear" w:color="auto" w:fill="auto"/>
            <w:noWrap/>
            <w:vAlign w:val="bottom"/>
            <w:hideMark/>
          </w:tcPr>
          <w:p w14:paraId="6DA8C54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65%</w:t>
            </w:r>
          </w:p>
        </w:tc>
        <w:tc>
          <w:tcPr>
            <w:tcW w:w="0" w:type="auto"/>
            <w:tcBorders>
              <w:top w:val="nil"/>
              <w:left w:val="nil"/>
              <w:bottom w:val="single" w:sz="4" w:space="0" w:color="auto"/>
              <w:right w:val="nil"/>
            </w:tcBorders>
            <w:shd w:val="clear" w:color="auto" w:fill="auto"/>
            <w:noWrap/>
            <w:vAlign w:val="bottom"/>
            <w:hideMark/>
          </w:tcPr>
          <w:p w14:paraId="7EA5B32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single" w:sz="4" w:space="0" w:color="auto"/>
              <w:right w:val="nil"/>
            </w:tcBorders>
            <w:shd w:val="clear" w:color="auto" w:fill="auto"/>
            <w:noWrap/>
            <w:vAlign w:val="bottom"/>
            <w:hideMark/>
          </w:tcPr>
          <w:p w14:paraId="35D7929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63%</w:t>
            </w:r>
          </w:p>
        </w:tc>
        <w:tc>
          <w:tcPr>
            <w:tcW w:w="0" w:type="auto"/>
            <w:tcBorders>
              <w:top w:val="nil"/>
              <w:left w:val="nil"/>
              <w:bottom w:val="single" w:sz="4" w:space="0" w:color="auto"/>
              <w:right w:val="nil"/>
            </w:tcBorders>
            <w:shd w:val="clear" w:color="auto" w:fill="auto"/>
            <w:noWrap/>
            <w:vAlign w:val="bottom"/>
            <w:hideMark/>
          </w:tcPr>
          <w:p w14:paraId="2A1FDBE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w:t>
            </w:r>
          </w:p>
        </w:tc>
        <w:tc>
          <w:tcPr>
            <w:tcW w:w="0" w:type="auto"/>
            <w:tcBorders>
              <w:top w:val="nil"/>
              <w:left w:val="nil"/>
              <w:bottom w:val="single" w:sz="4" w:space="0" w:color="auto"/>
              <w:right w:val="nil"/>
            </w:tcBorders>
            <w:shd w:val="clear" w:color="auto" w:fill="auto"/>
            <w:noWrap/>
            <w:vAlign w:val="bottom"/>
            <w:hideMark/>
          </w:tcPr>
          <w:p w14:paraId="23445BC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72%</w:t>
            </w:r>
          </w:p>
        </w:tc>
      </w:tr>
    </w:tbl>
    <w:p w14:paraId="1A2D5CD8" w14:textId="44C161C0" w:rsidR="0091393E" w:rsidRPr="00A006FE" w:rsidRDefault="00577A69" w:rsidP="008B4E20">
      <w:pPr>
        <w:pStyle w:val="NoSpacing"/>
        <w:spacing w:after="240"/>
        <w:jc w:val="both"/>
        <w:rPr>
          <w:rFonts w:ascii="Times New Roman" w:hAnsi="Times New Roman" w:cs="Times New Roman"/>
          <w:bCs/>
          <w:sz w:val="20"/>
          <w:szCs w:val="20"/>
        </w:rPr>
      </w:pPr>
      <w:r w:rsidRPr="008B4E20">
        <w:rPr>
          <w:rFonts w:ascii="Times New Roman" w:hAnsi="Times New Roman" w:cs="Times New Roman"/>
          <w:sz w:val="20"/>
          <w:szCs w:val="20"/>
        </w:rPr>
        <w:t>Notes:</w:t>
      </w:r>
      <w:r w:rsidRPr="00A006FE">
        <w:rPr>
          <w:rFonts w:ascii="Times New Roman" w:hAnsi="Times New Roman" w:cs="Times New Roman"/>
          <w:bCs/>
          <w:sz w:val="20"/>
          <w:szCs w:val="20"/>
        </w:rPr>
        <w:t xml:space="preserve"> Figures refer </w:t>
      </w:r>
      <w:r w:rsidR="00CE40C4">
        <w:rPr>
          <w:rFonts w:ascii="Times New Roman" w:hAnsi="Times New Roman" w:cs="Times New Roman"/>
          <w:bCs/>
          <w:sz w:val="20"/>
          <w:szCs w:val="20"/>
        </w:rPr>
        <w:t xml:space="preserve">to </w:t>
      </w:r>
      <w:r w:rsidRPr="00A006FE">
        <w:rPr>
          <w:rFonts w:ascii="Times New Roman" w:hAnsi="Times New Roman" w:cs="Times New Roman"/>
          <w:bCs/>
          <w:sz w:val="20"/>
          <w:szCs w:val="20"/>
        </w:rPr>
        <w:t>unconditional percentages with the age 26 survey weight applied. Sample sizes are approximately 260 (teachers), 1,561 (lower managerial), 2,316 (graduates), 196 (health workers) and 238 (office jobs).</w:t>
      </w:r>
      <w:r w:rsidR="00875EB6">
        <w:rPr>
          <w:rFonts w:ascii="Times New Roman" w:hAnsi="Times New Roman" w:cs="Times New Roman"/>
          <w:bCs/>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Next Steps dataset</w:t>
      </w:r>
      <w:r w:rsidR="00875EB6" w:rsidRPr="00C15BFD">
        <w:rPr>
          <w:rFonts w:ascii="Times New Roman" w:hAnsi="Times New Roman" w:cs="Times New Roman"/>
          <w:sz w:val="20"/>
          <w:szCs w:val="20"/>
        </w:rPr>
        <w:t>.</w:t>
      </w:r>
    </w:p>
    <w:p w14:paraId="15F0BCF8" w14:textId="37D8C041" w:rsidR="00577A69" w:rsidRPr="00404DB0" w:rsidRDefault="00577A69" w:rsidP="008B4E20">
      <w:pPr>
        <w:pStyle w:val="NoSpacing"/>
        <w:spacing w:after="160" w:line="360" w:lineRule="auto"/>
        <w:jc w:val="both"/>
        <w:rPr>
          <w:rFonts w:ascii="Times New Roman" w:hAnsi="Times New Roman" w:cs="Times New Roman"/>
          <w:u w:val="single"/>
        </w:rPr>
      </w:pPr>
      <w:r w:rsidRPr="00404DB0">
        <w:rPr>
          <w:rFonts w:ascii="Times New Roman" w:hAnsi="Times New Roman" w:cs="Times New Roman"/>
        </w:rPr>
        <w:t>In general, there is little sign that junior teachers have a less active social life outside of work than other young people. Although they are less likely to go to the cinema, concert or theatre at age 26 than at age 17, the same pattern is also observed for other occupational groups. Junior teachers were also more likely to do regular exercise at age 26 (72%) than at age 17 (67%), with a similar increase also observed for graduates and other lower</w:t>
      </w:r>
      <w:r w:rsidR="00623C78">
        <w:rPr>
          <w:rFonts w:ascii="Times New Roman" w:hAnsi="Times New Roman" w:cs="Times New Roman"/>
        </w:rPr>
        <w:t xml:space="preserve"> </w:t>
      </w:r>
      <w:r w:rsidRPr="00404DB0">
        <w:rPr>
          <w:rFonts w:ascii="Times New Roman" w:hAnsi="Times New Roman" w:cs="Times New Roman"/>
        </w:rPr>
        <w:t>managerial workers. More generally, at age 26, junior teachers are just as likely to participate in sport, visit museum</w:t>
      </w:r>
      <w:r w:rsidR="00CE40C4">
        <w:rPr>
          <w:rFonts w:ascii="Times New Roman" w:hAnsi="Times New Roman" w:cs="Times New Roman"/>
        </w:rPr>
        <w:t>s</w:t>
      </w:r>
      <w:r w:rsidRPr="00404DB0">
        <w:rPr>
          <w:rFonts w:ascii="Times New Roman" w:hAnsi="Times New Roman" w:cs="Times New Roman"/>
        </w:rPr>
        <w:t>/galleries, participate in group activities and go to the pub as other occupational groups. Similarly, the social activities of teachers appear most different to office workers, with the latter more regularly going to a pub (70</w:t>
      </w:r>
      <w:r w:rsidR="00F04C6A">
        <w:rPr>
          <w:rFonts w:ascii="Times New Roman" w:hAnsi="Times New Roman" w:cs="Times New Roman"/>
        </w:rPr>
        <w:t>%</w:t>
      </w:r>
      <w:r w:rsidRPr="00404DB0">
        <w:rPr>
          <w:rFonts w:ascii="Times New Roman" w:hAnsi="Times New Roman" w:cs="Times New Roman"/>
        </w:rPr>
        <w:t xml:space="preserve"> versus 77</w:t>
      </w:r>
      <w:r w:rsidR="00F04C6A">
        <w:rPr>
          <w:rFonts w:ascii="Times New Roman" w:hAnsi="Times New Roman" w:cs="Times New Roman"/>
        </w:rPr>
        <w:t>%</w:t>
      </w:r>
      <w:r w:rsidRPr="00404DB0">
        <w:rPr>
          <w:rFonts w:ascii="Times New Roman" w:hAnsi="Times New Roman" w:cs="Times New Roman"/>
        </w:rPr>
        <w:t>), having meals out (26</w:t>
      </w:r>
      <w:r w:rsidR="00F04C6A">
        <w:rPr>
          <w:rFonts w:ascii="Times New Roman" w:hAnsi="Times New Roman" w:cs="Times New Roman"/>
        </w:rPr>
        <w:t>%</w:t>
      </w:r>
      <w:r w:rsidRPr="00404DB0">
        <w:rPr>
          <w:rFonts w:ascii="Times New Roman" w:hAnsi="Times New Roman" w:cs="Times New Roman"/>
        </w:rPr>
        <w:t xml:space="preserve"> versus 40</w:t>
      </w:r>
      <w:r w:rsidR="00F04C6A">
        <w:rPr>
          <w:rFonts w:ascii="Times New Roman" w:hAnsi="Times New Roman" w:cs="Times New Roman"/>
        </w:rPr>
        <w:t>%</w:t>
      </w:r>
      <w:r w:rsidRPr="00404DB0">
        <w:rPr>
          <w:rFonts w:ascii="Times New Roman" w:hAnsi="Times New Roman" w:cs="Times New Roman"/>
        </w:rPr>
        <w:t>) or meeting up with their friends (61</w:t>
      </w:r>
      <w:r w:rsidR="00F04C6A">
        <w:rPr>
          <w:rFonts w:ascii="Times New Roman" w:hAnsi="Times New Roman" w:cs="Times New Roman"/>
        </w:rPr>
        <w:t>%</w:t>
      </w:r>
      <w:r w:rsidRPr="00404DB0">
        <w:rPr>
          <w:rFonts w:ascii="Times New Roman" w:hAnsi="Times New Roman" w:cs="Times New Roman"/>
        </w:rPr>
        <w:t xml:space="preserve"> versus 72</w:t>
      </w:r>
      <w:r w:rsidR="00F04C6A">
        <w:rPr>
          <w:rFonts w:ascii="Times New Roman" w:hAnsi="Times New Roman" w:cs="Times New Roman"/>
        </w:rPr>
        <w:t>%</w:t>
      </w:r>
      <w:r w:rsidRPr="00404DB0">
        <w:rPr>
          <w:rFonts w:ascii="Times New Roman" w:hAnsi="Times New Roman" w:cs="Times New Roman"/>
        </w:rPr>
        <w:t xml:space="preserve">). Nevertheless, our overall interpretation of Table </w:t>
      </w:r>
      <w:r>
        <w:rPr>
          <w:rFonts w:ascii="Times New Roman" w:hAnsi="Times New Roman" w:cs="Times New Roman"/>
        </w:rPr>
        <w:t>7.</w:t>
      </w:r>
      <w:r w:rsidRPr="00404DB0">
        <w:rPr>
          <w:rFonts w:ascii="Times New Roman" w:hAnsi="Times New Roman" w:cs="Times New Roman"/>
        </w:rPr>
        <w:t>5 is that there is little suggestion that the work-life balance of junior teachers is substantially different to other occupational groups.</w:t>
      </w:r>
    </w:p>
    <w:p w14:paraId="4F8E315D" w14:textId="77777777" w:rsidR="00577A69" w:rsidRPr="00807E3E" w:rsidRDefault="00577A69" w:rsidP="008B4E20">
      <w:pPr>
        <w:pStyle w:val="NoSpacing"/>
        <w:spacing w:after="160" w:line="360" w:lineRule="auto"/>
        <w:jc w:val="both"/>
        <w:rPr>
          <w:rFonts w:ascii="Times New Roman" w:hAnsi="Times New Roman" w:cs="Times New Roman"/>
          <w:b/>
        </w:rPr>
      </w:pPr>
      <w:r w:rsidRPr="00A006FE">
        <w:rPr>
          <w:rFonts w:ascii="Times New Roman" w:hAnsi="Times New Roman" w:cs="Times New Roman"/>
          <w:b/>
        </w:rPr>
        <w:t>7.6 Alcohol consumption</w:t>
      </w:r>
    </w:p>
    <w:p w14:paraId="1D088A43" w14:textId="70CFED5B" w:rsidR="00577A69" w:rsidRPr="00404DB0" w:rsidRDefault="00577A69" w:rsidP="008B4E20">
      <w:pPr>
        <w:pStyle w:val="NoSpacing"/>
        <w:spacing w:after="160" w:line="360" w:lineRule="auto"/>
        <w:jc w:val="both"/>
        <w:rPr>
          <w:rFonts w:ascii="Times New Roman" w:hAnsi="Times New Roman" w:cs="Times New Roman"/>
        </w:rPr>
      </w:pPr>
      <w:r w:rsidRPr="00404DB0">
        <w:rPr>
          <w:rFonts w:ascii="Times New Roman" w:hAnsi="Times New Roman" w:cs="Times New Roman"/>
        </w:rPr>
        <w:t xml:space="preserve">To conclude, Table </w:t>
      </w:r>
      <w:r>
        <w:rPr>
          <w:rFonts w:ascii="Times New Roman" w:hAnsi="Times New Roman" w:cs="Times New Roman"/>
        </w:rPr>
        <w:t>7.</w:t>
      </w:r>
      <w:r w:rsidRPr="00404DB0">
        <w:rPr>
          <w:rFonts w:ascii="Times New Roman" w:hAnsi="Times New Roman" w:cs="Times New Roman"/>
        </w:rPr>
        <w:t>6 compares junior teachers to other professions in terms of alcohol consumption, which is used by many adults in England as a way to cope with stress (</w:t>
      </w:r>
      <w:r w:rsidRPr="00404DB0">
        <w:rPr>
          <w:rFonts w:ascii="Times New Roman" w:hAnsi="Times New Roman" w:cs="Times New Roman"/>
          <w:color w:val="000000"/>
        </w:rPr>
        <w:t xml:space="preserve">Appleton </w:t>
      </w:r>
      <w:r w:rsidR="00F867A9">
        <w:rPr>
          <w:rFonts w:ascii="Times New Roman" w:hAnsi="Times New Roman" w:cs="Times New Roman"/>
          <w:color w:val="000000"/>
        </w:rPr>
        <w:t>&amp;</w:t>
      </w:r>
      <w:r w:rsidR="00F867A9" w:rsidRPr="00404DB0">
        <w:rPr>
          <w:rFonts w:ascii="Times New Roman" w:hAnsi="Times New Roman" w:cs="Times New Roman"/>
          <w:color w:val="000000"/>
        </w:rPr>
        <w:t xml:space="preserve"> </w:t>
      </w:r>
      <w:r w:rsidRPr="00404DB0">
        <w:rPr>
          <w:rFonts w:ascii="Times New Roman" w:hAnsi="Times New Roman" w:cs="Times New Roman"/>
          <w:color w:val="000000"/>
        </w:rPr>
        <w:t>James</w:t>
      </w:r>
      <w:r w:rsidR="00F867A9">
        <w:rPr>
          <w:rFonts w:ascii="Times New Roman" w:hAnsi="Times New Roman" w:cs="Times New Roman"/>
          <w:color w:val="000000"/>
        </w:rPr>
        <w:t>,</w:t>
      </w:r>
      <w:r w:rsidRPr="00404DB0">
        <w:rPr>
          <w:rFonts w:ascii="Times New Roman" w:hAnsi="Times New Roman" w:cs="Times New Roman"/>
          <w:color w:val="000000"/>
        </w:rPr>
        <w:t xml:space="preserve"> 2018</w:t>
      </w:r>
      <w:r w:rsidRPr="00404DB0">
        <w:rPr>
          <w:rFonts w:ascii="Times New Roman" w:hAnsi="Times New Roman" w:cs="Times New Roman"/>
        </w:rPr>
        <w:t xml:space="preserve">). Teachers </w:t>
      </w:r>
      <w:r w:rsidR="004F2309" w:rsidRPr="00404DB0">
        <w:rPr>
          <w:rFonts w:ascii="Times New Roman" w:hAnsi="Times New Roman" w:cs="Times New Roman"/>
        </w:rPr>
        <w:t>dr</w:t>
      </w:r>
      <w:r w:rsidR="00B63C62">
        <w:rPr>
          <w:rFonts w:ascii="Times New Roman" w:hAnsi="Times New Roman" w:cs="Times New Roman"/>
        </w:rPr>
        <w:t>a</w:t>
      </w:r>
      <w:r w:rsidR="004F2309" w:rsidRPr="00404DB0">
        <w:rPr>
          <w:rFonts w:ascii="Times New Roman" w:hAnsi="Times New Roman" w:cs="Times New Roman"/>
        </w:rPr>
        <w:t xml:space="preserve">nk </w:t>
      </w:r>
      <w:r w:rsidRPr="00404DB0">
        <w:rPr>
          <w:rFonts w:ascii="Times New Roman" w:hAnsi="Times New Roman" w:cs="Times New Roman"/>
        </w:rPr>
        <w:t>alcohol at roughly the same frequency at age 20 as at age 26, which is the same as for young professionals in other jobs. More generally, there is no clear pattern that teachers drink any more (or less) than other occupational groups, with the potential exception of office workers (20</w:t>
      </w:r>
      <w:r w:rsidR="00B63C62">
        <w:rPr>
          <w:rFonts w:ascii="Times New Roman" w:hAnsi="Times New Roman" w:cs="Times New Roman"/>
        </w:rPr>
        <w:t>%</w:t>
      </w:r>
      <w:r w:rsidRPr="00404DB0">
        <w:rPr>
          <w:rFonts w:ascii="Times New Roman" w:hAnsi="Times New Roman" w:cs="Times New Roman"/>
        </w:rPr>
        <w:t xml:space="preserve"> of junior teachers say they drink at least two</w:t>
      </w:r>
      <w:r w:rsidR="00B63C62">
        <w:rPr>
          <w:rFonts w:ascii="Times New Roman" w:hAnsi="Times New Roman" w:cs="Times New Roman"/>
        </w:rPr>
        <w:t xml:space="preserve"> </w:t>
      </w:r>
      <w:r w:rsidRPr="00404DB0">
        <w:rPr>
          <w:rFonts w:ascii="Times New Roman" w:hAnsi="Times New Roman" w:cs="Times New Roman"/>
        </w:rPr>
        <w:t>to</w:t>
      </w:r>
      <w:r w:rsidR="00B63C62">
        <w:rPr>
          <w:rFonts w:ascii="Times New Roman" w:hAnsi="Times New Roman" w:cs="Times New Roman"/>
        </w:rPr>
        <w:t xml:space="preserve"> </w:t>
      </w:r>
      <w:r w:rsidRPr="00404DB0">
        <w:rPr>
          <w:rFonts w:ascii="Times New Roman" w:hAnsi="Times New Roman" w:cs="Times New Roman"/>
        </w:rPr>
        <w:t xml:space="preserve">three times a </w:t>
      </w:r>
      <w:r w:rsidRPr="00404DB0">
        <w:rPr>
          <w:rFonts w:ascii="Times New Roman" w:hAnsi="Times New Roman" w:cs="Times New Roman"/>
        </w:rPr>
        <w:lastRenderedPageBreak/>
        <w:t>week, compared to almost 40</w:t>
      </w:r>
      <w:r w:rsidR="00B63C62">
        <w:rPr>
          <w:rFonts w:ascii="Times New Roman" w:hAnsi="Times New Roman" w:cs="Times New Roman"/>
        </w:rPr>
        <w:t>%</w:t>
      </w:r>
      <w:r w:rsidRPr="00404DB0">
        <w:rPr>
          <w:rFonts w:ascii="Times New Roman" w:hAnsi="Times New Roman" w:cs="Times New Roman"/>
        </w:rPr>
        <w:t xml:space="preserve"> of office workers). Yet the central message to be taken from Table </w:t>
      </w:r>
      <w:r>
        <w:rPr>
          <w:rFonts w:ascii="Times New Roman" w:hAnsi="Times New Roman" w:cs="Times New Roman"/>
        </w:rPr>
        <w:t>7.</w:t>
      </w:r>
      <w:r w:rsidRPr="00404DB0">
        <w:rPr>
          <w:rFonts w:ascii="Times New Roman" w:hAnsi="Times New Roman" w:cs="Times New Roman"/>
        </w:rPr>
        <w:t>6 is that the alcohol consumption of junior teachers is not substantially different to other workers.</w:t>
      </w:r>
    </w:p>
    <w:p w14:paraId="6BACFF22" w14:textId="4F1674C3" w:rsidR="00577A69" w:rsidRDefault="00577A69" w:rsidP="00577A69">
      <w:pPr>
        <w:pStyle w:val="NoSpacing"/>
        <w:jc w:val="center"/>
        <w:rPr>
          <w:rFonts w:ascii="Times New Roman" w:hAnsi="Times New Roman" w:cs="Times New Roman"/>
          <w:b/>
          <w:bCs/>
        </w:rPr>
      </w:pPr>
      <w:r w:rsidRPr="00404DB0">
        <w:rPr>
          <w:rFonts w:ascii="Times New Roman" w:hAnsi="Times New Roman" w:cs="Times New Roman"/>
          <w:b/>
          <w:bCs/>
        </w:rPr>
        <w:t xml:space="preserve">Table </w:t>
      </w:r>
      <w:r>
        <w:rPr>
          <w:rFonts w:ascii="Times New Roman" w:hAnsi="Times New Roman" w:cs="Times New Roman"/>
          <w:b/>
          <w:bCs/>
        </w:rPr>
        <w:t>7.</w:t>
      </w:r>
      <w:r w:rsidRPr="00404DB0">
        <w:rPr>
          <w:rFonts w:ascii="Times New Roman" w:hAnsi="Times New Roman" w:cs="Times New Roman"/>
          <w:b/>
          <w:bCs/>
        </w:rPr>
        <w:t xml:space="preserve">6 Comparison of </w:t>
      </w:r>
      <w:r w:rsidRPr="00807E3E">
        <w:rPr>
          <w:rFonts w:ascii="Times New Roman" w:hAnsi="Times New Roman" w:cs="Times New Roman"/>
          <w:b/>
          <w:bCs/>
        </w:rPr>
        <w:t>alcohol consumption</w:t>
      </w:r>
      <w:r w:rsidRPr="00404DB0">
        <w:rPr>
          <w:rFonts w:ascii="Times New Roman" w:hAnsi="Times New Roman" w:cs="Times New Roman"/>
          <w:b/>
          <w:bCs/>
        </w:rPr>
        <w:t xml:space="preserve"> between recently qualified teachers and other occupational groups</w:t>
      </w:r>
    </w:p>
    <w:p w14:paraId="0D319304" w14:textId="77777777" w:rsidR="00B8187C" w:rsidRPr="00404DB0" w:rsidRDefault="00B8187C" w:rsidP="00577A69">
      <w:pPr>
        <w:pStyle w:val="NoSpacing"/>
        <w:jc w:val="center"/>
        <w:rPr>
          <w:rFonts w:ascii="Times New Roman" w:hAnsi="Times New Roman" w:cs="Times New Roman"/>
          <w:b/>
          <w:bCs/>
        </w:rPr>
      </w:pPr>
    </w:p>
    <w:tbl>
      <w:tblPr>
        <w:tblW w:w="0" w:type="auto"/>
        <w:jc w:val="center"/>
        <w:tblLook w:val="04A0" w:firstRow="1" w:lastRow="0" w:firstColumn="1" w:lastColumn="0" w:noHBand="0" w:noVBand="1"/>
      </w:tblPr>
      <w:tblGrid>
        <w:gridCol w:w="2059"/>
        <w:gridCol w:w="696"/>
        <w:gridCol w:w="696"/>
        <w:gridCol w:w="696"/>
        <w:gridCol w:w="697"/>
        <w:gridCol w:w="697"/>
        <w:gridCol w:w="697"/>
        <w:gridCol w:w="697"/>
        <w:gridCol w:w="697"/>
        <w:gridCol w:w="697"/>
        <w:gridCol w:w="697"/>
      </w:tblGrid>
      <w:tr w:rsidR="00577A69" w:rsidRPr="00404DB0" w14:paraId="79486268" w14:textId="77777777" w:rsidTr="00440E80">
        <w:trPr>
          <w:trHeight w:val="570"/>
          <w:jc w:val="center"/>
        </w:trPr>
        <w:tc>
          <w:tcPr>
            <w:tcW w:w="0" w:type="auto"/>
            <w:tcBorders>
              <w:top w:val="single" w:sz="4" w:space="0" w:color="auto"/>
              <w:left w:val="nil"/>
              <w:bottom w:val="single" w:sz="4" w:space="0" w:color="auto"/>
              <w:right w:val="nil"/>
            </w:tcBorders>
            <w:shd w:val="clear" w:color="000000" w:fill="B4C6E7"/>
            <w:vAlign w:val="center"/>
            <w:hideMark/>
          </w:tcPr>
          <w:p w14:paraId="66C4B08A"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 </w:t>
            </w:r>
          </w:p>
        </w:tc>
        <w:tc>
          <w:tcPr>
            <w:tcW w:w="0" w:type="auto"/>
            <w:gridSpan w:val="2"/>
            <w:tcBorders>
              <w:top w:val="single" w:sz="4" w:space="0" w:color="auto"/>
              <w:left w:val="nil"/>
              <w:bottom w:val="single" w:sz="4" w:space="0" w:color="auto"/>
              <w:right w:val="nil"/>
            </w:tcBorders>
            <w:shd w:val="clear" w:color="000000" w:fill="B4C6E7"/>
            <w:vAlign w:val="center"/>
            <w:hideMark/>
          </w:tcPr>
          <w:p w14:paraId="22B57B45"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Teachers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2746D771"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Lower managerial</w:t>
            </w:r>
          </w:p>
        </w:tc>
        <w:tc>
          <w:tcPr>
            <w:tcW w:w="0" w:type="auto"/>
            <w:gridSpan w:val="2"/>
            <w:tcBorders>
              <w:top w:val="single" w:sz="4" w:space="0" w:color="auto"/>
              <w:left w:val="nil"/>
              <w:bottom w:val="single" w:sz="4" w:space="0" w:color="auto"/>
              <w:right w:val="nil"/>
            </w:tcBorders>
            <w:shd w:val="clear" w:color="000000" w:fill="B4C6E7"/>
            <w:vAlign w:val="center"/>
            <w:hideMark/>
          </w:tcPr>
          <w:p w14:paraId="63C3C791"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Graduates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68CBE462"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Health workers</w:t>
            </w:r>
          </w:p>
        </w:tc>
        <w:tc>
          <w:tcPr>
            <w:tcW w:w="0" w:type="auto"/>
            <w:gridSpan w:val="2"/>
            <w:tcBorders>
              <w:top w:val="single" w:sz="4" w:space="0" w:color="auto"/>
              <w:left w:val="nil"/>
              <w:bottom w:val="single" w:sz="4" w:space="0" w:color="auto"/>
              <w:right w:val="nil"/>
            </w:tcBorders>
            <w:shd w:val="clear" w:color="000000" w:fill="B4C6E7"/>
            <w:vAlign w:val="center"/>
            <w:hideMark/>
          </w:tcPr>
          <w:p w14:paraId="71057437"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Office job</w:t>
            </w:r>
          </w:p>
        </w:tc>
      </w:tr>
      <w:tr w:rsidR="00577A69" w:rsidRPr="00404DB0" w14:paraId="51A853CD" w14:textId="77777777" w:rsidTr="00440E80">
        <w:trPr>
          <w:trHeight w:val="300"/>
          <w:jc w:val="center"/>
        </w:trPr>
        <w:tc>
          <w:tcPr>
            <w:tcW w:w="0" w:type="auto"/>
            <w:tcBorders>
              <w:top w:val="nil"/>
              <w:left w:val="nil"/>
              <w:bottom w:val="nil"/>
              <w:right w:val="nil"/>
            </w:tcBorders>
            <w:shd w:val="clear" w:color="auto" w:fill="auto"/>
            <w:noWrap/>
            <w:vAlign w:val="center"/>
            <w:hideMark/>
          </w:tcPr>
          <w:p w14:paraId="68F41681"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Frequency of drinking</w:t>
            </w:r>
          </w:p>
        </w:tc>
        <w:tc>
          <w:tcPr>
            <w:tcW w:w="0" w:type="auto"/>
            <w:tcBorders>
              <w:top w:val="nil"/>
              <w:left w:val="nil"/>
              <w:bottom w:val="nil"/>
              <w:right w:val="nil"/>
            </w:tcBorders>
            <w:shd w:val="clear" w:color="auto" w:fill="auto"/>
            <w:noWrap/>
            <w:vAlign w:val="center"/>
            <w:hideMark/>
          </w:tcPr>
          <w:p w14:paraId="77105443"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auto" w:fill="auto"/>
            <w:noWrap/>
            <w:vAlign w:val="center"/>
            <w:hideMark/>
          </w:tcPr>
          <w:p w14:paraId="487D82C7"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auto" w:fill="auto"/>
            <w:noWrap/>
            <w:vAlign w:val="center"/>
            <w:hideMark/>
          </w:tcPr>
          <w:p w14:paraId="120EF0A0"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auto" w:fill="auto"/>
            <w:noWrap/>
            <w:vAlign w:val="center"/>
            <w:hideMark/>
          </w:tcPr>
          <w:p w14:paraId="6231E5EB"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auto" w:fill="auto"/>
            <w:noWrap/>
            <w:vAlign w:val="center"/>
            <w:hideMark/>
          </w:tcPr>
          <w:p w14:paraId="2F4E4043"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auto" w:fill="auto"/>
            <w:noWrap/>
            <w:vAlign w:val="center"/>
            <w:hideMark/>
          </w:tcPr>
          <w:p w14:paraId="680426A6"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auto" w:fill="auto"/>
            <w:noWrap/>
            <w:vAlign w:val="center"/>
            <w:hideMark/>
          </w:tcPr>
          <w:p w14:paraId="024BA61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auto" w:fill="auto"/>
            <w:noWrap/>
            <w:vAlign w:val="center"/>
            <w:hideMark/>
          </w:tcPr>
          <w:p w14:paraId="2B309162"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c>
          <w:tcPr>
            <w:tcW w:w="0" w:type="auto"/>
            <w:tcBorders>
              <w:top w:val="nil"/>
              <w:left w:val="nil"/>
              <w:bottom w:val="nil"/>
              <w:right w:val="nil"/>
            </w:tcBorders>
            <w:shd w:val="clear" w:color="auto" w:fill="auto"/>
            <w:noWrap/>
            <w:vAlign w:val="center"/>
            <w:hideMark/>
          </w:tcPr>
          <w:p w14:paraId="01463732"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20</w:t>
            </w:r>
          </w:p>
        </w:tc>
        <w:tc>
          <w:tcPr>
            <w:tcW w:w="0" w:type="auto"/>
            <w:tcBorders>
              <w:top w:val="nil"/>
              <w:left w:val="nil"/>
              <w:bottom w:val="nil"/>
              <w:right w:val="nil"/>
            </w:tcBorders>
            <w:shd w:val="clear" w:color="auto" w:fill="auto"/>
            <w:noWrap/>
            <w:vAlign w:val="center"/>
            <w:hideMark/>
          </w:tcPr>
          <w:p w14:paraId="7DC0346E" w14:textId="77777777" w:rsidR="00577A69" w:rsidRPr="00404DB0" w:rsidRDefault="00577A69" w:rsidP="00440E80">
            <w:pPr>
              <w:spacing w:after="0" w:line="240" w:lineRule="auto"/>
              <w:jc w:val="center"/>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Age 26</w:t>
            </w:r>
          </w:p>
        </w:tc>
      </w:tr>
      <w:tr w:rsidR="00577A69" w:rsidRPr="00404DB0" w14:paraId="7C43C12A" w14:textId="77777777" w:rsidTr="00440E80">
        <w:trPr>
          <w:trHeight w:val="300"/>
          <w:jc w:val="center"/>
        </w:trPr>
        <w:tc>
          <w:tcPr>
            <w:tcW w:w="0" w:type="auto"/>
            <w:tcBorders>
              <w:top w:val="single" w:sz="4" w:space="0" w:color="auto"/>
              <w:left w:val="nil"/>
              <w:bottom w:val="nil"/>
              <w:right w:val="nil"/>
            </w:tcBorders>
            <w:shd w:val="clear" w:color="auto" w:fill="auto"/>
            <w:noWrap/>
            <w:vAlign w:val="center"/>
            <w:hideMark/>
          </w:tcPr>
          <w:p w14:paraId="41A3BDCF"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 Never</w:t>
            </w:r>
          </w:p>
        </w:tc>
        <w:tc>
          <w:tcPr>
            <w:tcW w:w="0" w:type="auto"/>
            <w:tcBorders>
              <w:top w:val="single" w:sz="4" w:space="0" w:color="auto"/>
              <w:left w:val="nil"/>
              <w:bottom w:val="nil"/>
              <w:right w:val="nil"/>
            </w:tcBorders>
            <w:shd w:val="clear" w:color="auto" w:fill="auto"/>
            <w:vAlign w:val="center"/>
            <w:hideMark/>
          </w:tcPr>
          <w:p w14:paraId="41B57BF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10%</w:t>
            </w:r>
          </w:p>
        </w:tc>
        <w:tc>
          <w:tcPr>
            <w:tcW w:w="0" w:type="auto"/>
            <w:tcBorders>
              <w:top w:val="single" w:sz="4" w:space="0" w:color="auto"/>
              <w:left w:val="nil"/>
              <w:bottom w:val="nil"/>
              <w:right w:val="nil"/>
            </w:tcBorders>
            <w:shd w:val="clear" w:color="auto" w:fill="auto"/>
            <w:vAlign w:val="center"/>
            <w:hideMark/>
          </w:tcPr>
          <w:p w14:paraId="6A61EE2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11%</w:t>
            </w:r>
          </w:p>
        </w:tc>
        <w:tc>
          <w:tcPr>
            <w:tcW w:w="0" w:type="auto"/>
            <w:tcBorders>
              <w:top w:val="single" w:sz="4" w:space="0" w:color="auto"/>
              <w:left w:val="nil"/>
              <w:bottom w:val="nil"/>
              <w:right w:val="nil"/>
            </w:tcBorders>
            <w:shd w:val="clear" w:color="auto" w:fill="auto"/>
            <w:vAlign w:val="center"/>
            <w:hideMark/>
          </w:tcPr>
          <w:p w14:paraId="49F9265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w:t>
            </w:r>
          </w:p>
        </w:tc>
        <w:tc>
          <w:tcPr>
            <w:tcW w:w="0" w:type="auto"/>
            <w:tcBorders>
              <w:top w:val="single" w:sz="4" w:space="0" w:color="auto"/>
              <w:left w:val="nil"/>
              <w:bottom w:val="nil"/>
              <w:right w:val="nil"/>
            </w:tcBorders>
            <w:shd w:val="clear" w:color="auto" w:fill="auto"/>
            <w:vAlign w:val="center"/>
            <w:hideMark/>
          </w:tcPr>
          <w:p w14:paraId="7640432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11%</w:t>
            </w:r>
          </w:p>
        </w:tc>
        <w:tc>
          <w:tcPr>
            <w:tcW w:w="0" w:type="auto"/>
            <w:tcBorders>
              <w:top w:val="single" w:sz="4" w:space="0" w:color="auto"/>
              <w:left w:val="nil"/>
              <w:bottom w:val="nil"/>
              <w:right w:val="nil"/>
            </w:tcBorders>
            <w:shd w:val="clear" w:color="auto" w:fill="auto"/>
            <w:vAlign w:val="center"/>
            <w:hideMark/>
          </w:tcPr>
          <w:p w14:paraId="1A5CF27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12%</w:t>
            </w:r>
          </w:p>
        </w:tc>
        <w:tc>
          <w:tcPr>
            <w:tcW w:w="0" w:type="auto"/>
            <w:tcBorders>
              <w:top w:val="single" w:sz="4" w:space="0" w:color="auto"/>
              <w:left w:val="nil"/>
              <w:bottom w:val="nil"/>
              <w:right w:val="nil"/>
            </w:tcBorders>
            <w:shd w:val="clear" w:color="auto" w:fill="auto"/>
            <w:vAlign w:val="center"/>
            <w:hideMark/>
          </w:tcPr>
          <w:p w14:paraId="7ACE2A7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14%</w:t>
            </w:r>
          </w:p>
        </w:tc>
        <w:tc>
          <w:tcPr>
            <w:tcW w:w="0" w:type="auto"/>
            <w:tcBorders>
              <w:top w:val="single" w:sz="4" w:space="0" w:color="auto"/>
              <w:left w:val="nil"/>
              <w:bottom w:val="nil"/>
              <w:right w:val="nil"/>
            </w:tcBorders>
            <w:shd w:val="clear" w:color="auto" w:fill="auto"/>
            <w:vAlign w:val="center"/>
            <w:hideMark/>
          </w:tcPr>
          <w:p w14:paraId="5240581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w:t>
            </w:r>
          </w:p>
        </w:tc>
        <w:tc>
          <w:tcPr>
            <w:tcW w:w="0" w:type="auto"/>
            <w:tcBorders>
              <w:top w:val="single" w:sz="4" w:space="0" w:color="auto"/>
              <w:left w:val="nil"/>
              <w:bottom w:val="nil"/>
              <w:right w:val="nil"/>
            </w:tcBorders>
            <w:shd w:val="clear" w:color="auto" w:fill="auto"/>
            <w:vAlign w:val="center"/>
            <w:hideMark/>
          </w:tcPr>
          <w:p w14:paraId="09807F8B"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11%</w:t>
            </w:r>
          </w:p>
        </w:tc>
        <w:tc>
          <w:tcPr>
            <w:tcW w:w="0" w:type="auto"/>
            <w:tcBorders>
              <w:top w:val="single" w:sz="4" w:space="0" w:color="auto"/>
              <w:left w:val="nil"/>
              <w:bottom w:val="nil"/>
              <w:right w:val="nil"/>
            </w:tcBorders>
            <w:shd w:val="clear" w:color="auto" w:fill="auto"/>
            <w:vAlign w:val="center"/>
            <w:hideMark/>
          </w:tcPr>
          <w:p w14:paraId="21A99D6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7%</w:t>
            </w:r>
          </w:p>
        </w:tc>
        <w:tc>
          <w:tcPr>
            <w:tcW w:w="0" w:type="auto"/>
            <w:tcBorders>
              <w:top w:val="single" w:sz="4" w:space="0" w:color="auto"/>
              <w:left w:val="nil"/>
              <w:bottom w:val="nil"/>
              <w:right w:val="nil"/>
            </w:tcBorders>
            <w:shd w:val="clear" w:color="auto" w:fill="auto"/>
            <w:vAlign w:val="center"/>
            <w:hideMark/>
          </w:tcPr>
          <w:p w14:paraId="03089B8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11%</w:t>
            </w:r>
          </w:p>
        </w:tc>
      </w:tr>
      <w:tr w:rsidR="00577A69" w:rsidRPr="00404DB0" w14:paraId="6EA89BDE" w14:textId="77777777" w:rsidTr="00440E80">
        <w:trPr>
          <w:trHeight w:val="300"/>
          <w:jc w:val="center"/>
        </w:trPr>
        <w:tc>
          <w:tcPr>
            <w:tcW w:w="0" w:type="auto"/>
            <w:tcBorders>
              <w:top w:val="nil"/>
              <w:left w:val="nil"/>
              <w:bottom w:val="nil"/>
              <w:right w:val="nil"/>
            </w:tcBorders>
            <w:shd w:val="clear" w:color="auto" w:fill="auto"/>
            <w:noWrap/>
            <w:vAlign w:val="center"/>
            <w:hideMark/>
          </w:tcPr>
          <w:p w14:paraId="4E5665C4"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 Monthly or less</w:t>
            </w:r>
          </w:p>
        </w:tc>
        <w:tc>
          <w:tcPr>
            <w:tcW w:w="0" w:type="auto"/>
            <w:tcBorders>
              <w:top w:val="nil"/>
              <w:left w:val="nil"/>
              <w:bottom w:val="nil"/>
              <w:right w:val="nil"/>
            </w:tcBorders>
            <w:shd w:val="clear" w:color="auto" w:fill="auto"/>
            <w:vAlign w:val="center"/>
            <w:hideMark/>
          </w:tcPr>
          <w:p w14:paraId="638AE43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26%</w:t>
            </w:r>
          </w:p>
        </w:tc>
        <w:tc>
          <w:tcPr>
            <w:tcW w:w="0" w:type="auto"/>
            <w:tcBorders>
              <w:top w:val="nil"/>
              <w:left w:val="nil"/>
              <w:bottom w:val="nil"/>
              <w:right w:val="nil"/>
            </w:tcBorders>
            <w:shd w:val="clear" w:color="auto" w:fill="auto"/>
            <w:vAlign w:val="center"/>
            <w:hideMark/>
          </w:tcPr>
          <w:p w14:paraId="626143C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29%</w:t>
            </w:r>
          </w:p>
        </w:tc>
        <w:tc>
          <w:tcPr>
            <w:tcW w:w="0" w:type="auto"/>
            <w:tcBorders>
              <w:top w:val="nil"/>
              <w:left w:val="nil"/>
              <w:bottom w:val="nil"/>
              <w:right w:val="nil"/>
            </w:tcBorders>
            <w:shd w:val="clear" w:color="auto" w:fill="auto"/>
            <w:vAlign w:val="center"/>
            <w:hideMark/>
          </w:tcPr>
          <w:p w14:paraId="48712B0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30%</w:t>
            </w:r>
          </w:p>
        </w:tc>
        <w:tc>
          <w:tcPr>
            <w:tcW w:w="0" w:type="auto"/>
            <w:tcBorders>
              <w:top w:val="nil"/>
              <w:left w:val="nil"/>
              <w:bottom w:val="nil"/>
              <w:right w:val="nil"/>
            </w:tcBorders>
            <w:shd w:val="clear" w:color="auto" w:fill="auto"/>
            <w:vAlign w:val="center"/>
            <w:hideMark/>
          </w:tcPr>
          <w:p w14:paraId="388CF60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25%</w:t>
            </w:r>
          </w:p>
        </w:tc>
        <w:tc>
          <w:tcPr>
            <w:tcW w:w="0" w:type="auto"/>
            <w:tcBorders>
              <w:top w:val="nil"/>
              <w:left w:val="nil"/>
              <w:bottom w:val="nil"/>
              <w:right w:val="nil"/>
            </w:tcBorders>
            <w:shd w:val="clear" w:color="auto" w:fill="auto"/>
            <w:vAlign w:val="center"/>
            <w:hideMark/>
          </w:tcPr>
          <w:p w14:paraId="12C62FE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25%</w:t>
            </w:r>
          </w:p>
        </w:tc>
        <w:tc>
          <w:tcPr>
            <w:tcW w:w="0" w:type="auto"/>
            <w:tcBorders>
              <w:top w:val="nil"/>
              <w:left w:val="nil"/>
              <w:bottom w:val="nil"/>
              <w:right w:val="nil"/>
            </w:tcBorders>
            <w:shd w:val="clear" w:color="auto" w:fill="auto"/>
            <w:vAlign w:val="center"/>
            <w:hideMark/>
          </w:tcPr>
          <w:p w14:paraId="5828527C"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24%</w:t>
            </w:r>
          </w:p>
        </w:tc>
        <w:tc>
          <w:tcPr>
            <w:tcW w:w="0" w:type="auto"/>
            <w:tcBorders>
              <w:top w:val="nil"/>
              <w:left w:val="nil"/>
              <w:bottom w:val="nil"/>
              <w:right w:val="nil"/>
            </w:tcBorders>
            <w:shd w:val="clear" w:color="auto" w:fill="auto"/>
            <w:vAlign w:val="center"/>
            <w:hideMark/>
          </w:tcPr>
          <w:p w14:paraId="1DF1474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38%</w:t>
            </w:r>
          </w:p>
        </w:tc>
        <w:tc>
          <w:tcPr>
            <w:tcW w:w="0" w:type="auto"/>
            <w:tcBorders>
              <w:top w:val="nil"/>
              <w:left w:val="nil"/>
              <w:bottom w:val="nil"/>
              <w:right w:val="nil"/>
            </w:tcBorders>
            <w:shd w:val="clear" w:color="auto" w:fill="auto"/>
            <w:vAlign w:val="center"/>
            <w:hideMark/>
          </w:tcPr>
          <w:p w14:paraId="4C48154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28%</w:t>
            </w:r>
          </w:p>
        </w:tc>
        <w:tc>
          <w:tcPr>
            <w:tcW w:w="0" w:type="auto"/>
            <w:tcBorders>
              <w:top w:val="nil"/>
              <w:left w:val="nil"/>
              <w:bottom w:val="nil"/>
              <w:right w:val="nil"/>
            </w:tcBorders>
            <w:shd w:val="clear" w:color="auto" w:fill="auto"/>
            <w:vAlign w:val="center"/>
            <w:hideMark/>
          </w:tcPr>
          <w:p w14:paraId="0466391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18%</w:t>
            </w:r>
          </w:p>
        </w:tc>
        <w:tc>
          <w:tcPr>
            <w:tcW w:w="0" w:type="auto"/>
            <w:tcBorders>
              <w:top w:val="nil"/>
              <w:left w:val="nil"/>
              <w:bottom w:val="nil"/>
              <w:right w:val="nil"/>
            </w:tcBorders>
            <w:shd w:val="clear" w:color="auto" w:fill="auto"/>
            <w:vAlign w:val="center"/>
            <w:hideMark/>
          </w:tcPr>
          <w:p w14:paraId="60A9D6F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15%</w:t>
            </w:r>
          </w:p>
        </w:tc>
      </w:tr>
      <w:tr w:rsidR="00577A69" w:rsidRPr="00404DB0" w14:paraId="4EF419DF" w14:textId="77777777" w:rsidTr="00440E80">
        <w:trPr>
          <w:trHeight w:val="300"/>
          <w:jc w:val="center"/>
        </w:trPr>
        <w:tc>
          <w:tcPr>
            <w:tcW w:w="0" w:type="auto"/>
            <w:tcBorders>
              <w:top w:val="nil"/>
              <w:left w:val="nil"/>
              <w:bottom w:val="nil"/>
              <w:right w:val="nil"/>
            </w:tcBorders>
            <w:shd w:val="clear" w:color="auto" w:fill="auto"/>
            <w:noWrap/>
            <w:vAlign w:val="center"/>
            <w:hideMark/>
          </w:tcPr>
          <w:p w14:paraId="55708131"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 2-4 times a month</w:t>
            </w:r>
          </w:p>
        </w:tc>
        <w:tc>
          <w:tcPr>
            <w:tcW w:w="0" w:type="auto"/>
            <w:tcBorders>
              <w:top w:val="nil"/>
              <w:left w:val="nil"/>
              <w:bottom w:val="nil"/>
              <w:right w:val="nil"/>
            </w:tcBorders>
            <w:shd w:val="clear" w:color="auto" w:fill="auto"/>
            <w:vAlign w:val="center"/>
            <w:hideMark/>
          </w:tcPr>
          <w:p w14:paraId="58192438"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45%</w:t>
            </w:r>
          </w:p>
        </w:tc>
        <w:tc>
          <w:tcPr>
            <w:tcW w:w="0" w:type="auto"/>
            <w:tcBorders>
              <w:top w:val="nil"/>
              <w:left w:val="nil"/>
              <w:bottom w:val="nil"/>
              <w:right w:val="nil"/>
            </w:tcBorders>
            <w:shd w:val="clear" w:color="auto" w:fill="auto"/>
            <w:vAlign w:val="center"/>
            <w:hideMark/>
          </w:tcPr>
          <w:p w14:paraId="578F560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40%</w:t>
            </w:r>
          </w:p>
        </w:tc>
        <w:tc>
          <w:tcPr>
            <w:tcW w:w="0" w:type="auto"/>
            <w:tcBorders>
              <w:top w:val="nil"/>
              <w:left w:val="nil"/>
              <w:bottom w:val="nil"/>
              <w:right w:val="nil"/>
            </w:tcBorders>
            <w:shd w:val="clear" w:color="auto" w:fill="auto"/>
            <w:vAlign w:val="center"/>
            <w:hideMark/>
          </w:tcPr>
          <w:p w14:paraId="30E3402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42%</w:t>
            </w:r>
          </w:p>
        </w:tc>
        <w:tc>
          <w:tcPr>
            <w:tcW w:w="0" w:type="auto"/>
            <w:tcBorders>
              <w:top w:val="nil"/>
              <w:left w:val="nil"/>
              <w:bottom w:val="nil"/>
              <w:right w:val="nil"/>
            </w:tcBorders>
            <w:shd w:val="clear" w:color="auto" w:fill="auto"/>
            <w:vAlign w:val="center"/>
            <w:hideMark/>
          </w:tcPr>
          <w:p w14:paraId="1920DF34"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39%</w:t>
            </w:r>
          </w:p>
        </w:tc>
        <w:tc>
          <w:tcPr>
            <w:tcW w:w="0" w:type="auto"/>
            <w:tcBorders>
              <w:top w:val="nil"/>
              <w:left w:val="nil"/>
              <w:bottom w:val="nil"/>
              <w:right w:val="nil"/>
            </w:tcBorders>
            <w:shd w:val="clear" w:color="auto" w:fill="auto"/>
            <w:vAlign w:val="center"/>
            <w:hideMark/>
          </w:tcPr>
          <w:p w14:paraId="1D1F88D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42%</w:t>
            </w:r>
          </w:p>
        </w:tc>
        <w:tc>
          <w:tcPr>
            <w:tcW w:w="0" w:type="auto"/>
            <w:tcBorders>
              <w:top w:val="nil"/>
              <w:left w:val="nil"/>
              <w:bottom w:val="nil"/>
              <w:right w:val="nil"/>
            </w:tcBorders>
            <w:shd w:val="clear" w:color="auto" w:fill="auto"/>
            <w:vAlign w:val="center"/>
            <w:hideMark/>
          </w:tcPr>
          <w:p w14:paraId="5DD237E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34%</w:t>
            </w:r>
          </w:p>
        </w:tc>
        <w:tc>
          <w:tcPr>
            <w:tcW w:w="0" w:type="auto"/>
            <w:tcBorders>
              <w:top w:val="nil"/>
              <w:left w:val="nil"/>
              <w:bottom w:val="nil"/>
              <w:right w:val="nil"/>
            </w:tcBorders>
            <w:shd w:val="clear" w:color="auto" w:fill="auto"/>
            <w:vAlign w:val="center"/>
            <w:hideMark/>
          </w:tcPr>
          <w:p w14:paraId="64B6E2B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42%</w:t>
            </w:r>
          </w:p>
        </w:tc>
        <w:tc>
          <w:tcPr>
            <w:tcW w:w="0" w:type="auto"/>
            <w:tcBorders>
              <w:top w:val="nil"/>
              <w:left w:val="nil"/>
              <w:bottom w:val="nil"/>
              <w:right w:val="nil"/>
            </w:tcBorders>
            <w:shd w:val="clear" w:color="auto" w:fill="auto"/>
            <w:vAlign w:val="center"/>
            <w:hideMark/>
          </w:tcPr>
          <w:p w14:paraId="572586B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43%</w:t>
            </w:r>
          </w:p>
        </w:tc>
        <w:tc>
          <w:tcPr>
            <w:tcW w:w="0" w:type="auto"/>
            <w:tcBorders>
              <w:top w:val="nil"/>
              <w:left w:val="nil"/>
              <w:bottom w:val="nil"/>
              <w:right w:val="nil"/>
            </w:tcBorders>
            <w:shd w:val="clear" w:color="auto" w:fill="auto"/>
            <w:vAlign w:val="center"/>
            <w:hideMark/>
          </w:tcPr>
          <w:p w14:paraId="55ADDF57"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43%</w:t>
            </w:r>
          </w:p>
        </w:tc>
        <w:tc>
          <w:tcPr>
            <w:tcW w:w="0" w:type="auto"/>
            <w:tcBorders>
              <w:top w:val="nil"/>
              <w:left w:val="nil"/>
              <w:bottom w:val="nil"/>
              <w:right w:val="nil"/>
            </w:tcBorders>
            <w:shd w:val="clear" w:color="auto" w:fill="auto"/>
            <w:vAlign w:val="center"/>
            <w:hideMark/>
          </w:tcPr>
          <w:p w14:paraId="0A5DE3A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35%</w:t>
            </w:r>
          </w:p>
        </w:tc>
      </w:tr>
      <w:tr w:rsidR="00577A69" w:rsidRPr="00404DB0" w14:paraId="72AC94D4" w14:textId="77777777" w:rsidTr="00440E80">
        <w:trPr>
          <w:trHeight w:val="300"/>
          <w:jc w:val="center"/>
        </w:trPr>
        <w:tc>
          <w:tcPr>
            <w:tcW w:w="0" w:type="auto"/>
            <w:tcBorders>
              <w:top w:val="nil"/>
              <w:left w:val="nil"/>
              <w:bottom w:val="nil"/>
              <w:right w:val="nil"/>
            </w:tcBorders>
            <w:shd w:val="clear" w:color="auto" w:fill="auto"/>
            <w:noWrap/>
            <w:vAlign w:val="center"/>
            <w:hideMark/>
          </w:tcPr>
          <w:p w14:paraId="0591586E"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 2-3 times a week</w:t>
            </w:r>
          </w:p>
        </w:tc>
        <w:tc>
          <w:tcPr>
            <w:tcW w:w="0" w:type="auto"/>
            <w:tcBorders>
              <w:top w:val="nil"/>
              <w:left w:val="nil"/>
              <w:bottom w:val="nil"/>
              <w:right w:val="nil"/>
            </w:tcBorders>
            <w:shd w:val="clear" w:color="auto" w:fill="auto"/>
            <w:vAlign w:val="center"/>
            <w:hideMark/>
          </w:tcPr>
          <w:p w14:paraId="33FA345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14%</w:t>
            </w:r>
          </w:p>
        </w:tc>
        <w:tc>
          <w:tcPr>
            <w:tcW w:w="0" w:type="auto"/>
            <w:tcBorders>
              <w:top w:val="nil"/>
              <w:left w:val="nil"/>
              <w:bottom w:val="nil"/>
              <w:right w:val="nil"/>
            </w:tcBorders>
            <w:shd w:val="clear" w:color="auto" w:fill="auto"/>
            <w:vAlign w:val="center"/>
            <w:hideMark/>
          </w:tcPr>
          <w:p w14:paraId="20B62F1E"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19%</w:t>
            </w:r>
          </w:p>
        </w:tc>
        <w:tc>
          <w:tcPr>
            <w:tcW w:w="0" w:type="auto"/>
            <w:tcBorders>
              <w:top w:val="nil"/>
              <w:left w:val="nil"/>
              <w:bottom w:val="nil"/>
              <w:right w:val="nil"/>
            </w:tcBorders>
            <w:shd w:val="clear" w:color="auto" w:fill="auto"/>
            <w:vAlign w:val="center"/>
            <w:hideMark/>
          </w:tcPr>
          <w:p w14:paraId="083A590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15%</w:t>
            </w:r>
          </w:p>
        </w:tc>
        <w:tc>
          <w:tcPr>
            <w:tcW w:w="0" w:type="auto"/>
            <w:tcBorders>
              <w:top w:val="nil"/>
              <w:left w:val="nil"/>
              <w:bottom w:val="nil"/>
              <w:right w:val="nil"/>
            </w:tcBorders>
            <w:shd w:val="clear" w:color="auto" w:fill="auto"/>
            <w:vAlign w:val="center"/>
            <w:hideMark/>
          </w:tcPr>
          <w:p w14:paraId="417563A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20%</w:t>
            </w:r>
          </w:p>
        </w:tc>
        <w:tc>
          <w:tcPr>
            <w:tcW w:w="0" w:type="auto"/>
            <w:tcBorders>
              <w:top w:val="nil"/>
              <w:left w:val="nil"/>
              <w:bottom w:val="nil"/>
              <w:right w:val="nil"/>
            </w:tcBorders>
            <w:shd w:val="clear" w:color="auto" w:fill="auto"/>
            <w:vAlign w:val="center"/>
            <w:hideMark/>
          </w:tcPr>
          <w:p w14:paraId="4F7D449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16%</w:t>
            </w:r>
          </w:p>
        </w:tc>
        <w:tc>
          <w:tcPr>
            <w:tcW w:w="0" w:type="auto"/>
            <w:tcBorders>
              <w:top w:val="nil"/>
              <w:left w:val="nil"/>
              <w:bottom w:val="nil"/>
              <w:right w:val="nil"/>
            </w:tcBorders>
            <w:shd w:val="clear" w:color="auto" w:fill="auto"/>
            <w:vAlign w:val="center"/>
            <w:hideMark/>
          </w:tcPr>
          <w:p w14:paraId="13BDAB9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24%</w:t>
            </w:r>
          </w:p>
        </w:tc>
        <w:tc>
          <w:tcPr>
            <w:tcW w:w="0" w:type="auto"/>
            <w:tcBorders>
              <w:top w:val="nil"/>
              <w:left w:val="nil"/>
              <w:bottom w:val="nil"/>
              <w:right w:val="nil"/>
            </w:tcBorders>
            <w:shd w:val="clear" w:color="auto" w:fill="auto"/>
            <w:vAlign w:val="center"/>
            <w:hideMark/>
          </w:tcPr>
          <w:p w14:paraId="6E6CFCBF"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12%</w:t>
            </w:r>
          </w:p>
        </w:tc>
        <w:tc>
          <w:tcPr>
            <w:tcW w:w="0" w:type="auto"/>
            <w:tcBorders>
              <w:top w:val="nil"/>
              <w:left w:val="nil"/>
              <w:bottom w:val="nil"/>
              <w:right w:val="nil"/>
            </w:tcBorders>
            <w:shd w:val="clear" w:color="auto" w:fill="auto"/>
            <w:vAlign w:val="center"/>
            <w:hideMark/>
          </w:tcPr>
          <w:p w14:paraId="6629285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14%</w:t>
            </w:r>
          </w:p>
        </w:tc>
        <w:tc>
          <w:tcPr>
            <w:tcW w:w="0" w:type="auto"/>
            <w:tcBorders>
              <w:top w:val="nil"/>
              <w:left w:val="nil"/>
              <w:bottom w:val="nil"/>
              <w:right w:val="nil"/>
            </w:tcBorders>
            <w:shd w:val="clear" w:color="auto" w:fill="auto"/>
            <w:vAlign w:val="center"/>
            <w:hideMark/>
          </w:tcPr>
          <w:p w14:paraId="53FE771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23%</w:t>
            </w:r>
          </w:p>
        </w:tc>
        <w:tc>
          <w:tcPr>
            <w:tcW w:w="0" w:type="auto"/>
            <w:tcBorders>
              <w:top w:val="nil"/>
              <w:left w:val="nil"/>
              <w:bottom w:val="nil"/>
              <w:right w:val="nil"/>
            </w:tcBorders>
            <w:shd w:val="clear" w:color="auto" w:fill="auto"/>
            <w:vAlign w:val="center"/>
            <w:hideMark/>
          </w:tcPr>
          <w:p w14:paraId="642B7822"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33%</w:t>
            </w:r>
          </w:p>
        </w:tc>
      </w:tr>
      <w:tr w:rsidR="00577A69" w:rsidRPr="00404DB0" w14:paraId="12AD10D5" w14:textId="77777777" w:rsidTr="00440E80">
        <w:trPr>
          <w:trHeight w:val="300"/>
          <w:jc w:val="center"/>
        </w:trPr>
        <w:tc>
          <w:tcPr>
            <w:tcW w:w="0" w:type="auto"/>
            <w:tcBorders>
              <w:top w:val="nil"/>
              <w:left w:val="nil"/>
              <w:bottom w:val="single" w:sz="4" w:space="0" w:color="auto"/>
              <w:right w:val="nil"/>
            </w:tcBorders>
            <w:shd w:val="clear" w:color="auto" w:fill="auto"/>
            <w:noWrap/>
            <w:vAlign w:val="center"/>
            <w:hideMark/>
          </w:tcPr>
          <w:p w14:paraId="61D6791B" w14:textId="77777777" w:rsidR="00577A69" w:rsidRPr="00404DB0" w:rsidRDefault="00577A69" w:rsidP="00440E80">
            <w:pPr>
              <w:spacing w:after="0" w:line="240" w:lineRule="auto"/>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 3-4 times a week or more</w:t>
            </w:r>
          </w:p>
        </w:tc>
        <w:tc>
          <w:tcPr>
            <w:tcW w:w="0" w:type="auto"/>
            <w:tcBorders>
              <w:top w:val="nil"/>
              <w:left w:val="nil"/>
              <w:bottom w:val="single" w:sz="4" w:space="0" w:color="auto"/>
              <w:right w:val="nil"/>
            </w:tcBorders>
            <w:shd w:val="clear" w:color="auto" w:fill="auto"/>
            <w:vAlign w:val="center"/>
            <w:hideMark/>
          </w:tcPr>
          <w:p w14:paraId="7BF0F6D1"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4%</w:t>
            </w:r>
          </w:p>
        </w:tc>
        <w:tc>
          <w:tcPr>
            <w:tcW w:w="0" w:type="auto"/>
            <w:tcBorders>
              <w:top w:val="nil"/>
              <w:left w:val="nil"/>
              <w:bottom w:val="single" w:sz="4" w:space="0" w:color="auto"/>
              <w:right w:val="nil"/>
            </w:tcBorders>
            <w:shd w:val="clear" w:color="auto" w:fill="auto"/>
            <w:vAlign w:val="center"/>
            <w:hideMark/>
          </w:tcPr>
          <w:p w14:paraId="6639B359"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w:t>
            </w:r>
          </w:p>
        </w:tc>
        <w:tc>
          <w:tcPr>
            <w:tcW w:w="0" w:type="auto"/>
            <w:tcBorders>
              <w:top w:val="nil"/>
              <w:left w:val="nil"/>
              <w:bottom w:val="single" w:sz="4" w:space="0" w:color="auto"/>
              <w:right w:val="nil"/>
            </w:tcBorders>
            <w:shd w:val="clear" w:color="auto" w:fill="auto"/>
            <w:vAlign w:val="center"/>
            <w:hideMark/>
          </w:tcPr>
          <w:p w14:paraId="4EA24E4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single" w:sz="4" w:space="0" w:color="auto"/>
              <w:right w:val="nil"/>
            </w:tcBorders>
            <w:shd w:val="clear" w:color="auto" w:fill="auto"/>
            <w:vAlign w:val="center"/>
            <w:hideMark/>
          </w:tcPr>
          <w:p w14:paraId="43A0BCD3"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c>
          <w:tcPr>
            <w:tcW w:w="0" w:type="auto"/>
            <w:tcBorders>
              <w:top w:val="nil"/>
              <w:left w:val="nil"/>
              <w:bottom w:val="single" w:sz="4" w:space="0" w:color="auto"/>
              <w:right w:val="nil"/>
            </w:tcBorders>
            <w:shd w:val="clear" w:color="auto" w:fill="auto"/>
            <w:vAlign w:val="center"/>
            <w:hideMark/>
          </w:tcPr>
          <w:p w14:paraId="0878C0C0"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c>
          <w:tcPr>
            <w:tcW w:w="0" w:type="auto"/>
            <w:tcBorders>
              <w:top w:val="nil"/>
              <w:left w:val="nil"/>
              <w:bottom w:val="single" w:sz="4" w:space="0" w:color="auto"/>
              <w:right w:val="nil"/>
            </w:tcBorders>
            <w:shd w:val="clear" w:color="auto" w:fill="auto"/>
            <w:vAlign w:val="center"/>
            <w:hideMark/>
          </w:tcPr>
          <w:p w14:paraId="1B872DEA"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5%</w:t>
            </w:r>
          </w:p>
        </w:tc>
        <w:tc>
          <w:tcPr>
            <w:tcW w:w="0" w:type="auto"/>
            <w:tcBorders>
              <w:top w:val="nil"/>
              <w:left w:val="nil"/>
              <w:bottom w:val="single" w:sz="4" w:space="0" w:color="auto"/>
              <w:right w:val="nil"/>
            </w:tcBorders>
            <w:shd w:val="clear" w:color="auto" w:fill="auto"/>
            <w:vAlign w:val="center"/>
            <w:hideMark/>
          </w:tcPr>
          <w:p w14:paraId="2BF92B46"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1%</w:t>
            </w:r>
          </w:p>
        </w:tc>
        <w:tc>
          <w:tcPr>
            <w:tcW w:w="0" w:type="auto"/>
            <w:tcBorders>
              <w:top w:val="nil"/>
              <w:left w:val="nil"/>
              <w:bottom w:val="single" w:sz="4" w:space="0" w:color="auto"/>
              <w:right w:val="nil"/>
            </w:tcBorders>
            <w:shd w:val="clear" w:color="auto" w:fill="auto"/>
            <w:vAlign w:val="center"/>
            <w:hideMark/>
          </w:tcPr>
          <w:p w14:paraId="10FDD7E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3%</w:t>
            </w:r>
          </w:p>
        </w:tc>
        <w:tc>
          <w:tcPr>
            <w:tcW w:w="0" w:type="auto"/>
            <w:tcBorders>
              <w:top w:val="nil"/>
              <w:left w:val="nil"/>
              <w:bottom w:val="single" w:sz="4" w:space="0" w:color="auto"/>
              <w:right w:val="nil"/>
            </w:tcBorders>
            <w:shd w:val="clear" w:color="auto" w:fill="auto"/>
            <w:vAlign w:val="center"/>
            <w:hideMark/>
          </w:tcPr>
          <w:p w14:paraId="75515B1D"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8%</w:t>
            </w:r>
          </w:p>
        </w:tc>
        <w:tc>
          <w:tcPr>
            <w:tcW w:w="0" w:type="auto"/>
            <w:tcBorders>
              <w:top w:val="nil"/>
              <w:left w:val="nil"/>
              <w:bottom w:val="single" w:sz="4" w:space="0" w:color="auto"/>
              <w:right w:val="nil"/>
            </w:tcBorders>
            <w:shd w:val="clear" w:color="auto" w:fill="auto"/>
            <w:vAlign w:val="center"/>
            <w:hideMark/>
          </w:tcPr>
          <w:p w14:paraId="4D215455" w14:textId="77777777" w:rsidR="00577A69" w:rsidRPr="00404DB0" w:rsidRDefault="00577A69" w:rsidP="00440E80">
            <w:pPr>
              <w:spacing w:after="0" w:line="240" w:lineRule="auto"/>
              <w:jc w:val="center"/>
              <w:rPr>
                <w:rFonts w:ascii="Times New Roman" w:eastAsia="Times New Roman" w:hAnsi="Times New Roman" w:cs="Times New Roman"/>
                <w:color w:val="000000"/>
                <w:lang w:eastAsia="en-GB"/>
              </w:rPr>
            </w:pPr>
            <w:r w:rsidRPr="00404DB0">
              <w:rPr>
                <w:rFonts w:ascii="Times New Roman" w:eastAsia="Times New Roman" w:hAnsi="Times New Roman" w:cs="Times New Roman"/>
                <w:color w:val="000000"/>
                <w:lang w:eastAsia="en-GB"/>
              </w:rPr>
              <w:t>6%</w:t>
            </w:r>
          </w:p>
        </w:tc>
      </w:tr>
      <w:tr w:rsidR="00577A69" w:rsidRPr="00404DB0" w14:paraId="5EECAA6E" w14:textId="77777777" w:rsidTr="00440E80">
        <w:trPr>
          <w:trHeight w:val="300"/>
          <w:jc w:val="center"/>
        </w:trPr>
        <w:tc>
          <w:tcPr>
            <w:tcW w:w="0" w:type="auto"/>
            <w:tcBorders>
              <w:top w:val="nil"/>
              <w:left w:val="nil"/>
              <w:bottom w:val="single" w:sz="4" w:space="0" w:color="auto"/>
              <w:right w:val="nil"/>
            </w:tcBorders>
            <w:shd w:val="clear" w:color="auto" w:fill="auto"/>
            <w:noWrap/>
            <w:vAlign w:val="bottom"/>
            <w:hideMark/>
          </w:tcPr>
          <w:p w14:paraId="146B6797" w14:textId="77777777" w:rsidR="00577A69" w:rsidRPr="00404DB0" w:rsidRDefault="00577A69" w:rsidP="00440E80">
            <w:pPr>
              <w:spacing w:after="0" w:line="240" w:lineRule="auto"/>
              <w:rPr>
                <w:rFonts w:ascii="Times New Roman" w:eastAsia="Times New Roman" w:hAnsi="Times New Roman" w:cs="Times New Roman"/>
                <w:b/>
                <w:bCs/>
                <w:color w:val="000000"/>
                <w:lang w:eastAsia="en-GB"/>
              </w:rPr>
            </w:pPr>
            <w:r w:rsidRPr="00404DB0">
              <w:rPr>
                <w:rFonts w:ascii="Times New Roman" w:eastAsia="Times New Roman" w:hAnsi="Times New Roman" w:cs="Times New Roman"/>
                <w:b/>
                <w:bCs/>
                <w:color w:val="000000"/>
                <w:lang w:eastAsia="en-GB"/>
              </w:rPr>
              <w:t>Average</w:t>
            </w:r>
          </w:p>
        </w:tc>
        <w:tc>
          <w:tcPr>
            <w:tcW w:w="0" w:type="auto"/>
            <w:tcBorders>
              <w:top w:val="nil"/>
              <w:left w:val="nil"/>
              <w:bottom w:val="single" w:sz="4" w:space="0" w:color="auto"/>
              <w:right w:val="nil"/>
            </w:tcBorders>
            <w:shd w:val="clear" w:color="auto" w:fill="auto"/>
            <w:noWrap/>
            <w:vAlign w:val="bottom"/>
            <w:hideMark/>
          </w:tcPr>
          <w:p w14:paraId="7771C5C6"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2.76</w:t>
            </w:r>
          </w:p>
        </w:tc>
        <w:tc>
          <w:tcPr>
            <w:tcW w:w="0" w:type="auto"/>
            <w:tcBorders>
              <w:top w:val="nil"/>
              <w:left w:val="nil"/>
              <w:bottom w:val="single" w:sz="4" w:space="0" w:color="auto"/>
              <w:right w:val="nil"/>
            </w:tcBorders>
            <w:shd w:val="clear" w:color="auto" w:fill="auto"/>
            <w:noWrap/>
            <w:vAlign w:val="bottom"/>
            <w:hideMark/>
          </w:tcPr>
          <w:p w14:paraId="62BD266D"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2.69</w:t>
            </w:r>
          </w:p>
        </w:tc>
        <w:tc>
          <w:tcPr>
            <w:tcW w:w="0" w:type="auto"/>
            <w:tcBorders>
              <w:top w:val="nil"/>
              <w:left w:val="nil"/>
              <w:bottom w:val="single" w:sz="4" w:space="0" w:color="auto"/>
              <w:right w:val="nil"/>
            </w:tcBorders>
            <w:shd w:val="clear" w:color="auto" w:fill="auto"/>
            <w:noWrap/>
            <w:vAlign w:val="bottom"/>
            <w:hideMark/>
          </w:tcPr>
          <w:p w14:paraId="0D781A36"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2.84</w:t>
            </w:r>
          </w:p>
        </w:tc>
        <w:tc>
          <w:tcPr>
            <w:tcW w:w="0" w:type="auto"/>
            <w:tcBorders>
              <w:top w:val="nil"/>
              <w:left w:val="nil"/>
              <w:bottom w:val="single" w:sz="4" w:space="0" w:color="auto"/>
              <w:right w:val="nil"/>
            </w:tcBorders>
            <w:shd w:val="clear" w:color="auto" w:fill="auto"/>
            <w:noWrap/>
            <w:vAlign w:val="bottom"/>
            <w:hideMark/>
          </w:tcPr>
          <w:p w14:paraId="539251B3"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2.84</w:t>
            </w:r>
          </w:p>
        </w:tc>
        <w:tc>
          <w:tcPr>
            <w:tcW w:w="0" w:type="auto"/>
            <w:tcBorders>
              <w:top w:val="nil"/>
              <w:left w:val="nil"/>
              <w:bottom w:val="single" w:sz="4" w:space="0" w:color="auto"/>
              <w:right w:val="nil"/>
            </w:tcBorders>
            <w:shd w:val="clear" w:color="auto" w:fill="auto"/>
            <w:noWrap/>
            <w:vAlign w:val="bottom"/>
            <w:hideMark/>
          </w:tcPr>
          <w:p w14:paraId="2F550FD4"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2.81</w:t>
            </w:r>
          </w:p>
        </w:tc>
        <w:tc>
          <w:tcPr>
            <w:tcW w:w="0" w:type="auto"/>
            <w:tcBorders>
              <w:top w:val="nil"/>
              <w:left w:val="nil"/>
              <w:bottom w:val="single" w:sz="4" w:space="0" w:color="auto"/>
              <w:right w:val="nil"/>
            </w:tcBorders>
            <w:shd w:val="clear" w:color="auto" w:fill="auto"/>
            <w:noWrap/>
            <w:vAlign w:val="bottom"/>
            <w:hideMark/>
          </w:tcPr>
          <w:p w14:paraId="6D4CFCA6"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2.83</w:t>
            </w:r>
          </w:p>
        </w:tc>
        <w:tc>
          <w:tcPr>
            <w:tcW w:w="0" w:type="auto"/>
            <w:tcBorders>
              <w:top w:val="nil"/>
              <w:left w:val="nil"/>
              <w:bottom w:val="single" w:sz="4" w:space="0" w:color="auto"/>
              <w:right w:val="nil"/>
            </w:tcBorders>
            <w:shd w:val="clear" w:color="auto" w:fill="auto"/>
            <w:noWrap/>
            <w:vAlign w:val="bottom"/>
            <w:hideMark/>
          </w:tcPr>
          <w:p w14:paraId="3D8554D5"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2.63</w:t>
            </w:r>
          </w:p>
        </w:tc>
        <w:tc>
          <w:tcPr>
            <w:tcW w:w="0" w:type="auto"/>
            <w:tcBorders>
              <w:top w:val="nil"/>
              <w:left w:val="nil"/>
              <w:bottom w:val="single" w:sz="4" w:space="0" w:color="auto"/>
              <w:right w:val="nil"/>
            </w:tcBorders>
            <w:shd w:val="clear" w:color="auto" w:fill="auto"/>
            <w:noWrap/>
            <w:vAlign w:val="bottom"/>
            <w:hideMark/>
          </w:tcPr>
          <w:p w14:paraId="3F1431D7"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2.68</w:t>
            </w:r>
          </w:p>
        </w:tc>
        <w:tc>
          <w:tcPr>
            <w:tcW w:w="0" w:type="auto"/>
            <w:tcBorders>
              <w:top w:val="nil"/>
              <w:left w:val="nil"/>
              <w:bottom w:val="single" w:sz="4" w:space="0" w:color="auto"/>
              <w:right w:val="nil"/>
            </w:tcBorders>
            <w:shd w:val="clear" w:color="auto" w:fill="auto"/>
            <w:noWrap/>
            <w:vAlign w:val="bottom"/>
            <w:hideMark/>
          </w:tcPr>
          <w:p w14:paraId="04C8E35F"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3.07</w:t>
            </w:r>
          </w:p>
        </w:tc>
        <w:tc>
          <w:tcPr>
            <w:tcW w:w="0" w:type="auto"/>
            <w:tcBorders>
              <w:top w:val="nil"/>
              <w:left w:val="nil"/>
              <w:bottom w:val="single" w:sz="4" w:space="0" w:color="auto"/>
              <w:right w:val="nil"/>
            </w:tcBorders>
            <w:shd w:val="clear" w:color="auto" w:fill="auto"/>
            <w:noWrap/>
            <w:vAlign w:val="bottom"/>
            <w:hideMark/>
          </w:tcPr>
          <w:p w14:paraId="29C753F5" w14:textId="77777777" w:rsidR="00577A69" w:rsidRPr="00404DB0" w:rsidRDefault="00577A69" w:rsidP="00440E80">
            <w:pPr>
              <w:spacing w:after="0" w:line="240" w:lineRule="auto"/>
              <w:jc w:val="center"/>
              <w:rPr>
                <w:rFonts w:ascii="Times New Roman" w:eastAsia="Times New Roman" w:hAnsi="Times New Roman" w:cs="Times New Roman"/>
                <w:bCs/>
                <w:color w:val="000000"/>
                <w:lang w:eastAsia="en-GB"/>
              </w:rPr>
            </w:pPr>
            <w:r w:rsidRPr="00404DB0">
              <w:rPr>
                <w:rFonts w:ascii="Times New Roman" w:eastAsia="Times New Roman" w:hAnsi="Times New Roman" w:cs="Times New Roman"/>
                <w:bCs/>
                <w:color w:val="000000"/>
                <w:lang w:eastAsia="en-GB"/>
              </w:rPr>
              <w:t>3.09</w:t>
            </w:r>
          </w:p>
        </w:tc>
      </w:tr>
    </w:tbl>
    <w:p w14:paraId="67C01368" w14:textId="6EA5D6CC" w:rsidR="00875EB6" w:rsidRPr="00807E3E" w:rsidRDefault="00577A69" w:rsidP="008B4E20">
      <w:pPr>
        <w:pStyle w:val="NoSpacing"/>
        <w:spacing w:after="240"/>
        <w:jc w:val="both"/>
        <w:rPr>
          <w:rFonts w:ascii="Times New Roman" w:hAnsi="Times New Roman" w:cs="Times New Roman"/>
          <w:bCs/>
          <w:sz w:val="20"/>
          <w:szCs w:val="20"/>
        </w:rPr>
      </w:pPr>
      <w:r w:rsidRPr="008B4E20">
        <w:rPr>
          <w:rFonts w:ascii="Times New Roman" w:hAnsi="Times New Roman" w:cs="Times New Roman"/>
          <w:sz w:val="20"/>
          <w:szCs w:val="20"/>
        </w:rPr>
        <w:t>Notes:</w:t>
      </w:r>
      <w:r w:rsidRPr="00807E3E">
        <w:rPr>
          <w:rFonts w:ascii="Times New Roman" w:hAnsi="Times New Roman" w:cs="Times New Roman"/>
          <w:bCs/>
          <w:sz w:val="20"/>
          <w:szCs w:val="20"/>
        </w:rPr>
        <w:t xml:space="preserve"> Figures refer </w:t>
      </w:r>
      <w:r w:rsidR="00B63C62">
        <w:rPr>
          <w:rFonts w:ascii="Times New Roman" w:hAnsi="Times New Roman" w:cs="Times New Roman"/>
          <w:bCs/>
          <w:sz w:val="20"/>
          <w:szCs w:val="20"/>
        </w:rPr>
        <w:t xml:space="preserve">to </w:t>
      </w:r>
      <w:r w:rsidRPr="00807E3E">
        <w:rPr>
          <w:rFonts w:ascii="Times New Roman" w:hAnsi="Times New Roman" w:cs="Times New Roman"/>
          <w:bCs/>
          <w:sz w:val="20"/>
          <w:szCs w:val="20"/>
        </w:rPr>
        <w:t>unconditional percentages with the age 26 survey weight applied. The ‘average score’ refers to the average along the five-point scale, where 1 = never and 5 = four</w:t>
      </w:r>
      <w:r w:rsidR="00B63C62">
        <w:rPr>
          <w:rFonts w:ascii="Times New Roman" w:hAnsi="Times New Roman" w:cs="Times New Roman"/>
          <w:bCs/>
          <w:sz w:val="20"/>
          <w:szCs w:val="20"/>
        </w:rPr>
        <w:t xml:space="preserve"> </w:t>
      </w:r>
      <w:r w:rsidRPr="00807E3E">
        <w:rPr>
          <w:rFonts w:ascii="Times New Roman" w:hAnsi="Times New Roman" w:cs="Times New Roman"/>
          <w:bCs/>
          <w:sz w:val="20"/>
          <w:szCs w:val="20"/>
        </w:rPr>
        <w:t>times a week or more. Sample sizes are approximately 244 (teachers), 1,357 (lower managerial), 2,094 (graduates), 177 (health workers) and 217 (office jobs).</w:t>
      </w:r>
      <w:r w:rsidR="00875EB6">
        <w:rPr>
          <w:rFonts w:ascii="Times New Roman" w:hAnsi="Times New Roman" w:cs="Times New Roman"/>
          <w:bCs/>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Next Steps dataset</w:t>
      </w:r>
      <w:r w:rsidR="00875EB6" w:rsidRPr="00C15BFD">
        <w:rPr>
          <w:rFonts w:ascii="Times New Roman" w:hAnsi="Times New Roman" w:cs="Times New Roman"/>
          <w:sz w:val="20"/>
          <w:szCs w:val="20"/>
        </w:rPr>
        <w:t>.</w:t>
      </w:r>
    </w:p>
    <w:p w14:paraId="68575309" w14:textId="6B2E3E54" w:rsidR="00577A69" w:rsidRPr="00404DB0" w:rsidRDefault="00577A69" w:rsidP="008B4E20">
      <w:pPr>
        <w:pStyle w:val="NoSpacing"/>
        <w:numPr>
          <w:ilvl w:val="1"/>
          <w:numId w:val="27"/>
        </w:numPr>
        <w:spacing w:after="160" w:line="360" w:lineRule="auto"/>
        <w:ind w:left="357" w:hanging="357"/>
        <w:jc w:val="both"/>
        <w:rPr>
          <w:rFonts w:ascii="Times New Roman" w:hAnsi="Times New Roman" w:cs="Times New Roman"/>
          <w:b/>
          <w:bCs/>
        </w:rPr>
      </w:pPr>
      <w:r>
        <w:rPr>
          <w:rFonts w:ascii="Times New Roman" w:hAnsi="Times New Roman" w:cs="Times New Roman"/>
          <w:b/>
          <w:bCs/>
        </w:rPr>
        <w:t>Summary</w:t>
      </w:r>
    </w:p>
    <w:p w14:paraId="6217B6FD" w14:textId="2AA57D18" w:rsidR="00577A69" w:rsidRPr="00404DB0" w:rsidRDefault="00577A69" w:rsidP="008B4E20">
      <w:pPr>
        <w:pStyle w:val="NoSpacing"/>
        <w:spacing w:after="160" w:line="360" w:lineRule="auto"/>
        <w:jc w:val="both"/>
        <w:rPr>
          <w:rFonts w:ascii="Times New Roman" w:hAnsi="Times New Roman" w:cs="Times New Roman"/>
        </w:rPr>
      </w:pPr>
      <w:r w:rsidRPr="00404DB0">
        <w:rPr>
          <w:rFonts w:ascii="Times New Roman" w:hAnsi="Times New Roman" w:cs="Times New Roman"/>
        </w:rPr>
        <w:t xml:space="preserve">Against conventional wisdom, we </w:t>
      </w:r>
      <w:r>
        <w:rPr>
          <w:rFonts w:ascii="Times New Roman" w:hAnsi="Times New Roman" w:cs="Times New Roman"/>
        </w:rPr>
        <w:t>have found</w:t>
      </w:r>
      <w:r w:rsidRPr="00404DB0">
        <w:rPr>
          <w:rFonts w:ascii="Times New Roman" w:hAnsi="Times New Roman" w:cs="Times New Roman"/>
        </w:rPr>
        <w:t xml:space="preserve"> junior teachers </w:t>
      </w:r>
      <w:r w:rsidR="008A693B">
        <w:rPr>
          <w:rFonts w:ascii="Times New Roman" w:hAnsi="Times New Roman" w:cs="Times New Roman"/>
        </w:rPr>
        <w:t>actually</w:t>
      </w:r>
      <w:r w:rsidR="008A693B" w:rsidRPr="00404DB0">
        <w:rPr>
          <w:rFonts w:ascii="Times New Roman" w:hAnsi="Times New Roman" w:cs="Times New Roman"/>
        </w:rPr>
        <w:t xml:space="preserve"> </w:t>
      </w:r>
      <w:r>
        <w:rPr>
          <w:rFonts w:ascii="Times New Roman" w:hAnsi="Times New Roman" w:cs="Times New Roman"/>
        </w:rPr>
        <w:t xml:space="preserve">to </w:t>
      </w:r>
      <w:r w:rsidRPr="00404DB0">
        <w:rPr>
          <w:rFonts w:ascii="Times New Roman" w:hAnsi="Times New Roman" w:cs="Times New Roman"/>
        </w:rPr>
        <w:t xml:space="preserve">have </w:t>
      </w:r>
      <w:r w:rsidRPr="00404DB0">
        <w:rPr>
          <w:rFonts w:ascii="Times New Roman" w:hAnsi="Times New Roman" w:cs="Times New Roman"/>
          <w:i/>
          <w:iCs/>
          <w:u w:val="single"/>
        </w:rPr>
        <w:t>higher</w:t>
      </w:r>
      <w:r w:rsidRPr="00404DB0">
        <w:rPr>
          <w:rFonts w:ascii="Times New Roman" w:hAnsi="Times New Roman" w:cs="Times New Roman"/>
        </w:rPr>
        <w:t xml:space="preserve"> levels of life satisfaction than their peers working in other occupations and in comparison to their age</w:t>
      </w:r>
      <w:r w:rsidR="008A693B">
        <w:rPr>
          <w:rFonts w:ascii="Times New Roman" w:hAnsi="Times New Roman" w:cs="Times New Roman"/>
        </w:rPr>
        <w:t xml:space="preserve"> </w:t>
      </w:r>
      <w:r w:rsidRPr="00404DB0">
        <w:rPr>
          <w:rFonts w:ascii="Times New Roman" w:hAnsi="Times New Roman" w:cs="Times New Roman"/>
        </w:rPr>
        <w:t>cohort as a whole. Yet, within their jobs, they tend to work much longer hours (at least during term</w:t>
      </w:r>
      <w:r w:rsidR="008A693B">
        <w:rPr>
          <w:rFonts w:ascii="Times New Roman" w:hAnsi="Times New Roman" w:cs="Times New Roman"/>
        </w:rPr>
        <w:t xml:space="preserve"> </w:t>
      </w:r>
      <w:r w:rsidRPr="00404DB0">
        <w:rPr>
          <w:rFonts w:ascii="Times New Roman" w:hAnsi="Times New Roman" w:cs="Times New Roman"/>
        </w:rPr>
        <w:t>time) than those pursuing other careers, and for little extra pay. Importantly, junior teachers are particularly likely to disagree with the statement that ‘</w:t>
      </w:r>
      <w:r w:rsidRPr="00404DB0">
        <w:rPr>
          <w:rFonts w:ascii="Times New Roman" w:hAnsi="Times New Roman" w:cs="Times New Roman"/>
          <w:iCs/>
          <w:szCs w:val="24"/>
        </w:rPr>
        <w:t>Britain is a place where hard work is rewarded’</w:t>
      </w:r>
      <w:r w:rsidRPr="00404DB0">
        <w:rPr>
          <w:rFonts w:ascii="Times New Roman" w:hAnsi="Times New Roman" w:cs="Times New Roman"/>
        </w:rPr>
        <w:t>, potentially highlighting how they feel undervalued and under-appreciated</w:t>
      </w:r>
      <w:r w:rsidR="001C0813">
        <w:rPr>
          <w:rStyle w:val="FootnoteReference"/>
          <w:rFonts w:ascii="Times New Roman" w:hAnsi="Times New Roman" w:cs="Times New Roman"/>
        </w:rPr>
        <w:footnoteReference w:id="17"/>
      </w:r>
      <w:r w:rsidRPr="00404DB0">
        <w:rPr>
          <w:rFonts w:ascii="Times New Roman" w:hAnsi="Times New Roman" w:cs="Times New Roman"/>
        </w:rPr>
        <w:t xml:space="preserve">. </w:t>
      </w:r>
      <w:r w:rsidR="001C0813">
        <w:rPr>
          <w:rFonts w:ascii="Times New Roman" w:hAnsi="Times New Roman" w:cs="Times New Roman"/>
        </w:rPr>
        <w:t xml:space="preserve">Although it is not clear how responses to such questions relate to individual experience – rather than reflecting their current view of Britain as a society </w:t>
      </w:r>
      <w:proofErr w:type="gramStart"/>
      <w:r w:rsidR="008A693B">
        <w:rPr>
          <w:rFonts w:ascii="Times New Roman" w:hAnsi="Times New Roman" w:cs="Times New Roman"/>
        </w:rPr>
        <w:t xml:space="preserve">– </w:t>
      </w:r>
      <w:r w:rsidR="001C0813">
        <w:rPr>
          <w:rFonts w:ascii="Times New Roman" w:hAnsi="Times New Roman" w:cs="Times New Roman"/>
        </w:rPr>
        <w:t xml:space="preserve"> it</w:t>
      </w:r>
      <w:proofErr w:type="gramEnd"/>
      <w:r w:rsidRPr="00404DB0">
        <w:rPr>
          <w:rFonts w:ascii="Times New Roman" w:hAnsi="Times New Roman" w:cs="Times New Roman"/>
        </w:rPr>
        <w:t xml:space="preserve"> is</w:t>
      </w:r>
      <w:r w:rsidR="001C0813">
        <w:rPr>
          <w:rFonts w:ascii="Times New Roman" w:hAnsi="Times New Roman" w:cs="Times New Roman"/>
        </w:rPr>
        <w:t xml:space="preserve"> nevertheless</w:t>
      </w:r>
      <w:r w:rsidRPr="00404DB0">
        <w:rPr>
          <w:rFonts w:ascii="Times New Roman" w:hAnsi="Times New Roman" w:cs="Times New Roman"/>
        </w:rPr>
        <w:t xml:space="preserve"> consistent with the findings of Jerrim and Sims (2019:118), who used TALIS 2018 to show how most teachers in England do not feel valued by the policymakers, the media and society as a whole. However, despite regular news stories about the stress associated with being a junior teacher (Busby</w:t>
      </w:r>
      <w:r w:rsidR="00F867A9">
        <w:rPr>
          <w:rFonts w:ascii="Times New Roman" w:hAnsi="Times New Roman" w:cs="Times New Roman"/>
        </w:rPr>
        <w:t>,</w:t>
      </w:r>
      <w:r w:rsidRPr="00404DB0">
        <w:rPr>
          <w:rFonts w:ascii="Times New Roman" w:hAnsi="Times New Roman" w:cs="Times New Roman"/>
        </w:rPr>
        <w:t xml:space="preserve"> 2018) and increasing mental health problems within the profession (Bulman</w:t>
      </w:r>
      <w:r w:rsidR="00F867A9">
        <w:rPr>
          <w:rFonts w:ascii="Times New Roman" w:hAnsi="Times New Roman" w:cs="Times New Roman"/>
        </w:rPr>
        <w:t>,</w:t>
      </w:r>
      <w:r w:rsidRPr="00404DB0">
        <w:rPr>
          <w:rFonts w:ascii="Times New Roman" w:hAnsi="Times New Roman" w:cs="Times New Roman"/>
        </w:rPr>
        <w:t xml:space="preserve"> 2018), we find little evidence that the mental health of junior teachers is any worse than within other occupational groups. This holds true for responses to a widely used and validated mental health </w:t>
      </w:r>
      <w:r w:rsidRPr="00404DB0">
        <w:rPr>
          <w:rFonts w:ascii="Times New Roman" w:hAnsi="Times New Roman" w:cs="Times New Roman"/>
        </w:rPr>
        <w:lastRenderedPageBreak/>
        <w:t xml:space="preserve">screening questionnaire (the GHQ) and also for a selection of other behaviours linked to stress, anxiety and depression, such as quantity and quality of sleep and excessive alcohol consumption. Likewise, despite the long hours that teachers work, there is no evidence that they have a less active social life than those working in other jobs. </w:t>
      </w:r>
    </w:p>
    <w:p w14:paraId="2B2AADF0" w14:textId="4C4E597C" w:rsidR="0091393E" w:rsidRPr="001C0813" w:rsidRDefault="00577A69" w:rsidP="008B4E20">
      <w:pPr>
        <w:pStyle w:val="NoSpacing"/>
        <w:spacing w:after="160" w:line="360" w:lineRule="auto"/>
        <w:jc w:val="both"/>
        <w:rPr>
          <w:rFonts w:ascii="Times New Roman" w:hAnsi="Times New Roman" w:cs="Times New Roman"/>
        </w:rPr>
      </w:pPr>
      <w:r w:rsidRPr="00404DB0">
        <w:rPr>
          <w:rFonts w:ascii="Times New Roman" w:hAnsi="Times New Roman" w:cs="Times New Roman"/>
        </w:rPr>
        <w:t>The key area where</w:t>
      </w:r>
      <w:r>
        <w:rPr>
          <w:rFonts w:ascii="Times New Roman" w:hAnsi="Times New Roman" w:cs="Times New Roman"/>
        </w:rPr>
        <w:t xml:space="preserve"> recently</w:t>
      </w:r>
      <w:r w:rsidR="0078104D">
        <w:rPr>
          <w:rFonts w:ascii="Times New Roman" w:hAnsi="Times New Roman" w:cs="Times New Roman"/>
        </w:rPr>
        <w:t xml:space="preserve"> </w:t>
      </w:r>
      <w:r>
        <w:rPr>
          <w:rFonts w:ascii="Times New Roman" w:hAnsi="Times New Roman" w:cs="Times New Roman"/>
        </w:rPr>
        <w:t>qualified teachers seem to be</w:t>
      </w:r>
      <w:r w:rsidRPr="00404DB0">
        <w:rPr>
          <w:rFonts w:ascii="Times New Roman" w:hAnsi="Times New Roman" w:cs="Times New Roman"/>
        </w:rPr>
        <w:t xml:space="preserve"> worse off than young people in other jobs </w:t>
      </w:r>
      <w:r>
        <w:rPr>
          <w:rFonts w:ascii="Times New Roman" w:hAnsi="Times New Roman" w:cs="Times New Roman"/>
        </w:rPr>
        <w:t>hence seems to be</w:t>
      </w:r>
      <w:r w:rsidRPr="00404DB0">
        <w:rPr>
          <w:rFonts w:ascii="Times New Roman" w:hAnsi="Times New Roman" w:cs="Times New Roman"/>
        </w:rPr>
        <w:t xml:space="preserve"> the long hours that they work (at least during term</w:t>
      </w:r>
      <w:r w:rsidR="0078104D">
        <w:rPr>
          <w:rFonts w:ascii="Times New Roman" w:hAnsi="Times New Roman" w:cs="Times New Roman"/>
        </w:rPr>
        <w:t xml:space="preserve"> </w:t>
      </w:r>
      <w:r w:rsidRPr="00404DB0">
        <w:rPr>
          <w:rFonts w:ascii="Times New Roman" w:hAnsi="Times New Roman" w:cs="Times New Roman"/>
        </w:rPr>
        <w:t>time) and that they are less likely to believe that ‘</w:t>
      </w:r>
      <w:r w:rsidRPr="00404DB0">
        <w:rPr>
          <w:rFonts w:ascii="Times New Roman" w:hAnsi="Times New Roman" w:cs="Times New Roman"/>
          <w:iCs/>
          <w:szCs w:val="24"/>
        </w:rPr>
        <w:t>Britain today is a place where hard work is rewarded</w:t>
      </w:r>
      <w:r w:rsidRPr="00404DB0">
        <w:rPr>
          <w:rFonts w:ascii="Times New Roman" w:hAnsi="Times New Roman" w:cs="Times New Roman"/>
        </w:rPr>
        <w:t>’. While there are many initiatives currently under</w:t>
      </w:r>
      <w:r w:rsidR="0078104D">
        <w:rPr>
          <w:rFonts w:ascii="Times New Roman" w:hAnsi="Times New Roman" w:cs="Times New Roman"/>
        </w:rPr>
        <w:t xml:space="preserve"> </w:t>
      </w:r>
      <w:r w:rsidRPr="00404DB0">
        <w:rPr>
          <w:rFonts w:ascii="Times New Roman" w:hAnsi="Times New Roman" w:cs="Times New Roman"/>
        </w:rPr>
        <w:t xml:space="preserve">way attempting to tackle the former (workload), there is much less policy discussion about the latter (teachers feeling that hard work goes unrewarded). Yet these two factors are potentially a toxic mix. If junior teachers are expected to work long hours – but do not feel that this effort is appreciated – it is little wonder why many end up choosing to leave. More work needs to be done to understand exactly why young teachers in England feel this way. But it does nevertheless suggest that government, education policymakers and school leaders need to make greater efforts to show junior teachers that their hard work and dedication to the job is highly valued and sincerely appreciated. </w:t>
      </w:r>
    </w:p>
    <w:p w14:paraId="058F0790" w14:textId="77777777" w:rsidR="001A10E6" w:rsidRDefault="001A10E6">
      <w:pPr>
        <w:spacing w:line="259" w:lineRule="auto"/>
        <w:rPr>
          <w:rFonts w:ascii="Times New Roman" w:eastAsiaTheme="majorEastAsia" w:hAnsi="Times New Roman" w:cs="Times New Roman"/>
          <w:b/>
          <w:color w:val="262626" w:themeColor="text1" w:themeTint="D9"/>
          <w:spacing w:val="-15"/>
          <w:sz w:val="40"/>
          <w:szCs w:val="40"/>
        </w:rPr>
      </w:pPr>
      <w:r>
        <w:rPr>
          <w:rFonts w:ascii="Times New Roman" w:hAnsi="Times New Roman" w:cs="Times New Roman"/>
          <w:szCs w:val="40"/>
        </w:rPr>
        <w:br w:type="page"/>
      </w:r>
    </w:p>
    <w:p w14:paraId="50CC9154" w14:textId="47DBF8E1" w:rsidR="00D5024D" w:rsidRPr="00B15EF5" w:rsidRDefault="00440E80" w:rsidP="008B4E20">
      <w:pPr>
        <w:pStyle w:val="Heading1UCL"/>
        <w:rPr>
          <w:lang w:eastAsia="en-GB"/>
        </w:rPr>
      </w:pPr>
      <w:bookmarkStart w:id="14" w:name="_Toc67406008"/>
      <w:r w:rsidRPr="00B15EF5">
        <w:rPr>
          <w:szCs w:val="40"/>
        </w:rPr>
        <w:lastRenderedPageBreak/>
        <w:t xml:space="preserve">Chapter 8 </w:t>
      </w:r>
      <w:proofErr w:type="gramStart"/>
      <w:r w:rsidRPr="00B15EF5">
        <w:rPr>
          <w:lang w:eastAsia="en-GB"/>
        </w:rPr>
        <w:t>Is</w:t>
      </w:r>
      <w:proofErr w:type="gramEnd"/>
      <w:r w:rsidRPr="00B15EF5">
        <w:rPr>
          <w:lang w:eastAsia="en-GB"/>
        </w:rPr>
        <w:t xml:space="preserve"> there an association between leaving teaching and improvements in mental health?</w:t>
      </w:r>
      <w:bookmarkEnd w:id="14"/>
    </w:p>
    <w:p w14:paraId="336A125B" w14:textId="77777777" w:rsidR="00440E80" w:rsidRPr="00440E80" w:rsidRDefault="00440E80" w:rsidP="008B4E20">
      <w:pPr>
        <w:pStyle w:val="Heading1UCL"/>
        <w:rPr>
          <w:lang w:eastAsia="en-GB"/>
        </w:rPr>
      </w:pPr>
    </w:p>
    <w:p w14:paraId="074F08A0" w14:textId="77777777" w:rsidR="00440E80" w:rsidRPr="00440E80" w:rsidRDefault="00440E80" w:rsidP="008B4E20">
      <w:pPr>
        <w:pStyle w:val="ListParagraph"/>
        <w:numPr>
          <w:ilvl w:val="1"/>
          <w:numId w:val="28"/>
        </w:numPr>
        <w:spacing w:line="360" w:lineRule="auto"/>
        <w:ind w:left="357" w:hanging="357"/>
        <w:jc w:val="both"/>
        <w:rPr>
          <w:rFonts w:ascii="Times New Roman" w:hAnsi="Times New Roman" w:cs="Times New Roman"/>
          <w:b/>
          <w:sz w:val="24"/>
          <w:szCs w:val="24"/>
        </w:rPr>
      </w:pPr>
      <w:r w:rsidRPr="00440E80">
        <w:rPr>
          <w:rFonts w:ascii="Times New Roman" w:hAnsi="Times New Roman" w:cs="Times New Roman"/>
          <w:b/>
          <w:sz w:val="24"/>
          <w:szCs w:val="24"/>
        </w:rPr>
        <w:t>Introduction</w:t>
      </w:r>
    </w:p>
    <w:p w14:paraId="7E0A9440" w14:textId="5CE7A12F" w:rsidR="00440E80" w:rsidRPr="00440E80" w:rsidRDefault="00440E80" w:rsidP="00D5024D">
      <w:pPr>
        <w:spacing w:line="360" w:lineRule="auto"/>
        <w:jc w:val="both"/>
        <w:rPr>
          <w:rFonts w:ascii="Times New Roman" w:hAnsi="Times New Roman" w:cs="Times New Roman"/>
          <w:sz w:val="24"/>
          <w:szCs w:val="24"/>
        </w:rPr>
      </w:pPr>
      <w:r w:rsidRPr="00440E80">
        <w:rPr>
          <w:rFonts w:ascii="Times New Roman" w:hAnsi="Times New Roman" w:cs="Times New Roman"/>
          <w:sz w:val="24"/>
          <w:szCs w:val="24"/>
        </w:rPr>
        <w:t xml:space="preserve">Whereas the previous chapter focused upon a cohort of younger, recently qualified teachers, this chapter turns to those who have been working in the teaching profession for a number of years and may be considering moving to another job. In particular, those </w:t>
      </w:r>
      <w:r w:rsidRPr="00440E80">
        <w:rPr>
          <w:rFonts w:ascii="Times New Roman" w:hAnsi="Times New Roman" w:cs="Times New Roman"/>
          <w:color w:val="000000" w:themeColor="text1"/>
          <w:sz w:val="24"/>
          <w:szCs w:val="24"/>
        </w:rPr>
        <w:t>teachers who are contemplating a change of career may wonder if by doing so they will have higher levels of wellbeing, and a lower likelihood of developing mental health problems, than those who choose to remain?</w:t>
      </w:r>
    </w:p>
    <w:p w14:paraId="76E648F1" w14:textId="66C814C7" w:rsidR="00440E80" w:rsidRPr="00440E80" w:rsidRDefault="00440E80" w:rsidP="00440E80">
      <w:pPr>
        <w:spacing w:line="360" w:lineRule="auto"/>
        <w:jc w:val="both"/>
        <w:rPr>
          <w:rFonts w:ascii="Times New Roman" w:hAnsi="Times New Roman" w:cs="Times New Roman"/>
          <w:sz w:val="24"/>
          <w:szCs w:val="24"/>
        </w:rPr>
      </w:pPr>
      <w:r w:rsidRPr="00440E80">
        <w:rPr>
          <w:rFonts w:ascii="Times New Roman" w:hAnsi="Times New Roman" w:cs="Times New Roman"/>
          <w:sz w:val="24"/>
          <w:szCs w:val="24"/>
        </w:rPr>
        <w:t xml:space="preserve">The evidence in relation to teachers on this matter is limited. The study most comparable to the work presented in this chapter is that of Bamford and </w:t>
      </w:r>
      <w:proofErr w:type="gramStart"/>
      <w:r w:rsidRPr="00440E80">
        <w:rPr>
          <w:rFonts w:ascii="Times New Roman" w:hAnsi="Times New Roman" w:cs="Times New Roman"/>
          <w:sz w:val="24"/>
          <w:szCs w:val="24"/>
        </w:rPr>
        <w:t>Worth</w:t>
      </w:r>
      <w:proofErr w:type="gramEnd"/>
      <w:r w:rsidRPr="00440E80">
        <w:rPr>
          <w:rFonts w:ascii="Times New Roman" w:hAnsi="Times New Roman" w:cs="Times New Roman"/>
          <w:sz w:val="24"/>
          <w:szCs w:val="24"/>
        </w:rPr>
        <w:t xml:space="preserve"> (2017). They found that teachers who left the profession experience a large increase in job satisfaction, and a small increase in subjective wellbeing, compared with those who decided to stay. </w:t>
      </w:r>
      <w:r w:rsidRPr="00440E80">
        <w:rPr>
          <w:rFonts w:ascii="Times New Roman" w:hAnsi="Times New Roman" w:cs="Times New Roman"/>
          <w:color w:val="000000" w:themeColor="text1"/>
          <w:sz w:val="24"/>
          <w:szCs w:val="24"/>
        </w:rPr>
        <w:t xml:space="preserve">This chapter seeks to contribute further evidence to this understudied area, with a particular focus upon the wellbeing and mental health outcomes of current and former teachers aged between 40 and 65 within the UK. </w:t>
      </w:r>
      <w:r w:rsidRPr="00440E80">
        <w:rPr>
          <w:rFonts w:ascii="Times New Roman" w:hAnsi="Times New Roman" w:cs="Times New Roman"/>
          <w:sz w:val="24"/>
          <w:szCs w:val="24"/>
        </w:rPr>
        <w:t xml:space="preserve">It is, to our knowledge, the first study to utilise the UK Biobank dataset to investigate this issue. Through this data, we have access to a wide array of information about respondents’ wellbeing and mental health. This not only includes responses to standardised questionnaires (as have previously been used in this literature) but also prescription of common medicines used for conditions such as anxiety, depression and insomnia. These data can therefore be used to explore the mental health outcomes of current and former teachers across a wide range of important measures. </w:t>
      </w:r>
    </w:p>
    <w:p w14:paraId="7B8942C1" w14:textId="77777777" w:rsidR="00440E80" w:rsidRPr="00440E80" w:rsidRDefault="00440E80" w:rsidP="00440E80">
      <w:pPr>
        <w:spacing w:line="360" w:lineRule="auto"/>
        <w:jc w:val="both"/>
        <w:rPr>
          <w:rFonts w:ascii="Times New Roman" w:hAnsi="Times New Roman" w:cs="Times New Roman"/>
          <w:b/>
          <w:bCs/>
          <w:sz w:val="24"/>
          <w:szCs w:val="24"/>
        </w:rPr>
      </w:pPr>
      <w:r w:rsidRPr="00440E80">
        <w:rPr>
          <w:rFonts w:ascii="Times New Roman" w:hAnsi="Times New Roman" w:cs="Times New Roman"/>
          <w:b/>
          <w:bCs/>
          <w:sz w:val="24"/>
          <w:szCs w:val="24"/>
        </w:rPr>
        <w:t>8.2 UK Biobank data</w:t>
      </w:r>
    </w:p>
    <w:p w14:paraId="5BD2D408" w14:textId="6D848E7D" w:rsidR="00440E80" w:rsidRPr="00440E80" w:rsidRDefault="00440E80" w:rsidP="00440E80">
      <w:pPr>
        <w:spacing w:line="360" w:lineRule="auto"/>
        <w:jc w:val="both"/>
        <w:rPr>
          <w:rFonts w:ascii="Times New Roman" w:hAnsi="Times New Roman" w:cs="Times New Roman"/>
          <w:color w:val="000000" w:themeColor="text1"/>
          <w:sz w:val="24"/>
          <w:szCs w:val="24"/>
        </w:rPr>
      </w:pPr>
      <w:r w:rsidRPr="00440E80">
        <w:rPr>
          <w:rFonts w:ascii="Times New Roman" w:hAnsi="Times New Roman" w:cs="Times New Roman"/>
          <w:sz w:val="24"/>
          <w:szCs w:val="24"/>
        </w:rPr>
        <w:t>The initial UK Biobank data collection took place between 2006 and 2010, recruiting around half a million volunteers aged between 40 and 69. Participants attended an initial assessment centre, where they completed questionnaires, were interviewed by a trained health professional (in order to collect accurate information about medical conditions and currently prescribed drugs) and underwent so</w:t>
      </w:r>
      <w:r w:rsidRPr="00440E80">
        <w:rPr>
          <w:rFonts w:ascii="Times New Roman" w:hAnsi="Times New Roman" w:cs="Times New Roman"/>
          <w:color w:val="000000" w:themeColor="text1"/>
          <w:sz w:val="24"/>
          <w:szCs w:val="24"/>
        </w:rPr>
        <w:t>me basic health checks</w:t>
      </w:r>
      <w:r w:rsidRPr="00440E80">
        <w:rPr>
          <w:rStyle w:val="Emphasis"/>
          <w:rFonts w:ascii="Times New Roman" w:hAnsi="Times New Roman" w:cs="Times New Roman"/>
          <w:color w:val="000000" w:themeColor="text1"/>
          <w:sz w:val="24"/>
          <w:szCs w:val="24"/>
        </w:rPr>
        <w:t xml:space="preserve">. </w:t>
      </w:r>
      <w:r w:rsidRPr="00440E80">
        <w:rPr>
          <w:rFonts w:ascii="Times New Roman" w:hAnsi="Times New Roman" w:cs="Times New Roman"/>
          <w:color w:val="000000" w:themeColor="text1"/>
          <w:sz w:val="24"/>
          <w:szCs w:val="24"/>
        </w:rPr>
        <w:t xml:space="preserve">This included a set of questions designed to measure </w:t>
      </w:r>
      <w:r w:rsidRPr="00440E80">
        <w:rPr>
          <w:rFonts w:ascii="Times New Roman" w:hAnsi="Times New Roman" w:cs="Times New Roman"/>
          <w:color w:val="000000"/>
          <w:sz w:val="24"/>
          <w:szCs w:val="24"/>
        </w:rPr>
        <w:t>neuroticism (e.g. ‘do you suffer from nerves’), depression (e.g. ‘how often felt unenthusiastic/ disinterest over the last two weeks’), sleep quality and quantity, alcohol intake, overall happiness (e.g. ‘</w:t>
      </w:r>
      <w:r w:rsidRPr="00440E80">
        <w:rPr>
          <w:rFonts w:ascii="Times New Roman" w:hAnsi="Times New Roman" w:cs="Times New Roman"/>
          <w:color w:val="000000"/>
          <w:sz w:val="24"/>
          <w:szCs w:val="24"/>
          <w:shd w:val="clear" w:color="auto" w:fill="FFFFFF"/>
        </w:rPr>
        <w:t xml:space="preserve">in general, how happy are you’) and happiness with different aspects </w:t>
      </w:r>
      <w:r w:rsidRPr="00440E80">
        <w:rPr>
          <w:rFonts w:ascii="Times New Roman" w:hAnsi="Times New Roman" w:cs="Times New Roman"/>
          <w:color w:val="000000"/>
          <w:sz w:val="24"/>
          <w:szCs w:val="24"/>
          <w:shd w:val="clear" w:color="auto" w:fill="FFFFFF"/>
        </w:rPr>
        <w:lastRenderedPageBreak/>
        <w:t xml:space="preserve">of life (e.g. how happy felt with work, family, finances, friends, health). They were also asked about medicines they were currently </w:t>
      </w:r>
      <w:r w:rsidR="00C76F55">
        <w:rPr>
          <w:rFonts w:ascii="Times New Roman" w:hAnsi="Times New Roman" w:cs="Times New Roman"/>
          <w:color w:val="000000"/>
          <w:sz w:val="24"/>
          <w:szCs w:val="24"/>
          <w:shd w:val="clear" w:color="auto" w:fill="FFFFFF"/>
        </w:rPr>
        <w:t xml:space="preserve">taking </w:t>
      </w:r>
      <w:r w:rsidRPr="00440E80">
        <w:rPr>
          <w:rFonts w:ascii="Times New Roman" w:hAnsi="Times New Roman" w:cs="Times New Roman"/>
          <w:color w:val="000000"/>
          <w:sz w:val="24"/>
          <w:szCs w:val="24"/>
          <w:shd w:val="clear" w:color="auto" w:fill="FFFFFF"/>
        </w:rPr>
        <w:t xml:space="preserve">by a trained nurse and any medical conditions that had </w:t>
      </w:r>
      <w:r w:rsidR="00C76F55">
        <w:rPr>
          <w:rFonts w:ascii="Times New Roman" w:hAnsi="Times New Roman" w:cs="Times New Roman"/>
          <w:color w:val="000000"/>
          <w:sz w:val="24"/>
          <w:szCs w:val="24"/>
          <w:shd w:val="clear" w:color="auto" w:fill="FFFFFF"/>
        </w:rPr>
        <w:t xml:space="preserve">been </w:t>
      </w:r>
      <w:r w:rsidRPr="00440E80">
        <w:rPr>
          <w:rFonts w:ascii="Times New Roman" w:hAnsi="Times New Roman" w:cs="Times New Roman"/>
          <w:color w:val="000000"/>
          <w:sz w:val="24"/>
          <w:szCs w:val="24"/>
          <w:shd w:val="clear" w:color="auto" w:fill="FFFFFF"/>
        </w:rPr>
        <w:t>diagnosed. We use this information to derive binary indicators of whether the respondent had a mental health condition and whether they were prescribed antidepressants at the time the assessment centres took place. See Jerrim et al</w:t>
      </w:r>
      <w:r w:rsidR="00AB4E1D">
        <w:rPr>
          <w:rFonts w:ascii="Times New Roman" w:hAnsi="Times New Roman" w:cs="Times New Roman"/>
          <w:color w:val="000000"/>
          <w:sz w:val="24"/>
          <w:szCs w:val="24"/>
          <w:shd w:val="clear" w:color="auto" w:fill="FFFFFF"/>
        </w:rPr>
        <w:t>.</w:t>
      </w:r>
      <w:r w:rsidRPr="00440E80">
        <w:rPr>
          <w:rFonts w:ascii="Times New Roman" w:hAnsi="Times New Roman" w:cs="Times New Roman"/>
          <w:color w:val="000000"/>
          <w:sz w:val="24"/>
          <w:szCs w:val="24"/>
          <w:shd w:val="clear" w:color="auto" w:fill="FFFFFF"/>
        </w:rPr>
        <w:t xml:space="preserve"> (2020c) for further details about the measures used.</w:t>
      </w:r>
    </w:p>
    <w:p w14:paraId="421D22BA" w14:textId="1D6A1B29" w:rsidR="00440E80" w:rsidRPr="00440E80" w:rsidRDefault="00440E80" w:rsidP="00440E80">
      <w:pPr>
        <w:spacing w:line="360" w:lineRule="auto"/>
        <w:jc w:val="both"/>
        <w:rPr>
          <w:rFonts w:ascii="Times New Roman" w:hAnsi="Times New Roman" w:cs="Times New Roman"/>
          <w:sz w:val="24"/>
          <w:szCs w:val="24"/>
        </w:rPr>
      </w:pPr>
      <w:r w:rsidRPr="00440E80">
        <w:rPr>
          <w:rStyle w:val="Emphasis"/>
          <w:rFonts w:ascii="Times New Roman" w:hAnsi="Times New Roman" w:cs="Times New Roman"/>
          <w:i w:val="0"/>
          <w:color w:val="000000" w:themeColor="text1"/>
          <w:sz w:val="24"/>
          <w:szCs w:val="24"/>
        </w:rPr>
        <w:t xml:space="preserve"> In 2016,</w:t>
      </w:r>
      <w:r w:rsidRPr="00440E80">
        <w:rPr>
          <w:rStyle w:val="Emphasis"/>
          <w:rFonts w:ascii="Times New Roman" w:hAnsi="Times New Roman" w:cs="Times New Roman"/>
          <w:color w:val="000000" w:themeColor="text1"/>
          <w:sz w:val="24"/>
          <w:szCs w:val="24"/>
        </w:rPr>
        <w:t xml:space="preserve"> </w:t>
      </w:r>
      <w:r w:rsidRPr="00440E80">
        <w:rPr>
          <w:rFonts w:ascii="Times New Roman" w:hAnsi="Times New Roman" w:cs="Times New Roman"/>
          <w:color w:val="000000" w:themeColor="text1"/>
          <w:sz w:val="24"/>
          <w:szCs w:val="24"/>
        </w:rPr>
        <w:t xml:space="preserve">117,500 participants also completed an online ‘occupational career’ questionnaire, enabling us to identify current and former teachers (including when the latter left the profession). </w:t>
      </w:r>
      <w:r w:rsidRPr="00440E80">
        <w:rPr>
          <w:rFonts w:ascii="Times New Roman" w:hAnsi="Times New Roman" w:cs="Times New Roman"/>
          <w:sz w:val="24"/>
          <w:szCs w:val="24"/>
        </w:rPr>
        <w:t>In total, 16,662 individuals were currently working as teachers when the initial assessment centre took place</w:t>
      </w:r>
      <w:r w:rsidR="005D2FE7">
        <w:rPr>
          <w:rFonts w:ascii="Times New Roman" w:hAnsi="Times New Roman" w:cs="Times New Roman"/>
          <w:sz w:val="24"/>
          <w:szCs w:val="24"/>
        </w:rPr>
        <w:t>:</w:t>
      </w:r>
      <w:r w:rsidR="005D2FE7" w:rsidRPr="00440E80">
        <w:rPr>
          <w:rFonts w:ascii="Times New Roman" w:hAnsi="Times New Roman" w:cs="Times New Roman"/>
          <w:sz w:val="24"/>
          <w:szCs w:val="24"/>
        </w:rPr>
        <w:t xml:space="preserve"> </w:t>
      </w:r>
      <w:r w:rsidRPr="00440E80">
        <w:rPr>
          <w:rFonts w:ascii="Times New Roman" w:hAnsi="Times New Roman" w:cs="Times New Roman"/>
          <w:sz w:val="24"/>
          <w:szCs w:val="24"/>
        </w:rPr>
        <w:t>1,271 had left within the last five years</w:t>
      </w:r>
      <w:r w:rsidR="005D2FE7">
        <w:rPr>
          <w:rFonts w:ascii="Times New Roman" w:hAnsi="Times New Roman" w:cs="Times New Roman"/>
          <w:sz w:val="24"/>
          <w:szCs w:val="24"/>
        </w:rPr>
        <w:t>,</w:t>
      </w:r>
      <w:r w:rsidR="005D2FE7" w:rsidRPr="00440E80">
        <w:rPr>
          <w:rFonts w:ascii="Times New Roman" w:hAnsi="Times New Roman" w:cs="Times New Roman"/>
          <w:sz w:val="24"/>
          <w:szCs w:val="24"/>
        </w:rPr>
        <w:t xml:space="preserve"> </w:t>
      </w:r>
      <w:r w:rsidRPr="00440E80">
        <w:rPr>
          <w:rFonts w:ascii="Times New Roman" w:hAnsi="Times New Roman" w:cs="Times New Roman"/>
          <w:sz w:val="24"/>
          <w:szCs w:val="24"/>
        </w:rPr>
        <w:t xml:space="preserve">661 had left five to ten years ago and 2,214 had left more than </w:t>
      </w:r>
      <w:r w:rsidR="006137C8">
        <w:rPr>
          <w:rFonts w:ascii="Times New Roman" w:hAnsi="Times New Roman" w:cs="Times New Roman"/>
          <w:sz w:val="24"/>
          <w:szCs w:val="24"/>
        </w:rPr>
        <w:t>ten</w:t>
      </w:r>
      <w:r w:rsidR="006137C8" w:rsidRPr="00440E80">
        <w:rPr>
          <w:rFonts w:ascii="Times New Roman" w:hAnsi="Times New Roman" w:cs="Times New Roman"/>
          <w:sz w:val="24"/>
          <w:szCs w:val="24"/>
        </w:rPr>
        <w:t xml:space="preserve"> </w:t>
      </w:r>
      <w:r w:rsidRPr="00440E80">
        <w:rPr>
          <w:rFonts w:ascii="Times New Roman" w:hAnsi="Times New Roman" w:cs="Times New Roman"/>
          <w:sz w:val="24"/>
          <w:szCs w:val="24"/>
        </w:rPr>
        <w:t>years previously.</w:t>
      </w:r>
      <w:r w:rsidR="00857B78">
        <w:rPr>
          <w:rFonts w:ascii="Times New Roman" w:hAnsi="Times New Roman" w:cs="Times New Roman"/>
          <w:sz w:val="24"/>
          <w:szCs w:val="24"/>
        </w:rPr>
        <w:t xml:space="preserve"> Note that, throughout this chapter, the ‘teachers’ group of interest encompasses primary and secondary teachers, as well as </w:t>
      </w:r>
      <w:proofErr w:type="spellStart"/>
      <w:r w:rsidR="00857B78">
        <w:rPr>
          <w:rFonts w:ascii="Times New Roman" w:hAnsi="Times New Roman" w:cs="Times New Roman"/>
          <w:sz w:val="24"/>
          <w:szCs w:val="24"/>
        </w:rPr>
        <w:t>headteachers</w:t>
      </w:r>
      <w:proofErr w:type="spellEnd"/>
      <w:r w:rsidR="00857B78">
        <w:rPr>
          <w:rFonts w:ascii="Times New Roman" w:hAnsi="Times New Roman" w:cs="Times New Roman"/>
          <w:sz w:val="24"/>
          <w:szCs w:val="24"/>
        </w:rPr>
        <w:t>.</w:t>
      </w:r>
      <w:r w:rsidRPr="00440E80">
        <w:rPr>
          <w:rFonts w:ascii="Times New Roman" w:hAnsi="Times New Roman" w:cs="Times New Roman"/>
          <w:sz w:val="24"/>
          <w:szCs w:val="24"/>
        </w:rPr>
        <w:t xml:space="preserve"> Table 8.1 provides some descriptive information about how the background characteristics of the Biobank sample compares to the estimates of the population of age 40</w:t>
      </w:r>
      <w:r w:rsidR="00956FD7">
        <w:rPr>
          <w:rFonts w:ascii="Times New Roman" w:hAnsi="Times New Roman" w:cs="Times New Roman"/>
          <w:sz w:val="24"/>
          <w:szCs w:val="24"/>
        </w:rPr>
        <w:sym w:font="Symbol" w:char="F02D"/>
      </w:r>
      <w:r w:rsidRPr="00440E80">
        <w:rPr>
          <w:rFonts w:ascii="Times New Roman" w:hAnsi="Times New Roman" w:cs="Times New Roman"/>
          <w:sz w:val="24"/>
          <w:szCs w:val="24"/>
        </w:rPr>
        <w:t>65-year-old teachers (based upon nationally representative sample surveys). On the whole, the Biobank sample is reasonably similar to these population estimates, at least in terms of the observable characteristics considered. Based upon this sample, we use regression modelling to compare current teachers to former teachers in terms of each of the outcome measures described above</w:t>
      </w:r>
      <w:r w:rsidRPr="00440E80">
        <w:rPr>
          <w:rStyle w:val="FootnoteReference"/>
          <w:rFonts w:ascii="Times New Roman" w:hAnsi="Times New Roman" w:cs="Times New Roman"/>
          <w:sz w:val="24"/>
          <w:szCs w:val="24"/>
        </w:rPr>
        <w:footnoteReference w:id="18"/>
      </w:r>
      <w:r w:rsidRPr="00440E80">
        <w:rPr>
          <w:rFonts w:ascii="Times New Roman" w:hAnsi="Times New Roman" w:cs="Times New Roman"/>
          <w:sz w:val="24"/>
          <w:szCs w:val="24"/>
        </w:rPr>
        <w:t xml:space="preserve">.  </w:t>
      </w:r>
    </w:p>
    <w:p w14:paraId="72CA2204" w14:textId="330863DA" w:rsidR="00440E80" w:rsidRPr="00440E80" w:rsidRDefault="00440E80" w:rsidP="00440E80">
      <w:pPr>
        <w:spacing w:line="360" w:lineRule="auto"/>
        <w:jc w:val="both"/>
        <w:rPr>
          <w:rFonts w:ascii="Times New Roman" w:hAnsi="Times New Roman" w:cs="Times New Roman"/>
          <w:b/>
          <w:sz w:val="24"/>
          <w:szCs w:val="24"/>
        </w:rPr>
      </w:pPr>
      <w:r w:rsidRPr="00440E80">
        <w:rPr>
          <w:rFonts w:ascii="Times New Roman" w:hAnsi="Times New Roman" w:cs="Times New Roman"/>
          <w:color w:val="000000"/>
          <w:sz w:val="24"/>
          <w:szCs w:val="24"/>
        </w:rPr>
        <w:t>A subset of Biobank participants completed return visits to the assessment centre, providing a longitudinal element to the dataset. Most of the same data were collected as in the initial assessment centre. Critically, this means we can identify individuals who have changed job between the two assessment centres (e.g. individuals who joined or left the teaching profession) and measure change in the aforementioned measures of mental health and wellbeing</w:t>
      </w:r>
      <w:r w:rsidRPr="00440E80">
        <w:rPr>
          <w:rStyle w:val="FootnoteReference"/>
          <w:rFonts w:ascii="Times New Roman" w:hAnsi="Times New Roman" w:cs="Times New Roman"/>
          <w:color w:val="000000"/>
          <w:sz w:val="24"/>
          <w:szCs w:val="24"/>
        </w:rPr>
        <w:footnoteReference w:id="19"/>
      </w:r>
      <w:r w:rsidRPr="00440E80">
        <w:rPr>
          <w:rFonts w:ascii="Times New Roman" w:hAnsi="Times New Roman" w:cs="Times New Roman"/>
          <w:color w:val="000000"/>
          <w:sz w:val="24"/>
          <w:szCs w:val="24"/>
        </w:rPr>
        <w:t>. In total, 925 individuals were teachers at both the baseline and follow-up assessment centres, 167 had</w:t>
      </w:r>
      <w:r w:rsidR="004812D3">
        <w:rPr>
          <w:rFonts w:ascii="Times New Roman" w:hAnsi="Times New Roman" w:cs="Times New Roman"/>
          <w:color w:val="000000"/>
          <w:sz w:val="24"/>
          <w:szCs w:val="24"/>
        </w:rPr>
        <w:t xml:space="preserve"> </w:t>
      </w:r>
      <w:r w:rsidRPr="00440E80">
        <w:rPr>
          <w:rFonts w:ascii="Times New Roman" w:hAnsi="Times New Roman" w:cs="Times New Roman"/>
          <w:color w:val="000000"/>
          <w:sz w:val="24"/>
          <w:szCs w:val="24"/>
        </w:rPr>
        <w:lastRenderedPageBreak/>
        <w:t>left the teaching profession and 176 had joined. Regression modelling is again used to compare our outcomes of interest across these three groups</w:t>
      </w:r>
      <w:r w:rsidRPr="00440E80">
        <w:rPr>
          <w:rStyle w:val="FootnoteReference"/>
          <w:rFonts w:ascii="Times New Roman" w:hAnsi="Times New Roman" w:cs="Times New Roman"/>
          <w:color w:val="000000"/>
          <w:sz w:val="24"/>
          <w:szCs w:val="24"/>
        </w:rPr>
        <w:footnoteReference w:id="20"/>
      </w:r>
      <w:r w:rsidRPr="00440E80">
        <w:rPr>
          <w:rFonts w:ascii="Times New Roman" w:hAnsi="Times New Roman" w:cs="Times New Roman"/>
          <w:color w:val="000000"/>
          <w:sz w:val="24"/>
          <w:szCs w:val="24"/>
        </w:rPr>
        <w:t xml:space="preserve">. </w:t>
      </w:r>
    </w:p>
    <w:p w14:paraId="4F87FB99" w14:textId="63EB7E35" w:rsidR="00440E80" w:rsidRPr="00440E80" w:rsidRDefault="00440E80" w:rsidP="00440E80">
      <w:pPr>
        <w:spacing w:line="276" w:lineRule="auto"/>
        <w:jc w:val="center"/>
        <w:rPr>
          <w:rFonts w:ascii="Times New Roman" w:hAnsi="Times New Roman" w:cs="Times New Roman"/>
          <w:b/>
          <w:color w:val="121212"/>
          <w:sz w:val="24"/>
          <w:szCs w:val="24"/>
        </w:rPr>
      </w:pPr>
      <w:r w:rsidRPr="00440E80">
        <w:rPr>
          <w:rFonts w:ascii="Times New Roman" w:hAnsi="Times New Roman" w:cs="Times New Roman"/>
          <w:b/>
          <w:color w:val="121212"/>
          <w:sz w:val="24"/>
          <w:szCs w:val="24"/>
        </w:rPr>
        <w:t>Table 8.1 Characteristics of the Biobank sample compared to population estimates</w:t>
      </w:r>
    </w:p>
    <w:tbl>
      <w:tblPr>
        <w:tblW w:w="8020" w:type="dxa"/>
        <w:jc w:val="center"/>
        <w:tblLook w:val="04A0" w:firstRow="1" w:lastRow="0" w:firstColumn="1" w:lastColumn="0" w:noHBand="0" w:noVBand="1"/>
      </w:tblPr>
      <w:tblGrid>
        <w:gridCol w:w="2900"/>
        <w:gridCol w:w="1500"/>
        <w:gridCol w:w="1579"/>
        <w:gridCol w:w="2041"/>
      </w:tblGrid>
      <w:tr w:rsidR="00440E80" w:rsidRPr="00B15EF5" w14:paraId="0C40502D" w14:textId="77777777" w:rsidTr="00440E80">
        <w:trPr>
          <w:trHeight w:val="315"/>
          <w:jc w:val="center"/>
        </w:trPr>
        <w:tc>
          <w:tcPr>
            <w:tcW w:w="2900" w:type="dxa"/>
            <w:tcBorders>
              <w:top w:val="single" w:sz="4" w:space="0" w:color="auto"/>
              <w:left w:val="nil"/>
              <w:bottom w:val="nil"/>
              <w:right w:val="nil"/>
            </w:tcBorders>
            <w:shd w:val="clear" w:color="000000" w:fill="BDD7EE"/>
            <w:noWrap/>
            <w:vAlign w:val="bottom"/>
            <w:hideMark/>
          </w:tcPr>
          <w:p w14:paraId="2ECBF812" w14:textId="77777777" w:rsidR="00440E80" w:rsidRPr="00B15EF5" w:rsidRDefault="00440E80" w:rsidP="00440E80">
            <w:pPr>
              <w:spacing w:after="0" w:line="240" w:lineRule="auto"/>
              <w:rPr>
                <w:rFonts w:ascii="Times New Roman" w:eastAsia="Times New Roman" w:hAnsi="Times New Roman" w:cs="Times New Roman"/>
                <w:b/>
                <w:bCs/>
                <w:szCs w:val="24"/>
                <w:lang w:eastAsia="en-GB"/>
              </w:rPr>
            </w:pPr>
            <w:r w:rsidRPr="00B15EF5">
              <w:rPr>
                <w:rFonts w:ascii="Times New Roman" w:eastAsia="Times New Roman" w:hAnsi="Times New Roman" w:cs="Times New Roman"/>
                <w:b/>
                <w:bCs/>
                <w:szCs w:val="24"/>
                <w:lang w:eastAsia="en-GB"/>
              </w:rPr>
              <w:t> </w:t>
            </w:r>
          </w:p>
        </w:tc>
        <w:tc>
          <w:tcPr>
            <w:tcW w:w="1500" w:type="dxa"/>
            <w:vMerge w:val="restart"/>
            <w:tcBorders>
              <w:top w:val="single" w:sz="4" w:space="0" w:color="auto"/>
              <w:left w:val="nil"/>
              <w:bottom w:val="single" w:sz="4" w:space="0" w:color="000000"/>
              <w:right w:val="nil"/>
            </w:tcBorders>
            <w:shd w:val="clear" w:color="000000" w:fill="BDD7EE"/>
            <w:noWrap/>
            <w:vAlign w:val="center"/>
            <w:hideMark/>
          </w:tcPr>
          <w:p w14:paraId="61F89C0F" w14:textId="77777777" w:rsidR="00440E80" w:rsidRPr="00B15EF5" w:rsidRDefault="00440E80" w:rsidP="00440E80">
            <w:pPr>
              <w:spacing w:after="0" w:line="240" w:lineRule="auto"/>
              <w:jc w:val="center"/>
              <w:rPr>
                <w:rFonts w:ascii="Times New Roman" w:eastAsia="Times New Roman" w:hAnsi="Times New Roman" w:cs="Times New Roman"/>
                <w:b/>
                <w:bCs/>
                <w:szCs w:val="24"/>
                <w:lang w:eastAsia="en-GB"/>
              </w:rPr>
            </w:pPr>
            <w:r w:rsidRPr="00B15EF5">
              <w:rPr>
                <w:rFonts w:ascii="Times New Roman" w:eastAsia="Times New Roman" w:hAnsi="Times New Roman" w:cs="Times New Roman"/>
                <w:b/>
                <w:bCs/>
                <w:szCs w:val="24"/>
                <w:lang w:eastAsia="en-GB"/>
              </w:rPr>
              <w:t>Biobank</w:t>
            </w:r>
          </w:p>
        </w:tc>
        <w:tc>
          <w:tcPr>
            <w:tcW w:w="3620" w:type="dxa"/>
            <w:gridSpan w:val="2"/>
            <w:tcBorders>
              <w:top w:val="single" w:sz="4" w:space="0" w:color="auto"/>
              <w:left w:val="nil"/>
              <w:bottom w:val="nil"/>
              <w:right w:val="nil"/>
            </w:tcBorders>
            <w:shd w:val="clear" w:color="000000" w:fill="BDD7EE"/>
            <w:noWrap/>
            <w:vAlign w:val="bottom"/>
            <w:hideMark/>
          </w:tcPr>
          <w:p w14:paraId="1987DD45" w14:textId="77777777" w:rsidR="00440E80" w:rsidRPr="00B15EF5" w:rsidRDefault="00440E80" w:rsidP="00440E80">
            <w:pPr>
              <w:spacing w:after="0" w:line="240" w:lineRule="auto"/>
              <w:jc w:val="center"/>
              <w:rPr>
                <w:rFonts w:ascii="Times New Roman" w:eastAsia="Times New Roman" w:hAnsi="Times New Roman" w:cs="Times New Roman"/>
                <w:b/>
                <w:bCs/>
                <w:szCs w:val="24"/>
                <w:lang w:eastAsia="en-GB"/>
              </w:rPr>
            </w:pPr>
            <w:r w:rsidRPr="00B15EF5">
              <w:rPr>
                <w:rFonts w:ascii="Times New Roman" w:eastAsia="Times New Roman" w:hAnsi="Times New Roman" w:cs="Times New Roman"/>
                <w:b/>
                <w:bCs/>
                <w:szCs w:val="24"/>
                <w:lang w:eastAsia="en-GB"/>
              </w:rPr>
              <w:t>Population estimate</w:t>
            </w:r>
          </w:p>
        </w:tc>
      </w:tr>
      <w:tr w:rsidR="00440E80" w:rsidRPr="00B15EF5" w14:paraId="4BC39DE6" w14:textId="77777777" w:rsidTr="00440E80">
        <w:trPr>
          <w:trHeight w:val="315"/>
          <w:jc w:val="center"/>
        </w:trPr>
        <w:tc>
          <w:tcPr>
            <w:tcW w:w="2900" w:type="dxa"/>
            <w:tcBorders>
              <w:top w:val="nil"/>
              <w:left w:val="nil"/>
              <w:bottom w:val="single" w:sz="4" w:space="0" w:color="auto"/>
              <w:right w:val="nil"/>
            </w:tcBorders>
            <w:shd w:val="clear" w:color="000000" w:fill="BDD7EE"/>
            <w:noWrap/>
            <w:vAlign w:val="bottom"/>
            <w:hideMark/>
          </w:tcPr>
          <w:p w14:paraId="1A5072FD" w14:textId="77777777" w:rsidR="00440E80" w:rsidRPr="00B15EF5" w:rsidRDefault="00440E80" w:rsidP="00440E80">
            <w:pPr>
              <w:spacing w:after="0" w:line="240" w:lineRule="auto"/>
              <w:rPr>
                <w:rFonts w:ascii="Times New Roman" w:eastAsia="Times New Roman" w:hAnsi="Times New Roman" w:cs="Times New Roman"/>
                <w:b/>
                <w:bCs/>
                <w:szCs w:val="24"/>
                <w:lang w:eastAsia="en-GB"/>
              </w:rPr>
            </w:pPr>
            <w:r w:rsidRPr="00B15EF5">
              <w:rPr>
                <w:rFonts w:ascii="Times New Roman" w:eastAsia="Times New Roman" w:hAnsi="Times New Roman" w:cs="Times New Roman"/>
                <w:b/>
                <w:bCs/>
                <w:szCs w:val="24"/>
                <w:lang w:eastAsia="en-GB"/>
              </w:rPr>
              <w:t> </w:t>
            </w:r>
          </w:p>
        </w:tc>
        <w:tc>
          <w:tcPr>
            <w:tcW w:w="1500" w:type="dxa"/>
            <w:vMerge/>
            <w:tcBorders>
              <w:top w:val="single" w:sz="4" w:space="0" w:color="auto"/>
              <w:left w:val="nil"/>
              <w:bottom w:val="single" w:sz="4" w:space="0" w:color="000000"/>
              <w:right w:val="nil"/>
            </w:tcBorders>
            <w:vAlign w:val="center"/>
            <w:hideMark/>
          </w:tcPr>
          <w:p w14:paraId="1B5826EF" w14:textId="77777777" w:rsidR="00440E80" w:rsidRPr="00B15EF5" w:rsidRDefault="00440E80" w:rsidP="00440E80">
            <w:pPr>
              <w:spacing w:after="0" w:line="240" w:lineRule="auto"/>
              <w:rPr>
                <w:rFonts w:ascii="Times New Roman" w:eastAsia="Times New Roman" w:hAnsi="Times New Roman" w:cs="Times New Roman"/>
                <w:b/>
                <w:bCs/>
                <w:szCs w:val="24"/>
                <w:lang w:eastAsia="en-GB"/>
              </w:rPr>
            </w:pPr>
          </w:p>
        </w:tc>
        <w:tc>
          <w:tcPr>
            <w:tcW w:w="1579" w:type="dxa"/>
            <w:tcBorders>
              <w:top w:val="nil"/>
              <w:left w:val="nil"/>
              <w:bottom w:val="single" w:sz="4" w:space="0" w:color="auto"/>
              <w:right w:val="nil"/>
            </w:tcBorders>
            <w:shd w:val="clear" w:color="000000" w:fill="BDD7EE"/>
            <w:noWrap/>
            <w:vAlign w:val="bottom"/>
            <w:hideMark/>
          </w:tcPr>
          <w:p w14:paraId="1FDA5C31" w14:textId="77777777" w:rsidR="00440E80" w:rsidRPr="00B15EF5" w:rsidRDefault="00440E80" w:rsidP="00440E80">
            <w:pPr>
              <w:spacing w:after="0" w:line="240" w:lineRule="auto"/>
              <w:jc w:val="center"/>
              <w:rPr>
                <w:rFonts w:ascii="Times New Roman" w:eastAsia="Times New Roman" w:hAnsi="Times New Roman" w:cs="Times New Roman"/>
                <w:b/>
                <w:bCs/>
                <w:szCs w:val="24"/>
                <w:lang w:eastAsia="en-GB"/>
              </w:rPr>
            </w:pPr>
            <w:r w:rsidRPr="00B15EF5">
              <w:rPr>
                <w:rFonts w:ascii="Times New Roman" w:eastAsia="Times New Roman" w:hAnsi="Times New Roman" w:cs="Times New Roman"/>
                <w:b/>
                <w:bCs/>
                <w:szCs w:val="24"/>
                <w:lang w:eastAsia="en-GB"/>
              </w:rPr>
              <w:t>Estimate</w:t>
            </w:r>
          </w:p>
        </w:tc>
        <w:tc>
          <w:tcPr>
            <w:tcW w:w="2041" w:type="dxa"/>
            <w:tcBorders>
              <w:top w:val="nil"/>
              <w:left w:val="nil"/>
              <w:bottom w:val="single" w:sz="4" w:space="0" w:color="auto"/>
              <w:right w:val="nil"/>
            </w:tcBorders>
            <w:shd w:val="clear" w:color="000000" w:fill="BDD7EE"/>
            <w:noWrap/>
            <w:vAlign w:val="bottom"/>
            <w:hideMark/>
          </w:tcPr>
          <w:p w14:paraId="170F9494" w14:textId="77777777" w:rsidR="00440E80" w:rsidRPr="00B15EF5" w:rsidRDefault="00440E80" w:rsidP="00440E80">
            <w:pPr>
              <w:spacing w:after="0" w:line="240" w:lineRule="auto"/>
              <w:jc w:val="center"/>
              <w:rPr>
                <w:rFonts w:ascii="Times New Roman" w:eastAsia="Times New Roman" w:hAnsi="Times New Roman" w:cs="Times New Roman"/>
                <w:b/>
                <w:bCs/>
                <w:szCs w:val="24"/>
                <w:lang w:eastAsia="en-GB"/>
              </w:rPr>
            </w:pPr>
            <w:r w:rsidRPr="00B15EF5">
              <w:rPr>
                <w:rFonts w:ascii="Times New Roman" w:eastAsia="Times New Roman" w:hAnsi="Times New Roman" w:cs="Times New Roman"/>
                <w:b/>
                <w:bCs/>
                <w:szCs w:val="24"/>
                <w:lang w:eastAsia="en-GB"/>
              </w:rPr>
              <w:t>Source</w:t>
            </w:r>
          </w:p>
        </w:tc>
      </w:tr>
      <w:tr w:rsidR="00440E80" w:rsidRPr="00B15EF5" w14:paraId="05D3DA94"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2A8D59DF"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Average age</w:t>
            </w:r>
          </w:p>
        </w:tc>
        <w:tc>
          <w:tcPr>
            <w:tcW w:w="1500" w:type="dxa"/>
            <w:tcBorders>
              <w:top w:val="nil"/>
              <w:left w:val="nil"/>
              <w:bottom w:val="nil"/>
              <w:right w:val="nil"/>
            </w:tcBorders>
            <w:shd w:val="clear" w:color="auto" w:fill="auto"/>
            <w:noWrap/>
            <w:vAlign w:val="bottom"/>
            <w:hideMark/>
          </w:tcPr>
          <w:p w14:paraId="0BBD8746"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53</w:t>
            </w:r>
          </w:p>
        </w:tc>
        <w:tc>
          <w:tcPr>
            <w:tcW w:w="1579" w:type="dxa"/>
            <w:tcBorders>
              <w:top w:val="nil"/>
              <w:left w:val="nil"/>
              <w:bottom w:val="nil"/>
              <w:right w:val="nil"/>
            </w:tcBorders>
            <w:shd w:val="clear" w:color="auto" w:fill="auto"/>
            <w:noWrap/>
            <w:vAlign w:val="bottom"/>
            <w:hideMark/>
          </w:tcPr>
          <w:p w14:paraId="00FB31F2"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51</w:t>
            </w:r>
          </w:p>
        </w:tc>
        <w:tc>
          <w:tcPr>
            <w:tcW w:w="2041" w:type="dxa"/>
            <w:tcBorders>
              <w:top w:val="nil"/>
              <w:left w:val="nil"/>
              <w:bottom w:val="nil"/>
              <w:right w:val="nil"/>
            </w:tcBorders>
            <w:shd w:val="clear" w:color="auto" w:fill="auto"/>
            <w:noWrap/>
            <w:vAlign w:val="bottom"/>
            <w:hideMark/>
          </w:tcPr>
          <w:p w14:paraId="3FB7B627"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LFS</w:t>
            </w:r>
          </w:p>
        </w:tc>
      </w:tr>
      <w:tr w:rsidR="00440E80" w:rsidRPr="00B15EF5" w14:paraId="09049020"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2B7507A1"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male</w:t>
            </w:r>
          </w:p>
        </w:tc>
        <w:tc>
          <w:tcPr>
            <w:tcW w:w="1500" w:type="dxa"/>
            <w:tcBorders>
              <w:top w:val="nil"/>
              <w:left w:val="nil"/>
              <w:bottom w:val="nil"/>
              <w:right w:val="nil"/>
            </w:tcBorders>
            <w:shd w:val="clear" w:color="auto" w:fill="auto"/>
            <w:noWrap/>
            <w:vAlign w:val="bottom"/>
            <w:hideMark/>
          </w:tcPr>
          <w:p w14:paraId="43B2773E"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27%</w:t>
            </w:r>
          </w:p>
        </w:tc>
        <w:tc>
          <w:tcPr>
            <w:tcW w:w="1579" w:type="dxa"/>
            <w:tcBorders>
              <w:top w:val="nil"/>
              <w:left w:val="nil"/>
              <w:bottom w:val="nil"/>
              <w:right w:val="nil"/>
            </w:tcBorders>
            <w:shd w:val="clear" w:color="auto" w:fill="auto"/>
            <w:noWrap/>
            <w:vAlign w:val="bottom"/>
            <w:hideMark/>
          </w:tcPr>
          <w:p w14:paraId="30955181"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27%</w:t>
            </w:r>
          </w:p>
        </w:tc>
        <w:tc>
          <w:tcPr>
            <w:tcW w:w="2041" w:type="dxa"/>
            <w:tcBorders>
              <w:top w:val="nil"/>
              <w:left w:val="nil"/>
              <w:bottom w:val="nil"/>
              <w:right w:val="nil"/>
            </w:tcBorders>
            <w:shd w:val="clear" w:color="auto" w:fill="auto"/>
            <w:noWrap/>
            <w:vAlign w:val="bottom"/>
            <w:hideMark/>
          </w:tcPr>
          <w:p w14:paraId="6B647C61"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LFS</w:t>
            </w:r>
          </w:p>
        </w:tc>
      </w:tr>
      <w:tr w:rsidR="00440E80" w:rsidRPr="00B15EF5" w14:paraId="43CD9C22"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0F19CAE8"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children in household</w:t>
            </w:r>
          </w:p>
        </w:tc>
        <w:tc>
          <w:tcPr>
            <w:tcW w:w="1500" w:type="dxa"/>
            <w:tcBorders>
              <w:top w:val="nil"/>
              <w:left w:val="nil"/>
              <w:bottom w:val="nil"/>
              <w:right w:val="nil"/>
            </w:tcBorders>
            <w:shd w:val="clear" w:color="auto" w:fill="auto"/>
            <w:noWrap/>
            <w:vAlign w:val="bottom"/>
            <w:hideMark/>
          </w:tcPr>
          <w:p w14:paraId="6B89F15B"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53%</w:t>
            </w:r>
          </w:p>
        </w:tc>
        <w:tc>
          <w:tcPr>
            <w:tcW w:w="1579" w:type="dxa"/>
            <w:tcBorders>
              <w:top w:val="nil"/>
              <w:left w:val="nil"/>
              <w:bottom w:val="nil"/>
              <w:right w:val="nil"/>
            </w:tcBorders>
            <w:shd w:val="clear" w:color="auto" w:fill="auto"/>
            <w:noWrap/>
            <w:vAlign w:val="bottom"/>
            <w:hideMark/>
          </w:tcPr>
          <w:p w14:paraId="25FD306A"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44%</w:t>
            </w:r>
          </w:p>
        </w:tc>
        <w:tc>
          <w:tcPr>
            <w:tcW w:w="2041" w:type="dxa"/>
            <w:tcBorders>
              <w:top w:val="nil"/>
              <w:left w:val="nil"/>
              <w:bottom w:val="nil"/>
              <w:right w:val="nil"/>
            </w:tcBorders>
            <w:shd w:val="clear" w:color="auto" w:fill="auto"/>
            <w:noWrap/>
            <w:vAlign w:val="bottom"/>
            <w:hideMark/>
          </w:tcPr>
          <w:p w14:paraId="7D370BD3"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LFS</w:t>
            </w:r>
          </w:p>
        </w:tc>
      </w:tr>
      <w:tr w:rsidR="00440E80" w:rsidRPr="00B15EF5" w14:paraId="074DE9E8"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41EB8F35"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Partner in household</w:t>
            </w:r>
          </w:p>
        </w:tc>
        <w:tc>
          <w:tcPr>
            <w:tcW w:w="1500" w:type="dxa"/>
            <w:tcBorders>
              <w:top w:val="nil"/>
              <w:left w:val="nil"/>
              <w:bottom w:val="nil"/>
              <w:right w:val="nil"/>
            </w:tcBorders>
            <w:shd w:val="clear" w:color="auto" w:fill="auto"/>
            <w:noWrap/>
            <w:vAlign w:val="bottom"/>
            <w:hideMark/>
          </w:tcPr>
          <w:p w14:paraId="04E1A957"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76%</w:t>
            </w:r>
          </w:p>
        </w:tc>
        <w:tc>
          <w:tcPr>
            <w:tcW w:w="1579" w:type="dxa"/>
            <w:tcBorders>
              <w:top w:val="nil"/>
              <w:left w:val="nil"/>
              <w:bottom w:val="nil"/>
              <w:right w:val="nil"/>
            </w:tcBorders>
            <w:shd w:val="clear" w:color="auto" w:fill="auto"/>
            <w:noWrap/>
            <w:vAlign w:val="bottom"/>
            <w:hideMark/>
          </w:tcPr>
          <w:p w14:paraId="602A3436"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74%</w:t>
            </w:r>
          </w:p>
        </w:tc>
        <w:tc>
          <w:tcPr>
            <w:tcW w:w="2041" w:type="dxa"/>
            <w:tcBorders>
              <w:top w:val="nil"/>
              <w:left w:val="nil"/>
              <w:bottom w:val="nil"/>
              <w:right w:val="nil"/>
            </w:tcBorders>
            <w:shd w:val="clear" w:color="auto" w:fill="auto"/>
            <w:noWrap/>
            <w:vAlign w:val="bottom"/>
            <w:hideMark/>
          </w:tcPr>
          <w:p w14:paraId="4E21F201"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LFS</w:t>
            </w:r>
          </w:p>
        </w:tc>
      </w:tr>
      <w:tr w:rsidR="00440E80" w:rsidRPr="00B15EF5" w14:paraId="1A3AEB86"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53131F14"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hold a degree</w:t>
            </w:r>
          </w:p>
        </w:tc>
        <w:tc>
          <w:tcPr>
            <w:tcW w:w="1500" w:type="dxa"/>
            <w:tcBorders>
              <w:top w:val="nil"/>
              <w:left w:val="nil"/>
              <w:bottom w:val="nil"/>
              <w:right w:val="nil"/>
            </w:tcBorders>
            <w:shd w:val="clear" w:color="auto" w:fill="auto"/>
            <w:noWrap/>
            <w:vAlign w:val="bottom"/>
            <w:hideMark/>
          </w:tcPr>
          <w:p w14:paraId="1F9C2C24"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84%</w:t>
            </w:r>
          </w:p>
        </w:tc>
        <w:tc>
          <w:tcPr>
            <w:tcW w:w="1579" w:type="dxa"/>
            <w:tcBorders>
              <w:top w:val="nil"/>
              <w:left w:val="nil"/>
              <w:bottom w:val="nil"/>
              <w:right w:val="nil"/>
            </w:tcBorders>
            <w:shd w:val="clear" w:color="auto" w:fill="auto"/>
            <w:noWrap/>
            <w:vAlign w:val="bottom"/>
            <w:hideMark/>
          </w:tcPr>
          <w:p w14:paraId="45562DCE"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75%</w:t>
            </w:r>
          </w:p>
        </w:tc>
        <w:tc>
          <w:tcPr>
            <w:tcW w:w="2041" w:type="dxa"/>
            <w:tcBorders>
              <w:top w:val="nil"/>
              <w:left w:val="nil"/>
              <w:bottom w:val="nil"/>
              <w:right w:val="nil"/>
            </w:tcBorders>
            <w:shd w:val="clear" w:color="auto" w:fill="auto"/>
            <w:noWrap/>
            <w:vAlign w:val="bottom"/>
            <w:hideMark/>
          </w:tcPr>
          <w:p w14:paraId="162811AE"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LFS</w:t>
            </w:r>
          </w:p>
        </w:tc>
      </w:tr>
      <w:tr w:rsidR="00440E80" w:rsidRPr="00B15EF5" w14:paraId="6EFA5223"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616A26B4"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Average age left school</w:t>
            </w:r>
          </w:p>
        </w:tc>
        <w:tc>
          <w:tcPr>
            <w:tcW w:w="1500" w:type="dxa"/>
            <w:tcBorders>
              <w:top w:val="nil"/>
              <w:left w:val="nil"/>
              <w:bottom w:val="nil"/>
              <w:right w:val="nil"/>
            </w:tcBorders>
            <w:shd w:val="clear" w:color="auto" w:fill="auto"/>
            <w:noWrap/>
            <w:vAlign w:val="bottom"/>
            <w:hideMark/>
          </w:tcPr>
          <w:p w14:paraId="405BBBFB"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20</w:t>
            </w:r>
          </w:p>
        </w:tc>
        <w:tc>
          <w:tcPr>
            <w:tcW w:w="1579" w:type="dxa"/>
            <w:tcBorders>
              <w:top w:val="nil"/>
              <w:left w:val="nil"/>
              <w:bottom w:val="nil"/>
              <w:right w:val="nil"/>
            </w:tcBorders>
            <w:shd w:val="clear" w:color="auto" w:fill="auto"/>
            <w:noWrap/>
            <w:vAlign w:val="bottom"/>
            <w:hideMark/>
          </w:tcPr>
          <w:p w14:paraId="1A4757F0"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21</w:t>
            </w:r>
          </w:p>
        </w:tc>
        <w:tc>
          <w:tcPr>
            <w:tcW w:w="2041" w:type="dxa"/>
            <w:tcBorders>
              <w:top w:val="nil"/>
              <w:left w:val="nil"/>
              <w:bottom w:val="nil"/>
              <w:right w:val="nil"/>
            </w:tcBorders>
            <w:shd w:val="clear" w:color="auto" w:fill="auto"/>
            <w:noWrap/>
            <w:vAlign w:val="bottom"/>
            <w:hideMark/>
          </w:tcPr>
          <w:p w14:paraId="3E055E2A"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LFS</w:t>
            </w:r>
          </w:p>
        </w:tc>
      </w:tr>
      <w:tr w:rsidR="00440E80" w:rsidRPr="00B15EF5" w14:paraId="63C4685A"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142E039A"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Born outside UK</w:t>
            </w:r>
          </w:p>
        </w:tc>
        <w:tc>
          <w:tcPr>
            <w:tcW w:w="1500" w:type="dxa"/>
            <w:tcBorders>
              <w:top w:val="nil"/>
              <w:left w:val="nil"/>
              <w:bottom w:val="nil"/>
              <w:right w:val="nil"/>
            </w:tcBorders>
            <w:shd w:val="clear" w:color="auto" w:fill="auto"/>
            <w:noWrap/>
            <w:vAlign w:val="bottom"/>
            <w:hideMark/>
          </w:tcPr>
          <w:p w14:paraId="444CDA3A"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7%</w:t>
            </w:r>
          </w:p>
        </w:tc>
        <w:tc>
          <w:tcPr>
            <w:tcW w:w="1579" w:type="dxa"/>
            <w:tcBorders>
              <w:top w:val="nil"/>
              <w:left w:val="nil"/>
              <w:bottom w:val="nil"/>
              <w:right w:val="nil"/>
            </w:tcBorders>
            <w:shd w:val="clear" w:color="auto" w:fill="auto"/>
            <w:noWrap/>
            <w:vAlign w:val="bottom"/>
            <w:hideMark/>
          </w:tcPr>
          <w:p w14:paraId="535CAE26"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7%</w:t>
            </w:r>
          </w:p>
        </w:tc>
        <w:tc>
          <w:tcPr>
            <w:tcW w:w="2041" w:type="dxa"/>
            <w:tcBorders>
              <w:top w:val="nil"/>
              <w:left w:val="nil"/>
              <w:bottom w:val="nil"/>
              <w:right w:val="nil"/>
            </w:tcBorders>
            <w:shd w:val="clear" w:color="auto" w:fill="auto"/>
            <w:noWrap/>
            <w:vAlign w:val="bottom"/>
            <w:hideMark/>
          </w:tcPr>
          <w:p w14:paraId="2591C1CC"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LFS</w:t>
            </w:r>
          </w:p>
        </w:tc>
      </w:tr>
      <w:tr w:rsidR="00440E80" w:rsidRPr="00B15EF5" w14:paraId="52FF4DF4"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00E43C36"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Homeowner</w:t>
            </w:r>
          </w:p>
        </w:tc>
        <w:tc>
          <w:tcPr>
            <w:tcW w:w="1500" w:type="dxa"/>
            <w:tcBorders>
              <w:top w:val="nil"/>
              <w:left w:val="nil"/>
              <w:bottom w:val="nil"/>
              <w:right w:val="nil"/>
            </w:tcBorders>
            <w:shd w:val="clear" w:color="auto" w:fill="auto"/>
            <w:noWrap/>
            <w:vAlign w:val="bottom"/>
            <w:hideMark/>
          </w:tcPr>
          <w:p w14:paraId="4EE68C3A"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95%</w:t>
            </w:r>
          </w:p>
        </w:tc>
        <w:tc>
          <w:tcPr>
            <w:tcW w:w="1579" w:type="dxa"/>
            <w:tcBorders>
              <w:top w:val="nil"/>
              <w:left w:val="nil"/>
              <w:bottom w:val="nil"/>
              <w:right w:val="nil"/>
            </w:tcBorders>
            <w:shd w:val="clear" w:color="auto" w:fill="auto"/>
            <w:noWrap/>
            <w:vAlign w:val="bottom"/>
            <w:hideMark/>
          </w:tcPr>
          <w:p w14:paraId="7D9E7824"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94%</w:t>
            </w:r>
          </w:p>
        </w:tc>
        <w:tc>
          <w:tcPr>
            <w:tcW w:w="2041" w:type="dxa"/>
            <w:tcBorders>
              <w:top w:val="nil"/>
              <w:left w:val="nil"/>
              <w:bottom w:val="nil"/>
              <w:right w:val="nil"/>
            </w:tcBorders>
            <w:shd w:val="clear" w:color="auto" w:fill="auto"/>
            <w:noWrap/>
            <w:vAlign w:val="bottom"/>
            <w:hideMark/>
          </w:tcPr>
          <w:p w14:paraId="4373F809"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LFS</w:t>
            </w:r>
          </w:p>
        </w:tc>
      </w:tr>
      <w:tr w:rsidR="00440E80" w:rsidRPr="00B15EF5" w14:paraId="1718BC1E"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275E7DEE"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Smoker</w:t>
            </w:r>
          </w:p>
        </w:tc>
        <w:tc>
          <w:tcPr>
            <w:tcW w:w="1500" w:type="dxa"/>
            <w:tcBorders>
              <w:top w:val="nil"/>
              <w:left w:val="nil"/>
              <w:bottom w:val="nil"/>
              <w:right w:val="nil"/>
            </w:tcBorders>
            <w:shd w:val="clear" w:color="auto" w:fill="auto"/>
            <w:noWrap/>
            <w:vAlign w:val="bottom"/>
            <w:hideMark/>
          </w:tcPr>
          <w:p w14:paraId="6F11E9B3"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6%</w:t>
            </w:r>
          </w:p>
        </w:tc>
        <w:tc>
          <w:tcPr>
            <w:tcW w:w="1579" w:type="dxa"/>
            <w:tcBorders>
              <w:top w:val="nil"/>
              <w:left w:val="nil"/>
              <w:bottom w:val="nil"/>
              <w:right w:val="nil"/>
            </w:tcBorders>
            <w:shd w:val="clear" w:color="auto" w:fill="auto"/>
            <w:noWrap/>
            <w:vAlign w:val="bottom"/>
            <w:hideMark/>
          </w:tcPr>
          <w:p w14:paraId="1D3F7ADB"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4%</w:t>
            </w:r>
          </w:p>
        </w:tc>
        <w:tc>
          <w:tcPr>
            <w:tcW w:w="2041" w:type="dxa"/>
            <w:tcBorders>
              <w:top w:val="nil"/>
              <w:left w:val="nil"/>
              <w:bottom w:val="nil"/>
              <w:right w:val="nil"/>
            </w:tcBorders>
            <w:shd w:val="clear" w:color="auto" w:fill="auto"/>
            <w:noWrap/>
            <w:vAlign w:val="bottom"/>
            <w:hideMark/>
          </w:tcPr>
          <w:p w14:paraId="2758DCBB"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APS 2010</w:t>
            </w:r>
          </w:p>
        </w:tc>
      </w:tr>
      <w:tr w:rsidR="00440E80" w:rsidRPr="00B15EF5" w14:paraId="200D63DE"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2AF577A2"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poor general health</w:t>
            </w:r>
          </w:p>
        </w:tc>
        <w:tc>
          <w:tcPr>
            <w:tcW w:w="1500" w:type="dxa"/>
            <w:tcBorders>
              <w:top w:val="nil"/>
              <w:left w:val="nil"/>
              <w:bottom w:val="nil"/>
              <w:right w:val="nil"/>
            </w:tcBorders>
            <w:shd w:val="clear" w:color="auto" w:fill="auto"/>
            <w:noWrap/>
            <w:vAlign w:val="bottom"/>
            <w:hideMark/>
          </w:tcPr>
          <w:p w14:paraId="25FB4630"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1%</w:t>
            </w:r>
          </w:p>
        </w:tc>
        <w:tc>
          <w:tcPr>
            <w:tcW w:w="1579" w:type="dxa"/>
            <w:tcBorders>
              <w:top w:val="nil"/>
              <w:left w:val="nil"/>
              <w:bottom w:val="nil"/>
              <w:right w:val="nil"/>
            </w:tcBorders>
            <w:shd w:val="clear" w:color="auto" w:fill="auto"/>
            <w:noWrap/>
            <w:vAlign w:val="bottom"/>
            <w:hideMark/>
          </w:tcPr>
          <w:p w14:paraId="33C06C17"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1%</w:t>
            </w:r>
          </w:p>
        </w:tc>
        <w:tc>
          <w:tcPr>
            <w:tcW w:w="2041" w:type="dxa"/>
            <w:tcBorders>
              <w:top w:val="nil"/>
              <w:left w:val="nil"/>
              <w:bottom w:val="nil"/>
              <w:right w:val="nil"/>
            </w:tcBorders>
            <w:shd w:val="clear" w:color="auto" w:fill="auto"/>
            <w:noWrap/>
            <w:vAlign w:val="bottom"/>
            <w:hideMark/>
          </w:tcPr>
          <w:p w14:paraId="77FF8139"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NCDS 2008</w:t>
            </w:r>
          </w:p>
        </w:tc>
      </w:tr>
      <w:tr w:rsidR="00440E80" w:rsidRPr="00B15EF5" w14:paraId="6C80FE21"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3CBCEE60"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fair general health</w:t>
            </w:r>
          </w:p>
        </w:tc>
        <w:tc>
          <w:tcPr>
            <w:tcW w:w="1500" w:type="dxa"/>
            <w:tcBorders>
              <w:top w:val="nil"/>
              <w:left w:val="nil"/>
              <w:bottom w:val="nil"/>
              <w:right w:val="nil"/>
            </w:tcBorders>
            <w:shd w:val="clear" w:color="auto" w:fill="auto"/>
            <w:noWrap/>
            <w:vAlign w:val="bottom"/>
            <w:hideMark/>
          </w:tcPr>
          <w:p w14:paraId="3711B197"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14%</w:t>
            </w:r>
          </w:p>
        </w:tc>
        <w:tc>
          <w:tcPr>
            <w:tcW w:w="1579" w:type="dxa"/>
            <w:tcBorders>
              <w:top w:val="nil"/>
              <w:left w:val="nil"/>
              <w:bottom w:val="nil"/>
              <w:right w:val="nil"/>
            </w:tcBorders>
            <w:shd w:val="clear" w:color="auto" w:fill="auto"/>
            <w:noWrap/>
            <w:vAlign w:val="bottom"/>
            <w:hideMark/>
          </w:tcPr>
          <w:p w14:paraId="3CD6CA18"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7%</w:t>
            </w:r>
          </w:p>
        </w:tc>
        <w:tc>
          <w:tcPr>
            <w:tcW w:w="2041" w:type="dxa"/>
            <w:tcBorders>
              <w:top w:val="nil"/>
              <w:left w:val="nil"/>
              <w:bottom w:val="nil"/>
              <w:right w:val="nil"/>
            </w:tcBorders>
            <w:shd w:val="clear" w:color="auto" w:fill="auto"/>
            <w:noWrap/>
            <w:vAlign w:val="bottom"/>
            <w:hideMark/>
          </w:tcPr>
          <w:p w14:paraId="1713C533"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NCDS 2008</w:t>
            </w:r>
          </w:p>
        </w:tc>
      </w:tr>
      <w:tr w:rsidR="00440E80" w:rsidRPr="00B15EF5" w14:paraId="5C241A8C"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2BA23891"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good general health</w:t>
            </w:r>
          </w:p>
        </w:tc>
        <w:tc>
          <w:tcPr>
            <w:tcW w:w="1500" w:type="dxa"/>
            <w:tcBorders>
              <w:top w:val="nil"/>
              <w:left w:val="nil"/>
              <w:bottom w:val="nil"/>
              <w:right w:val="nil"/>
            </w:tcBorders>
            <w:shd w:val="clear" w:color="auto" w:fill="auto"/>
            <w:noWrap/>
            <w:vAlign w:val="bottom"/>
            <w:hideMark/>
          </w:tcPr>
          <w:p w14:paraId="0960E0D4"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63%</w:t>
            </w:r>
          </w:p>
        </w:tc>
        <w:tc>
          <w:tcPr>
            <w:tcW w:w="1579" w:type="dxa"/>
            <w:tcBorders>
              <w:top w:val="nil"/>
              <w:left w:val="nil"/>
              <w:bottom w:val="nil"/>
              <w:right w:val="nil"/>
            </w:tcBorders>
            <w:shd w:val="clear" w:color="auto" w:fill="auto"/>
            <w:noWrap/>
            <w:vAlign w:val="bottom"/>
            <w:hideMark/>
          </w:tcPr>
          <w:p w14:paraId="649DE9CC"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65%</w:t>
            </w:r>
          </w:p>
        </w:tc>
        <w:tc>
          <w:tcPr>
            <w:tcW w:w="2041" w:type="dxa"/>
            <w:tcBorders>
              <w:top w:val="nil"/>
              <w:left w:val="nil"/>
              <w:bottom w:val="nil"/>
              <w:right w:val="nil"/>
            </w:tcBorders>
            <w:shd w:val="clear" w:color="auto" w:fill="auto"/>
            <w:noWrap/>
            <w:vAlign w:val="bottom"/>
            <w:hideMark/>
          </w:tcPr>
          <w:p w14:paraId="191F2D93"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NCDS 2008</w:t>
            </w:r>
          </w:p>
        </w:tc>
      </w:tr>
      <w:tr w:rsidR="00440E80" w:rsidRPr="00B15EF5" w14:paraId="5563AEC2" w14:textId="77777777" w:rsidTr="00440E80">
        <w:trPr>
          <w:trHeight w:val="315"/>
          <w:jc w:val="center"/>
        </w:trPr>
        <w:tc>
          <w:tcPr>
            <w:tcW w:w="2900" w:type="dxa"/>
            <w:tcBorders>
              <w:top w:val="nil"/>
              <w:left w:val="nil"/>
              <w:bottom w:val="nil"/>
              <w:right w:val="nil"/>
            </w:tcBorders>
            <w:shd w:val="clear" w:color="auto" w:fill="auto"/>
            <w:noWrap/>
            <w:vAlign w:val="bottom"/>
            <w:hideMark/>
          </w:tcPr>
          <w:p w14:paraId="701B44E6" w14:textId="77777777" w:rsidR="00440E80" w:rsidRPr="00B15EF5" w:rsidRDefault="00440E80" w:rsidP="00440E80">
            <w:pPr>
              <w:spacing w:after="0" w:line="240" w:lineRule="auto"/>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excellent general health</w:t>
            </w:r>
          </w:p>
        </w:tc>
        <w:tc>
          <w:tcPr>
            <w:tcW w:w="1500" w:type="dxa"/>
            <w:tcBorders>
              <w:top w:val="nil"/>
              <w:left w:val="nil"/>
              <w:bottom w:val="nil"/>
              <w:right w:val="nil"/>
            </w:tcBorders>
            <w:shd w:val="clear" w:color="auto" w:fill="auto"/>
            <w:noWrap/>
            <w:vAlign w:val="bottom"/>
            <w:hideMark/>
          </w:tcPr>
          <w:p w14:paraId="612F15CD"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22%</w:t>
            </w:r>
          </w:p>
        </w:tc>
        <w:tc>
          <w:tcPr>
            <w:tcW w:w="1579" w:type="dxa"/>
            <w:tcBorders>
              <w:top w:val="nil"/>
              <w:left w:val="nil"/>
              <w:bottom w:val="nil"/>
              <w:right w:val="nil"/>
            </w:tcBorders>
            <w:shd w:val="clear" w:color="auto" w:fill="auto"/>
            <w:noWrap/>
            <w:vAlign w:val="bottom"/>
            <w:hideMark/>
          </w:tcPr>
          <w:p w14:paraId="66644930"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26%</w:t>
            </w:r>
          </w:p>
        </w:tc>
        <w:tc>
          <w:tcPr>
            <w:tcW w:w="2041" w:type="dxa"/>
            <w:tcBorders>
              <w:top w:val="nil"/>
              <w:left w:val="nil"/>
              <w:bottom w:val="nil"/>
              <w:right w:val="nil"/>
            </w:tcBorders>
            <w:shd w:val="clear" w:color="auto" w:fill="auto"/>
            <w:noWrap/>
            <w:vAlign w:val="bottom"/>
            <w:hideMark/>
          </w:tcPr>
          <w:p w14:paraId="3058AFF9"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NCDS 2008</w:t>
            </w:r>
          </w:p>
        </w:tc>
      </w:tr>
      <w:tr w:rsidR="00440E80" w:rsidRPr="00B15EF5" w14:paraId="618B1807" w14:textId="77777777" w:rsidTr="00440E80">
        <w:trPr>
          <w:trHeight w:val="315"/>
          <w:jc w:val="center"/>
        </w:trPr>
        <w:tc>
          <w:tcPr>
            <w:tcW w:w="2900" w:type="dxa"/>
            <w:tcBorders>
              <w:top w:val="single" w:sz="4" w:space="0" w:color="auto"/>
              <w:left w:val="nil"/>
              <w:bottom w:val="single" w:sz="4" w:space="0" w:color="auto"/>
              <w:right w:val="nil"/>
            </w:tcBorders>
            <w:shd w:val="clear" w:color="auto" w:fill="auto"/>
            <w:noWrap/>
            <w:vAlign w:val="bottom"/>
            <w:hideMark/>
          </w:tcPr>
          <w:p w14:paraId="6C34375E" w14:textId="77777777" w:rsidR="00440E80" w:rsidRPr="00B15EF5" w:rsidRDefault="00440E80" w:rsidP="00440E80">
            <w:pPr>
              <w:spacing w:after="0" w:line="240" w:lineRule="auto"/>
              <w:rPr>
                <w:rFonts w:ascii="Times New Roman" w:eastAsia="Times New Roman" w:hAnsi="Times New Roman" w:cs="Times New Roman"/>
                <w:b/>
                <w:bCs/>
                <w:szCs w:val="24"/>
                <w:lang w:eastAsia="en-GB"/>
              </w:rPr>
            </w:pPr>
            <w:r w:rsidRPr="00B15EF5">
              <w:rPr>
                <w:rFonts w:ascii="Times New Roman" w:eastAsia="Times New Roman" w:hAnsi="Times New Roman" w:cs="Times New Roman"/>
                <w:b/>
                <w:bCs/>
                <w:szCs w:val="24"/>
                <w:lang w:eastAsia="en-GB"/>
              </w:rPr>
              <w:t>Total teachers</w:t>
            </w:r>
          </w:p>
        </w:tc>
        <w:tc>
          <w:tcPr>
            <w:tcW w:w="1500" w:type="dxa"/>
            <w:tcBorders>
              <w:top w:val="single" w:sz="4" w:space="0" w:color="auto"/>
              <w:left w:val="nil"/>
              <w:bottom w:val="single" w:sz="4" w:space="0" w:color="auto"/>
              <w:right w:val="nil"/>
            </w:tcBorders>
            <w:shd w:val="clear" w:color="auto" w:fill="auto"/>
            <w:noWrap/>
            <w:vAlign w:val="bottom"/>
            <w:hideMark/>
          </w:tcPr>
          <w:p w14:paraId="2A3D0AC2" w14:textId="77777777" w:rsidR="00440E80" w:rsidRPr="00B15EF5" w:rsidRDefault="00440E80" w:rsidP="00440E80">
            <w:pPr>
              <w:spacing w:after="0" w:line="240" w:lineRule="auto"/>
              <w:jc w:val="center"/>
              <w:rPr>
                <w:rFonts w:ascii="Times New Roman" w:eastAsia="Times New Roman" w:hAnsi="Times New Roman" w:cs="Times New Roman"/>
                <w:b/>
                <w:bCs/>
                <w:szCs w:val="24"/>
                <w:lang w:eastAsia="en-GB"/>
              </w:rPr>
            </w:pPr>
            <w:r w:rsidRPr="00B15EF5">
              <w:rPr>
                <w:rFonts w:ascii="Times New Roman" w:eastAsia="Times New Roman" w:hAnsi="Times New Roman" w:cs="Times New Roman"/>
                <w:b/>
                <w:bCs/>
                <w:szCs w:val="24"/>
                <w:lang w:eastAsia="en-GB"/>
              </w:rPr>
              <w:t>16,622</w:t>
            </w:r>
          </w:p>
        </w:tc>
        <w:tc>
          <w:tcPr>
            <w:tcW w:w="3620" w:type="dxa"/>
            <w:gridSpan w:val="2"/>
            <w:tcBorders>
              <w:top w:val="single" w:sz="4" w:space="0" w:color="auto"/>
              <w:left w:val="nil"/>
              <w:bottom w:val="single" w:sz="4" w:space="0" w:color="auto"/>
              <w:right w:val="nil"/>
            </w:tcBorders>
            <w:shd w:val="clear" w:color="auto" w:fill="auto"/>
            <w:noWrap/>
            <w:vAlign w:val="bottom"/>
            <w:hideMark/>
          </w:tcPr>
          <w:p w14:paraId="02D286D4" w14:textId="77777777" w:rsidR="00440E80" w:rsidRPr="00B15EF5" w:rsidRDefault="00440E80" w:rsidP="00440E80">
            <w:pPr>
              <w:spacing w:after="0" w:line="240" w:lineRule="auto"/>
              <w:jc w:val="center"/>
              <w:rPr>
                <w:rFonts w:ascii="Times New Roman" w:eastAsia="Times New Roman" w:hAnsi="Times New Roman" w:cs="Times New Roman"/>
                <w:szCs w:val="24"/>
                <w:lang w:eastAsia="en-GB"/>
              </w:rPr>
            </w:pPr>
            <w:r w:rsidRPr="00B15EF5">
              <w:rPr>
                <w:rFonts w:ascii="Times New Roman" w:eastAsia="Times New Roman" w:hAnsi="Times New Roman" w:cs="Times New Roman"/>
                <w:szCs w:val="24"/>
                <w:lang w:eastAsia="en-GB"/>
              </w:rPr>
              <w:t> </w:t>
            </w:r>
          </w:p>
        </w:tc>
      </w:tr>
    </w:tbl>
    <w:p w14:paraId="326D0DE9" w14:textId="49BDC5A8" w:rsidR="00440E80" w:rsidRDefault="00440E80" w:rsidP="008B4E20">
      <w:pPr>
        <w:spacing w:after="240" w:line="240" w:lineRule="auto"/>
        <w:jc w:val="both"/>
        <w:rPr>
          <w:rFonts w:ascii="Times New Roman" w:hAnsi="Times New Roman" w:cs="Times New Roman"/>
          <w:szCs w:val="24"/>
        </w:rPr>
      </w:pPr>
      <w:r w:rsidRPr="00B15EF5">
        <w:rPr>
          <w:rFonts w:ascii="Times New Roman" w:hAnsi="Times New Roman" w:cs="Times New Roman"/>
          <w:color w:val="121212"/>
          <w:sz w:val="20"/>
          <w:szCs w:val="20"/>
        </w:rPr>
        <w:t>Notes: LFS = Labour Force Survey data for 40-65-year-old teachers from January-March sweeps 2007</w:t>
      </w:r>
      <w:proofErr w:type="gramStart"/>
      <w:r w:rsidRPr="00B15EF5">
        <w:rPr>
          <w:rFonts w:ascii="Times New Roman" w:hAnsi="Times New Roman" w:cs="Times New Roman"/>
          <w:color w:val="121212"/>
          <w:sz w:val="20"/>
          <w:szCs w:val="20"/>
        </w:rPr>
        <w:t>,2008</w:t>
      </w:r>
      <w:proofErr w:type="gramEnd"/>
      <w:r w:rsidRPr="00B15EF5">
        <w:rPr>
          <w:rFonts w:ascii="Times New Roman" w:hAnsi="Times New Roman" w:cs="Times New Roman"/>
          <w:color w:val="121212"/>
          <w:sz w:val="20"/>
          <w:szCs w:val="20"/>
        </w:rPr>
        <w:t xml:space="preserve"> and 2009. APS = Annual Population Survey data from 2010 for 40-65-year-old teachers. NCDS = National Child Development Survey from 2008 (when respondents were 50</w:t>
      </w:r>
      <w:r w:rsidR="00A87CF9">
        <w:rPr>
          <w:rFonts w:ascii="Times New Roman" w:hAnsi="Times New Roman" w:cs="Times New Roman"/>
          <w:color w:val="121212"/>
          <w:sz w:val="20"/>
          <w:szCs w:val="20"/>
        </w:rPr>
        <w:t xml:space="preserve"> </w:t>
      </w:r>
      <w:r w:rsidRPr="00B15EF5">
        <w:rPr>
          <w:rFonts w:ascii="Times New Roman" w:hAnsi="Times New Roman" w:cs="Times New Roman"/>
          <w:color w:val="121212"/>
          <w:sz w:val="20"/>
          <w:szCs w:val="20"/>
        </w:rPr>
        <w:t>years</w:t>
      </w:r>
      <w:r w:rsidR="00A87CF9">
        <w:rPr>
          <w:rFonts w:ascii="Times New Roman" w:hAnsi="Times New Roman" w:cs="Times New Roman"/>
          <w:color w:val="121212"/>
          <w:sz w:val="20"/>
          <w:szCs w:val="20"/>
        </w:rPr>
        <w:t xml:space="preserve"> </w:t>
      </w:r>
      <w:r w:rsidRPr="00B15EF5">
        <w:rPr>
          <w:rFonts w:ascii="Times New Roman" w:hAnsi="Times New Roman" w:cs="Times New Roman"/>
          <w:color w:val="121212"/>
          <w:sz w:val="20"/>
          <w:szCs w:val="20"/>
        </w:rPr>
        <w:t>old). The NCDS data for ‘good’ and ‘very good’ general health has been combined. APS 2010 uses information for all education and teaching professionals.</w:t>
      </w:r>
      <w:r w:rsidR="00875EB6">
        <w:rPr>
          <w:rFonts w:ascii="Times New Roman" w:hAnsi="Times New Roman" w:cs="Times New Roman"/>
          <w:color w:val="121212"/>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UK Biobank dataset</w:t>
      </w:r>
      <w:r w:rsidR="00875EB6" w:rsidRPr="00C15BFD">
        <w:rPr>
          <w:rFonts w:ascii="Times New Roman" w:hAnsi="Times New Roman" w:cs="Times New Roman"/>
          <w:sz w:val="20"/>
          <w:szCs w:val="20"/>
        </w:rPr>
        <w:t>.</w:t>
      </w:r>
    </w:p>
    <w:p w14:paraId="7DF6D350" w14:textId="77777777" w:rsidR="00D5024D" w:rsidRDefault="00440E80" w:rsidP="00440E80">
      <w:pPr>
        <w:spacing w:line="360" w:lineRule="auto"/>
        <w:jc w:val="both"/>
        <w:rPr>
          <w:rFonts w:ascii="Times New Roman" w:hAnsi="Times New Roman" w:cs="Times New Roman"/>
          <w:sz w:val="24"/>
          <w:szCs w:val="24"/>
        </w:rPr>
      </w:pPr>
      <w:r w:rsidRPr="00440E80">
        <w:rPr>
          <w:rFonts w:ascii="Times New Roman" w:hAnsi="Times New Roman" w:cs="Times New Roman"/>
          <w:sz w:val="24"/>
          <w:szCs w:val="24"/>
        </w:rPr>
        <w:t xml:space="preserve">Within all analyses, results for continuous outcome measures are reported in terms of effect sizes where we interpret values below 0.1 as </w:t>
      </w:r>
      <w:r w:rsidRPr="00440E80">
        <w:rPr>
          <w:rFonts w:ascii="Times New Roman" w:hAnsi="Times New Roman" w:cs="Times New Roman"/>
          <w:color w:val="000000" w:themeColor="text1"/>
          <w:sz w:val="24"/>
          <w:szCs w:val="24"/>
        </w:rPr>
        <w:t>evidence of essentially no effect</w:t>
      </w:r>
      <w:r w:rsidRPr="00440E80">
        <w:rPr>
          <w:rStyle w:val="FootnoteReference"/>
          <w:rFonts w:ascii="Times New Roman" w:hAnsi="Times New Roman" w:cs="Times New Roman"/>
          <w:color w:val="000000" w:themeColor="text1"/>
          <w:sz w:val="24"/>
          <w:szCs w:val="24"/>
        </w:rPr>
        <w:footnoteReference w:id="21"/>
      </w:r>
      <w:r w:rsidRPr="00440E80">
        <w:rPr>
          <w:rFonts w:ascii="Times New Roman" w:hAnsi="Times New Roman" w:cs="Times New Roman"/>
          <w:color w:val="000000" w:themeColor="text1"/>
          <w:sz w:val="24"/>
          <w:szCs w:val="24"/>
        </w:rPr>
        <w:t>.</w:t>
      </w:r>
      <w:r w:rsidRPr="00440E80">
        <w:rPr>
          <w:rFonts w:ascii="Times New Roman" w:hAnsi="Times New Roman" w:cs="Times New Roman"/>
          <w:sz w:val="24"/>
          <w:szCs w:val="24"/>
        </w:rPr>
        <w:t xml:space="preserve"> Results for categorical outcomes are reported as probability differences</w:t>
      </w:r>
      <w:r w:rsidRPr="00440E80">
        <w:rPr>
          <w:rStyle w:val="FootnoteReference"/>
          <w:rFonts w:ascii="Times New Roman" w:hAnsi="Times New Roman" w:cs="Times New Roman"/>
          <w:sz w:val="24"/>
          <w:szCs w:val="24"/>
        </w:rPr>
        <w:footnoteReference w:id="22"/>
      </w:r>
      <w:r w:rsidRPr="00440E80">
        <w:rPr>
          <w:rFonts w:ascii="Times New Roman" w:hAnsi="Times New Roman" w:cs="Times New Roman"/>
          <w:sz w:val="24"/>
          <w:szCs w:val="24"/>
        </w:rPr>
        <w:t>.</w:t>
      </w:r>
    </w:p>
    <w:p w14:paraId="37DB248D" w14:textId="77777777" w:rsidR="00D5024D" w:rsidRDefault="00D5024D">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6282DCF5" w14:textId="77777777" w:rsidR="00440E80" w:rsidRPr="00440E80" w:rsidRDefault="00440E80" w:rsidP="008B4E20">
      <w:pPr>
        <w:pStyle w:val="ListParagraph"/>
        <w:numPr>
          <w:ilvl w:val="1"/>
          <w:numId w:val="28"/>
        </w:numPr>
        <w:spacing w:line="240" w:lineRule="auto"/>
        <w:ind w:left="357" w:hanging="357"/>
        <w:rPr>
          <w:rFonts w:ascii="Times New Roman" w:hAnsi="Times New Roman" w:cs="Times New Roman"/>
          <w:b/>
          <w:bCs/>
          <w:sz w:val="24"/>
          <w:szCs w:val="24"/>
        </w:rPr>
      </w:pPr>
      <w:r w:rsidRPr="00440E80">
        <w:rPr>
          <w:rFonts w:ascii="Times New Roman" w:hAnsi="Times New Roman" w:cs="Times New Roman"/>
          <w:b/>
          <w:bCs/>
          <w:sz w:val="24"/>
          <w:szCs w:val="24"/>
        </w:rPr>
        <w:lastRenderedPageBreak/>
        <w:t xml:space="preserve">Results for those who had left </w:t>
      </w:r>
      <w:r w:rsidRPr="00440E80">
        <w:rPr>
          <w:rFonts w:ascii="Times New Roman" w:hAnsi="Times New Roman" w:cs="Times New Roman"/>
          <w:b/>
          <w:sz w:val="24"/>
          <w:szCs w:val="24"/>
        </w:rPr>
        <w:t>teaching before the initial 2006-2010 assessment centre</w:t>
      </w:r>
    </w:p>
    <w:p w14:paraId="51639305" w14:textId="1827F9A0" w:rsidR="00440E80" w:rsidRPr="00440E80" w:rsidRDefault="00440E80" w:rsidP="00440E80">
      <w:pPr>
        <w:spacing w:line="360" w:lineRule="auto"/>
        <w:jc w:val="both"/>
        <w:rPr>
          <w:rFonts w:ascii="Times New Roman" w:hAnsi="Times New Roman" w:cs="Times New Roman"/>
          <w:sz w:val="24"/>
          <w:szCs w:val="24"/>
        </w:rPr>
      </w:pPr>
      <w:r w:rsidRPr="00440E80">
        <w:rPr>
          <w:rFonts w:ascii="Times New Roman" w:hAnsi="Times New Roman" w:cs="Times New Roman"/>
          <w:sz w:val="24"/>
          <w:szCs w:val="24"/>
        </w:rPr>
        <w:t>The results focusing upon measures collected at the initial assessment centre can be found in Table 8.2. Starting with anxiety/depression, there is some limited evidence that former teachers have better outcomes on these measures than current teachers. Those individuals who left teaching within the last five years did score slightly lower on the self-reported depression scale than their peers who were still working as teachers (effect size difference of 0.10), though they were no less likely to report taking prescription medicines for common mental health problems (4</w:t>
      </w:r>
      <w:r w:rsidR="00C81972">
        <w:rPr>
          <w:rFonts w:ascii="Times New Roman" w:hAnsi="Times New Roman" w:cs="Times New Roman"/>
          <w:sz w:val="24"/>
          <w:szCs w:val="24"/>
        </w:rPr>
        <w:t xml:space="preserve">% </w:t>
      </w:r>
      <w:r w:rsidRPr="00440E80">
        <w:rPr>
          <w:rFonts w:ascii="Times New Roman" w:hAnsi="Times New Roman" w:cs="Times New Roman"/>
          <w:sz w:val="24"/>
          <w:szCs w:val="24"/>
        </w:rPr>
        <w:t xml:space="preserve">in both groups). Those who had left teaching within the last five years also scored slightly lower, on average, on the neuroticism scale (effect size 0.13). These differences are, however, quite modest in terms of magnitude. Differences are similar (or slightly smaller) when comparing current teachers to those who left the profession more than five years ago. Evidence of a link between teaching and these outcomes is hence mixed. </w:t>
      </w:r>
    </w:p>
    <w:p w14:paraId="740C15DB" w14:textId="2DCEB7EA" w:rsidR="00440E80" w:rsidRDefault="00440E80" w:rsidP="00EF4E76">
      <w:pPr>
        <w:spacing w:after="0" w:line="240" w:lineRule="auto"/>
        <w:jc w:val="center"/>
        <w:rPr>
          <w:rFonts w:ascii="Times New Roman" w:hAnsi="Times New Roman" w:cs="Times New Roman"/>
          <w:b/>
          <w:bCs/>
          <w:sz w:val="24"/>
          <w:szCs w:val="24"/>
        </w:rPr>
      </w:pPr>
      <w:r w:rsidRPr="00440E80">
        <w:rPr>
          <w:rFonts w:ascii="Times New Roman" w:hAnsi="Times New Roman" w:cs="Times New Roman"/>
          <w:b/>
          <w:bCs/>
          <w:sz w:val="24"/>
          <w:szCs w:val="24"/>
        </w:rPr>
        <w:t xml:space="preserve">Table 8.2 </w:t>
      </w:r>
      <w:proofErr w:type="gramStart"/>
      <w:r w:rsidRPr="00440E80">
        <w:rPr>
          <w:rFonts w:ascii="Times New Roman" w:hAnsi="Times New Roman" w:cs="Times New Roman"/>
          <w:b/>
          <w:bCs/>
          <w:sz w:val="24"/>
          <w:szCs w:val="24"/>
        </w:rPr>
        <w:t>The</w:t>
      </w:r>
      <w:proofErr w:type="gramEnd"/>
      <w:r w:rsidRPr="00440E80">
        <w:rPr>
          <w:rFonts w:ascii="Times New Roman" w:hAnsi="Times New Roman" w:cs="Times New Roman"/>
          <w:b/>
          <w:bCs/>
          <w:sz w:val="24"/>
          <w:szCs w:val="24"/>
        </w:rPr>
        <w:t xml:space="preserve"> association between leaving/remaining in the teaching profession and mental health outcomes measured in the 2006-2010 Biobank assessment centre</w:t>
      </w:r>
    </w:p>
    <w:p w14:paraId="67D8DDC8" w14:textId="77777777" w:rsidR="00D5024D" w:rsidRPr="00440E80" w:rsidRDefault="00D5024D" w:rsidP="00EF4E76">
      <w:pPr>
        <w:spacing w:after="0" w:line="240" w:lineRule="auto"/>
        <w:jc w:val="center"/>
        <w:rPr>
          <w:rFonts w:ascii="Times New Roman" w:hAnsi="Times New Roman" w:cs="Times New Roman"/>
          <w:b/>
          <w:bCs/>
          <w:sz w:val="24"/>
          <w:szCs w:val="24"/>
        </w:rPr>
      </w:pPr>
    </w:p>
    <w:tbl>
      <w:tblPr>
        <w:tblW w:w="8480" w:type="dxa"/>
        <w:jc w:val="center"/>
        <w:tblLook w:val="04A0" w:firstRow="1" w:lastRow="0" w:firstColumn="1" w:lastColumn="0" w:noHBand="0" w:noVBand="1"/>
      </w:tblPr>
      <w:tblGrid>
        <w:gridCol w:w="3440"/>
        <w:gridCol w:w="998"/>
        <w:gridCol w:w="1420"/>
        <w:gridCol w:w="1360"/>
        <w:gridCol w:w="1300"/>
      </w:tblGrid>
      <w:tr w:rsidR="00440E80" w:rsidRPr="0017333D" w14:paraId="0F60DBBC" w14:textId="77777777" w:rsidTr="00440E80">
        <w:trPr>
          <w:trHeight w:val="1140"/>
          <w:jc w:val="center"/>
        </w:trPr>
        <w:tc>
          <w:tcPr>
            <w:tcW w:w="3440" w:type="dxa"/>
            <w:tcBorders>
              <w:top w:val="single" w:sz="4" w:space="0" w:color="auto"/>
              <w:left w:val="nil"/>
              <w:bottom w:val="single" w:sz="4" w:space="0" w:color="auto"/>
              <w:right w:val="nil"/>
            </w:tcBorders>
            <w:shd w:val="clear" w:color="000000" w:fill="BDD7EE"/>
            <w:vAlign w:val="center"/>
            <w:hideMark/>
          </w:tcPr>
          <w:p w14:paraId="0EAF7A1B"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 </w:t>
            </w:r>
          </w:p>
        </w:tc>
        <w:tc>
          <w:tcPr>
            <w:tcW w:w="960" w:type="dxa"/>
            <w:tcBorders>
              <w:top w:val="single" w:sz="4" w:space="0" w:color="auto"/>
              <w:left w:val="nil"/>
              <w:bottom w:val="single" w:sz="4" w:space="0" w:color="auto"/>
              <w:right w:val="nil"/>
            </w:tcBorders>
            <w:shd w:val="clear" w:color="000000" w:fill="BDD7EE"/>
            <w:vAlign w:val="center"/>
            <w:hideMark/>
          </w:tcPr>
          <w:p w14:paraId="7CEC27E9"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Current teachers</w:t>
            </w:r>
          </w:p>
        </w:tc>
        <w:tc>
          <w:tcPr>
            <w:tcW w:w="1420" w:type="dxa"/>
            <w:tcBorders>
              <w:top w:val="single" w:sz="4" w:space="0" w:color="auto"/>
              <w:left w:val="nil"/>
              <w:bottom w:val="single" w:sz="4" w:space="0" w:color="auto"/>
              <w:right w:val="nil"/>
            </w:tcBorders>
            <w:shd w:val="clear" w:color="000000" w:fill="BDD7EE"/>
            <w:vAlign w:val="center"/>
            <w:hideMark/>
          </w:tcPr>
          <w:p w14:paraId="0AC40823"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Left teaching last 5 years</w:t>
            </w:r>
          </w:p>
        </w:tc>
        <w:tc>
          <w:tcPr>
            <w:tcW w:w="1360" w:type="dxa"/>
            <w:tcBorders>
              <w:top w:val="single" w:sz="4" w:space="0" w:color="auto"/>
              <w:left w:val="nil"/>
              <w:bottom w:val="single" w:sz="4" w:space="0" w:color="auto"/>
              <w:right w:val="nil"/>
            </w:tcBorders>
            <w:shd w:val="clear" w:color="000000" w:fill="BDD7EE"/>
            <w:vAlign w:val="center"/>
            <w:hideMark/>
          </w:tcPr>
          <w:p w14:paraId="1D78EF2C"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Left teaching 6 - 10 years ago</w:t>
            </w:r>
          </w:p>
        </w:tc>
        <w:tc>
          <w:tcPr>
            <w:tcW w:w="1300" w:type="dxa"/>
            <w:tcBorders>
              <w:top w:val="single" w:sz="4" w:space="0" w:color="auto"/>
              <w:left w:val="nil"/>
              <w:bottom w:val="single" w:sz="4" w:space="0" w:color="auto"/>
              <w:right w:val="nil"/>
            </w:tcBorders>
            <w:shd w:val="clear" w:color="000000" w:fill="BDD7EE"/>
            <w:vAlign w:val="center"/>
            <w:hideMark/>
          </w:tcPr>
          <w:p w14:paraId="437C3743"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Left teaching &gt; 10 years ago</w:t>
            </w:r>
          </w:p>
        </w:tc>
      </w:tr>
      <w:tr w:rsidR="00440E80" w:rsidRPr="0017333D" w14:paraId="5EC9ACA2"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11DA7F56" w14:textId="35C866DC" w:rsidR="00440E80" w:rsidRPr="0017333D" w:rsidRDefault="00440E80" w:rsidP="00440E80">
            <w:pPr>
              <w:spacing w:after="0" w:line="240" w:lineRule="auto"/>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Depression/anxiety</w:t>
            </w:r>
          </w:p>
        </w:tc>
        <w:tc>
          <w:tcPr>
            <w:tcW w:w="960" w:type="dxa"/>
            <w:tcBorders>
              <w:top w:val="nil"/>
              <w:left w:val="nil"/>
              <w:bottom w:val="nil"/>
              <w:right w:val="nil"/>
            </w:tcBorders>
            <w:shd w:val="clear" w:color="auto" w:fill="auto"/>
            <w:noWrap/>
            <w:vAlign w:val="center"/>
            <w:hideMark/>
          </w:tcPr>
          <w:p w14:paraId="0653B706"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p>
        </w:tc>
        <w:tc>
          <w:tcPr>
            <w:tcW w:w="1420" w:type="dxa"/>
            <w:tcBorders>
              <w:top w:val="nil"/>
              <w:left w:val="nil"/>
              <w:bottom w:val="nil"/>
              <w:right w:val="nil"/>
            </w:tcBorders>
            <w:shd w:val="clear" w:color="auto" w:fill="auto"/>
            <w:noWrap/>
            <w:vAlign w:val="bottom"/>
            <w:hideMark/>
          </w:tcPr>
          <w:p w14:paraId="54A11E2C" w14:textId="77777777" w:rsidR="00440E80" w:rsidRPr="0017333D" w:rsidRDefault="00440E80" w:rsidP="00440E80">
            <w:pPr>
              <w:spacing w:after="0" w:line="240" w:lineRule="auto"/>
              <w:jc w:val="center"/>
              <w:rPr>
                <w:rFonts w:ascii="Times New Roman" w:eastAsia="Times New Roman" w:hAnsi="Times New Roman" w:cs="Times New Roman"/>
                <w:lang w:eastAsia="en-GB"/>
              </w:rPr>
            </w:pPr>
          </w:p>
        </w:tc>
        <w:tc>
          <w:tcPr>
            <w:tcW w:w="1360" w:type="dxa"/>
            <w:tcBorders>
              <w:top w:val="nil"/>
              <w:left w:val="nil"/>
              <w:bottom w:val="nil"/>
              <w:right w:val="nil"/>
            </w:tcBorders>
            <w:shd w:val="clear" w:color="auto" w:fill="auto"/>
            <w:noWrap/>
            <w:vAlign w:val="bottom"/>
            <w:hideMark/>
          </w:tcPr>
          <w:p w14:paraId="440F5247" w14:textId="77777777" w:rsidR="00440E80" w:rsidRPr="0017333D" w:rsidRDefault="00440E80" w:rsidP="00440E80">
            <w:pPr>
              <w:spacing w:after="0" w:line="240" w:lineRule="auto"/>
              <w:rPr>
                <w:rFonts w:ascii="Times New Roman" w:eastAsia="Times New Roman" w:hAnsi="Times New Roman" w:cs="Times New Roman"/>
                <w:lang w:eastAsia="en-GB"/>
              </w:rPr>
            </w:pPr>
          </w:p>
        </w:tc>
        <w:tc>
          <w:tcPr>
            <w:tcW w:w="1300" w:type="dxa"/>
            <w:tcBorders>
              <w:top w:val="nil"/>
              <w:left w:val="nil"/>
              <w:bottom w:val="nil"/>
              <w:right w:val="nil"/>
            </w:tcBorders>
            <w:shd w:val="clear" w:color="auto" w:fill="auto"/>
            <w:noWrap/>
            <w:vAlign w:val="bottom"/>
            <w:hideMark/>
          </w:tcPr>
          <w:p w14:paraId="1AD454E6" w14:textId="77777777" w:rsidR="00440E80" w:rsidRPr="0017333D" w:rsidRDefault="00440E80" w:rsidP="00440E80">
            <w:pPr>
              <w:spacing w:after="0" w:line="240" w:lineRule="auto"/>
              <w:rPr>
                <w:rFonts w:ascii="Times New Roman" w:eastAsia="Times New Roman" w:hAnsi="Times New Roman" w:cs="Times New Roman"/>
                <w:lang w:eastAsia="en-GB"/>
              </w:rPr>
            </w:pPr>
          </w:p>
        </w:tc>
      </w:tr>
      <w:tr w:rsidR="00440E80" w:rsidRPr="0017333D" w14:paraId="3B97EB5D"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79F09BB7"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Self-reported depression (ES)</w:t>
            </w:r>
          </w:p>
        </w:tc>
        <w:tc>
          <w:tcPr>
            <w:tcW w:w="960" w:type="dxa"/>
            <w:tcBorders>
              <w:top w:val="nil"/>
              <w:left w:val="nil"/>
              <w:bottom w:val="nil"/>
              <w:right w:val="nil"/>
            </w:tcBorders>
            <w:shd w:val="clear" w:color="auto" w:fill="auto"/>
            <w:noWrap/>
            <w:vAlign w:val="center"/>
            <w:hideMark/>
          </w:tcPr>
          <w:p w14:paraId="1E92A5A8"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0.00</w:t>
            </w:r>
          </w:p>
        </w:tc>
        <w:tc>
          <w:tcPr>
            <w:tcW w:w="1420" w:type="dxa"/>
            <w:tcBorders>
              <w:top w:val="nil"/>
              <w:left w:val="nil"/>
              <w:bottom w:val="nil"/>
              <w:right w:val="nil"/>
            </w:tcBorders>
            <w:shd w:val="clear" w:color="auto" w:fill="auto"/>
            <w:noWrap/>
            <w:vAlign w:val="center"/>
            <w:hideMark/>
          </w:tcPr>
          <w:p w14:paraId="7AE9E057"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-0.10</w:t>
            </w:r>
          </w:p>
        </w:tc>
        <w:tc>
          <w:tcPr>
            <w:tcW w:w="1360" w:type="dxa"/>
            <w:tcBorders>
              <w:top w:val="nil"/>
              <w:left w:val="nil"/>
              <w:bottom w:val="nil"/>
              <w:right w:val="nil"/>
            </w:tcBorders>
            <w:shd w:val="clear" w:color="auto" w:fill="auto"/>
            <w:noWrap/>
            <w:vAlign w:val="center"/>
            <w:hideMark/>
          </w:tcPr>
          <w:p w14:paraId="7950604A"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-0.08</w:t>
            </w:r>
          </w:p>
        </w:tc>
        <w:tc>
          <w:tcPr>
            <w:tcW w:w="1300" w:type="dxa"/>
            <w:tcBorders>
              <w:top w:val="nil"/>
              <w:left w:val="nil"/>
              <w:bottom w:val="nil"/>
              <w:right w:val="nil"/>
            </w:tcBorders>
            <w:shd w:val="clear" w:color="auto" w:fill="auto"/>
            <w:noWrap/>
            <w:vAlign w:val="center"/>
            <w:hideMark/>
          </w:tcPr>
          <w:p w14:paraId="1B8AEC4C"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0.00</w:t>
            </w:r>
          </w:p>
        </w:tc>
      </w:tr>
      <w:tr w:rsidR="00440E80" w:rsidRPr="0017333D" w14:paraId="51D9B770"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4E2D1AC3"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Prescribed medicines</w:t>
            </w:r>
          </w:p>
        </w:tc>
        <w:tc>
          <w:tcPr>
            <w:tcW w:w="960" w:type="dxa"/>
            <w:tcBorders>
              <w:top w:val="nil"/>
              <w:left w:val="nil"/>
              <w:bottom w:val="nil"/>
              <w:right w:val="nil"/>
            </w:tcBorders>
            <w:shd w:val="clear" w:color="auto" w:fill="auto"/>
            <w:noWrap/>
            <w:vAlign w:val="center"/>
            <w:hideMark/>
          </w:tcPr>
          <w:p w14:paraId="33688BB9"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w:t>
            </w:r>
          </w:p>
        </w:tc>
        <w:tc>
          <w:tcPr>
            <w:tcW w:w="1420" w:type="dxa"/>
            <w:tcBorders>
              <w:top w:val="nil"/>
              <w:left w:val="nil"/>
              <w:bottom w:val="nil"/>
              <w:right w:val="nil"/>
            </w:tcBorders>
            <w:shd w:val="clear" w:color="auto" w:fill="auto"/>
            <w:noWrap/>
            <w:vAlign w:val="center"/>
            <w:hideMark/>
          </w:tcPr>
          <w:p w14:paraId="4CC50CBA"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w:t>
            </w:r>
          </w:p>
        </w:tc>
        <w:tc>
          <w:tcPr>
            <w:tcW w:w="1360" w:type="dxa"/>
            <w:tcBorders>
              <w:top w:val="nil"/>
              <w:left w:val="nil"/>
              <w:bottom w:val="nil"/>
              <w:right w:val="nil"/>
            </w:tcBorders>
            <w:shd w:val="clear" w:color="auto" w:fill="auto"/>
            <w:noWrap/>
            <w:vAlign w:val="center"/>
            <w:hideMark/>
          </w:tcPr>
          <w:p w14:paraId="3E861137"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w:t>
            </w:r>
          </w:p>
        </w:tc>
        <w:tc>
          <w:tcPr>
            <w:tcW w:w="1300" w:type="dxa"/>
            <w:tcBorders>
              <w:top w:val="nil"/>
              <w:left w:val="nil"/>
              <w:bottom w:val="nil"/>
              <w:right w:val="nil"/>
            </w:tcBorders>
            <w:shd w:val="clear" w:color="auto" w:fill="auto"/>
            <w:noWrap/>
            <w:vAlign w:val="center"/>
            <w:hideMark/>
          </w:tcPr>
          <w:p w14:paraId="384F360F"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3%</w:t>
            </w:r>
          </w:p>
        </w:tc>
      </w:tr>
      <w:tr w:rsidR="00440E80" w:rsidRPr="0017333D" w14:paraId="369D8EC8"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285F234C"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 xml:space="preserve">Self-reported medical condition </w:t>
            </w:r>
          </w:p>
        </w:tc>
        <w:tc>
          <w:tcPr>
            <w:tcW w:w="960" w:type="dxa"/>
            <w:tcBorders>
              <w:top w:val="nil"/>
              <w:left w:val="nil"/>
              <w:bottom w:val="nil"/>
              <w:right w:val="nil"/>
            </w:tcBorders>
            <w:shd w:val="clear" w:color="auto" w:fill="auto"/>
            <w:noWrap/>
            <w:vAlign w:val="center"/>
            <w:hideMark/>
          </w:tcPr>
          <w:p w14:paraId="64D9EBC1"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w:t>
            </w:r>
          </w:p>
        </w:tc>
        <w:tc>
          <w:tcPr>
            <w:tcW w:w="1420" w:type="dxa"/>
            <w:tcBorders>
              <w:top w:val="nil"/>
              <w:left w:val="nil"/>
              <w:bottom w:val="nil"/>
              <w:right w:val="nil"/>
            </w:tcBorders>
            <w:shd w:val="clear" w:color="auto" w:fill="auto"/>
            <w:noWrap/>
            <w:vAlign w:val="center"/>
            <w:hideMark/>
          </w:tcPr>
          <w:p w14:paraId="17364074"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7%</w:t>
            </w:r>
          </w:p>
        </w:tc>
        <w:tc>
          <w:tcPr>
            <w:tcW w:w="1360" w:type="dxa"/>
            <w:tcBorders>
              <w:top w:val="nil"/>
              <w:left w:val="nil"/>
              <w:bottom w:val="nil"/>
              <w:right w:val="nil"/>
            </w:tcBorders>
            <w:shd w:val="clear" w:color="auto" w:fill="auto"/>
            <w:noWrap/>
            <w:vAlign w:val="center"/>
            <w:hideMark/>
          </w:tcPr>
          <w:p w14:paraId="175366DA"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w:t>
            </w:r>
          </w:p>
        </w:tc>
        <w:tc>
          <w:tcPr>
            <w:tcW w:w="1300" w:type="dxa"/>
            <w:tcBorders>
              <w:top w:val="nil"/>
              <w:left w:val="nil"/>
              <w:bottom w:val="nil"/>
              <w:right w:val="nil"/>
            </w:tcBorders>
            <w:shd w:val="clear" w:color="auto" w:fill="auto"/>
            <w:noWrap/>
            <w:vAlign w:val="center"/>
            <w:hideMark/>
          </w:tcPr>
          <w:p w14:paraId="759D8253"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7%</w:t>
            </w:r>
          </w:p>
        </w:tc>
      </w:tr>
      <w:tr w:rsidR="00440E80" w:rsidRPr="0017333D" w14:paraId="69C4EEF5"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557B6665"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Neuroticism (ES)</w:t>
            </w:r>
          </w:p>
        </w:tc>
        <w:tc>
          <w:tcPr>
            <w:tcW w:w="960" w:type="dxa"/>
            <w:tcBorders>
              <w:top w:val="nil"/>
              <w:left w:val="nil"/>
              <w:bottom w:val="nil"/>
              <w:right w:val="nil"/>
            </w:tcBorders>
            <w:shd w:val="clear" w:color="auto" w:fill="auto"/>
            <w:noWrap/>
            <w:vAlign w:val="center"/>
            <w:hideMark/>
          </w:tcPr>
          <w:p w14:paraId="7A14256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0.00</w:t>
            </w:r>
          </w:p>
        </w:tc>
        <w:tc>
          <w:tcPr>
            <w:tcW w:w="1420" w:type="dxa"/>
            <w:tcBorders>
              <w:top w:val="nil"/>
              <w:left w:val="nil"/>
              <w:bottom w:val="nil"/>
              <w:right w:val="nil"/>
            </w:tcBorders>
            <w:shd w:val="clear" w:color="auto" w:fill="auto"/>
            <w:noWrap/>
            <w:vAlign w:val="center"/>
            <w:hideMark/>
          </w:tcPr>
          <w:p w14:paraId="71ECC6A6"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-0.13</w:t>
            </w:r>
          </w:p>
        </w:tc>
        <w:tc>
          <w:tcPr>
            <w:tcW w:w="1360" w:type="dxa"/>
            <w:tcBorders>
              <w:top w:val="nil"/>
              <w:left w:val="nil"/>
              <w:bottom w:val="nil"/>
              <w:right w:val="nil"/>
            </w:tcBorders>
            <w:shd w:val="clear" w:color="auto" w:fill="auto"/>
            <w:noWrap/>
            <w:vAlign w:val="center"/>
            <w:hideMark/>
          </w:tcPr>
          <w:p w14:paraId="238DB87B"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-0.11</w:t>
            </w:r>
          </w:p>
        </w:tc>
        <w:tc>
          <w:tcPr>
            <w:tcW w:w="1300" w:type="dxa"/>
            <w:tcBorders>
              <w:top w:val="nil"/>
              <w:left w:val="nil"/>
              <w:bottom w:val="nil"/>
              <w:right w:val="nil"/>
            </w:tcBorders>
            <w:shd w:val="clear" w:color="auto" w:fill="auto"/>
            <w:noWrap/>
            <w:vAlign w:val="center"/>
            <w:hideMark/>
          </w:tcPr>
          <w:p w14:paraId="0EEB0900"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-0.08</w:t>
            </w:r>
          </w:p>
        </w:tc>
      </w:tr>
      <w:tr w:rsidR="00440E80" w:rsidRPr="0017333D" w14:paraId="4A09188B"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4310226B"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Sleep</w:t>
            </w:r>
          </w:p>
        </w:tc>
        <w:tc>
          <w:tcPr>
            <w:tcW w:w="960" w:type="dxa"/>
            <w:tcBorders>
              <w:top w:val="nil"/>
              <w:left w:val="nil"/>
              <w:bottom w:val="nil"/>
              <w:right w:val="nil"/>
            </w:tcBorders>
            <w:shd w:val="clear" w:color="auto" w:fill="auto"/>
            <w:noWrap/>
            <w:vAlign w:val="center"/>
            <w:hideMark/>
          </w:tcPr>
          <w:p w14:paraId="5D052E8C"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p>
        </w:tc>
        <w:tc>
          <w:tcPr>
            <w:tcW w:w="1420" w:type="dxa"/>
            <w:tcBorders>
              <w:top w:val="nil"/>
              <w:left w:val="nil"/>
              <w:bottom w:val="nil"/>
              <w:right w:val="nil"/>
            </w:tcBorders>
            <w:shd w:val="clear" w:color="auto" w:fill="auto"/>
            <w:noWrap/>
            <w:vAlign w:val="bottom"/>
            <w:hideMark/>
          </w:tcPr>
          <w:p w14:paraId="2AD79C3C" w14:textId="77777777" w:rsidR="00440E80" w:rsidRPr="0017333D" w:rsidRDefault="00440E80" w:rsidP="00440E80">
            <w:pPr>
              <w:spacing w:after="0" w:line="240" w:lineRule="auto"/>
              <w:jc w:val="center"/>
              <w:rPr>
                <w:rFonts w:ascii="Times New Roman" w:eastAsia="Times New Roman" w:hAnsi="Times New Roman" w:cs="Times New Roman"/>
                <w:lang w:eastAsia="en-GB"/>
              </w:rPr>
            </w:pPr>
          </w:p>
        </w:tc>
        <w:tc>
          <w:tcPr>
            <w:tcW w:w="1360" w:type="dxa"/>
            <w:tcBorders>
              <w:top w:val="nil"/>
              <w:left w:val="nil"/>
              <w:bottom w:val="nil"/>
              <w:right w:val="nil"/>
            </w:tcBorders>
            <w:shd w:val="clear" w:color="auto" w:fill="auto"/>
            <w:noWrap/>
            <w:vAlign w:val="bottom"/>
            <w:hideMark/>
          </w:tcPr>
          <w:p w14:paraId="2C916870" w14:textId="77777777" w:rsidR="00440E80" w:rsidRPr="0017333D" w:rsidRDefault="00440E80" w:rsidP="00440E80">
            <w:pPr>
              <w:spacing w:after="0" w:line="240" w:lineRule="auto"/>
              <w:rPr>
                <w:rFonts w:ascii="Times New Roman" w:eastAsia="Times New Roman" w:hAnsi="Times New Roman" w:cs="Times New Roman"/>
                <w:lang w:eastAsia="en-GB"/>
              </w:rPr>
            </w:pPr>
          </w:p>
        </w:tc>
        <w:tc>
          <w:tcPr>
            <w:tcW w:w="1300" w:type="dxa"/>
            <w:tcBorders>
              <w:top w:val="nil"/>
              <w:left w:val="nil"/>
              <w:bottom w:val="nil"/>
              <w:right w:val="nil"/>
            </w:tcBorders>
            <w:shd w:val="clear" w:color="auto" w:fill="auto"/>
            <w:noWrap/>
            <w:vAlign w:val="bottom"/>
            <w:hideMark/>
          </w:tcPr>
          <w:p w14:paraId="616064D5" w14:textId="77777777" w:rsidR="00440E80" w:rsidRPr="0017333D" w:rsidRDefault="00440E80" w:rsidP="00440E80">
            <w:pPr>
              <w:spacing w:after="0" w:line="240" w:lineRule="auto"/>
              <w:rPr>
                <w:rFonts w:ascii="Times New Roman" w:eastAsia="Times New Roman" w:hAnsi="Times New Roman" w:cs="Times New Roman"/>
                <w:lang w:eastAsia="en-GB"/>
              </w:rPr>
            </w:pPr>
          </w:p>
        </w:tc>
      </w:tr>
      <w:tr w:rsidR="00440E80" w:rsidRPr="0017333D" w14:paraId="31913D54"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59FF6C2E"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proofErr w:type="spellStart"/>
            <w:r w:rsidRPr="0017333D">
              <w:rPr>
                <w:rFonts w:ascii="Times New Roman" w:eastAsia="Times New Roman" w:hAnsi="Times New Roman" w:cs="Times New Roman"/>
                <w:color w:val="000000"/>
                <w:lang w:eastAsia="en-GB"/>
              </w:rPr>
              <w:t>Hours</w:t>
            </w:r>
            <w:proofErr w:type="spellEnd"/>
            <w:r w:rsidRPr="0017333D">
              <w:rPr>
                <w:rFonts w:ascii="Times New Roman" w:eastAsia="Times New Roman" w:hAnsi="Times New Roman" w:cs="Times New Roman"/>
                <w:color w:val="000000"/>
                <w:lang w:eastAsia="en-GB"/>
              </w:rPr>
              <w:t xml:space="preserve"> sleep per night (ES)</w:t>
            </w:r>
          </w:p>
        </w:tc>
        <w:tc>
          <w:tcPr>
            <w:tcW w:w="960" w:type="dxa"/>
            <w:tcBorders>
              <w:top w:val="nil"/>
              <w:left w:val="nil"/>
              <w:bottom w:val="nil"/>
              <w:right w:val="nil"/>
            </w:tcBorders>
            <w:shd w:val="clear" w:color="auto" w:fill="auto"/>
            <w:noWrap/>
            <w:vAlign w:val="center"/>
            <w:hideMark/>
          </w:tcPr>
          <w:p w14:paraId="36E5F8D4"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0.00</w:t>
            </w:r>
          </w:p>
        </w:tc>
        <w:tc>
          <w:tcPr>
            <w:tcW w:w="1420" w:type="dxa"/>
            <w:tcBorders>
              <w:top w:val="nil"/>
              <w:left w:val="nil"/>
              <w:bottom w:val="nil"/>
              <w:right w:val="nil"/>
            </w:tcBorders>
            <w:shd w:val="clear" w:color="auto" w:fill="auto"/>
            <w:noWrap/>
            <w:vAlign w:val="center"/>
            <w:hideMark/>
          </w:tcPr>
          <w:p w14:paraId="2F87A7DF"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0.08</w:t>
            </w:r>
          </w:p>
        </w:tc>
        <w:tc>
          <w:tcPr>
            <w:tcW w:w="1360" w:type="dxa"/>
            <w:tcBorders>
              <w:top w:val="nil"/>
              <w:left w:val="nil"/>
              <w:bottom w:val="nil"/>
              <w:right w:val="nil"/>
            </w:tcBorders>
            <w:shd w:val="clear" w:color="auto" w:fill="auto"/>
            <w:noWrap/>
            <w:vAlign w:val="center"/>
            <w:hideMark/>
          </w:tcPr>
          <w:p w14:paraId="023FDB1A"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0.01</w:t>
            </w:r>
          </w:p>
        </w:tc>
        <w:tc>
          <w:tcPr>
            <w:tcW w:w="1300" w:type="dxa"/>
            <w:tcBorders>
              <w:top w:val="nil"/>
              <w:left w:val="nil"/>
              <w:bottom w:val="nil"/>
              <w:right w:val="nil"/>
            </w:tcBorders>
            <w:shd w:val="clear" w:color="auto" w:fill="auto"/>
            <w:noWrap/>
            <w:vAlign w:val="center"/>
            <w:hideMark/>
          </w:tcPr>
          <w:p w14:paraId="66C513B0"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0.04</w:t>
            </w:r>
          </w:p>
        </w:tc>
      </w:tr>
      <w:tr w:rsidR="00440E80" w:rsidRPr="0017333D" w14:paraId="098822F5"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2BEA89B2"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Often have trouble falling sleep</w:t>
            </w:r>
          </w:p>
        </w:tc>
        <w:tc>
          <w:tcPr>
            <w:tcW w:w="960" w:type="dxa"/>
            <w:tcBorders>
              <w:top w:val="nil"/>
              <w:left w:val="nil"/>
              <w:bottom w:val="nil"/>
              <w:right w:val="nil"/>
            </w:tcBorders>
            <w:shd w:val="clear" w:color="auto" w:fill="auto"/>
            <w:noWrap/>
            <w:vAlign w:val="center"/>
            <w:hideMark/>
          </w:tcPr>
          <w:p w14:paraId="5FB144C2"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26%</w:t>
            </w:r>
          </w:p>
        </w:tc>
        <w:tc>
          <w:tcPr>
            <w:tcW w:w="1420" w:type="dxa"/>
            <w:tcBorders>
              <w:top w:val="nil"/>
              <w:left w:val="nil"/>
              <w:bottom w:val="nil"/>
              <w:right w:val="nil"/>
            </w:tcBorders>
            <w:shd w:val="clear" w:color="auto" w:fill="auto"/>
            <w:noWrap/>
            <w:vAlign w:val="center"/>
            <w:hideMark/>
          </w:tcPr>
          <w:p w14:paraId="2EA7B12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24%</w:t>
            </w:r>
          </w:p>
        </w:tc>
        <w:tc>
          <w:tcPr>
            <w:tcW w:w="1360" w:type="dxa"/>
            <w:tcBorders>
              <w:top w:val="nil"/>
              <w:left w:val="nil"/>
              <w:bottom w:val="nil"/>
              <w:right w:val="nil"/>
            </w:tcBorders>
            <w:shd w:val="clear" w:color="auto" w:fill="auto"/>
            <w:noWrap/>
            <w:vAlign w:val="center"/>
            <w:hideMark/>
          </w:tcPr>
          <w:p w14:paraId="7244D7FF"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23%</w:t>
            </w:r>
          </w:p>
        </w:tc>
        <w:tc>
          <w:tcPr>
            <w:tcW w:w="1300" w:type="dxa"/>
            <w:tcBorders>
              <w:top w:val="nil"/>
              <w:left w:val="nil"/>
              <w:bottom w:val="nil"/>
              <w:right w:val="nil"/>
            </w:tcBorders>
            <w:shd w:val="clear" w:color="auto" w:fill="auto"/>
            <w:noWrap/>
            <w:vAlign w:val="center"/>
            <w:hideMark/>
          </w:tcPr>
          <w:p w14:paraId="561F4ADF"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24%</w:t>
            </w:r>
          </w:p>
        </w:tc>
      </w:tr>
      <w:tr w:rsidR="00440E80" w:rsidRPr="0017333D" w14:paraId="20BDCB60"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46B1D198"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Alcohol</w:t>
            </w:r>
          </w:p>
        </w:tc>
        <w:tc>
          <w:tcPr>
            <w:tcW w:w="960" w:type="dxa"/>
            <w:tcBorders>
              <w:top w:val="nil"/>
              <w:left w:val="nil"/>
              <w:bottom w:val="nil"/>
              <w:right w:val="nil"/>
            </w:tcBorders>
            <w:shd w:val="clear" w:color="auto" w:fill="auto"/>
            <w:noWrap/>
            <w:vAlign w:val="center"/>
            <w:hideMark/>
          </w:tcPr>
          <w:p w14:paraId="2EC27DBA"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p>
        </w:tc>
        <w:tc>
          <w:tcPr>
            <w:tcW w:w="1420" w:type="dxa"/>
            <w:tcBorders>
              <w:top w:val="nil"/>
              <w:left w:val="nil"/>
              <w:bottom w:val="nil"/>
              <w:right w:val="nil"/>
            </w:tcBorders>
            <w:shd w:val="clear" w:color="auto" w:fill="auto"/>
            <w:noWrap/>
            <w:vAlign w:val="bottom"/>
            <w:hideMark/>
          </w:tcPr>
          <w:p w14:paraId="765E0350" w14:textId="77777777" w:rsidR="00440E80" w:rsidRPr="0017333D" w:rsidRDefault="00440E80" w:rsidP="00440E80">
            <w:pPr>
              <w:spacing w:after="0" w:line="240" w:lineRule="auto"/>
              <w:jc w:val="center"/>
              <w:rPr>
                <w:rFonts w:ascii="Times New Roman" w:eastAsia="Times New Roman" w:hAnsi="Times New Roman" w:cs="Times New Roman"/>
                <w:lang w:eastAsia="en-GB"/>
              </w:rPr>
            </w:pPr>
          </w:p>
        </w:tc>
        <w:tc>
          <w:tcPr>
            <w:tcW w:w="1360" w:type="dxa"/>
            <w:tcBorders>
              <w:top w:val="nil"/>
              <w:left w:val="nil"/>
              <w:bottom w:val="nil"/>
              <w:right w:val="nil"/>
            </w:tcBorders>
            <w:shd w:val="clear" w:color="auto" w:fill="auto"/>
            <w:noWrap/>
            <w:vAlign w:val="bottom"/>
            <w:hideMark/>
          </w:tcPr>
          <w:p w14:paraId="0FB1FD7D" w14:textId="77777777" w:rsidR="00440E80" w:rsidRPr="0017333D" w:rsidRDefault="00440E80" w:rsidP="00440E80">
            <w:pPr>
              <w:spacing w:after="0" w:line="240" w:lineRule="auto"/>
              <w:rPr>
                <w:rFonts w:ascii="Times New Roman" w:eastAsia="Times New Roman" w:hAnsi="Times New Roman" w:cs="Times New Roman"/>
                <w:lang w:eastAsia="en-GB"/>
              </w:rPr>
            </w:pPr>
          </w:p>
        </w:tc>
        <w:tc>
          <w:tcPr>
            <w:tcW w:w="1300" w:type="dxa"/>
            <w:tcBorders>
              <w:top w:val="nil"/>
              <w:left w:val="nil"/>
              <w:bottom w:val="nil"/>
              <w:right w:val="nil"/>
            </w:tcBorders>
            <w:shd w:val="clear" w:color="auto" w:fill="auto"/>
            <w:noWrap/>
            <w:vAlign w:val="bottom"/>
            <w:hideMark/>
          </w:tcPr>
          <w:p w14:paraId="3A566DC4" w14:textId="77777777" w:rsidR="00440E80" w:rsidRPr="0017333D" w:rsidRDefault="00440E80" w:rsidP="00440E80">
            <w:pPr>
              <w:spacing w:after="0" w:line="240" w:lineRule="auto"/>
              <w:rPr>
                <w:rFonts w:ascii="Times New Roman" w:eastAsia="Times New Roman" w:hAnsi="Times New Roman" w:cs="Times New Roman"/>
                <w:lang w:eastAsia="en-GB"/>
              </w:rPr>
            </w:pPr>
          </w:p>
        </w:tc>
      </w:tr>
      <w:tr w:rsidR="00440E80" w:rsidRPr="0017333D" w14:paraId="3285AD93"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2C2FED2E"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Drink daily</w:t>
            </w:r>
          </w:p>
        </w:tc>
        <w:tc>
          <w:tcPr>
            <w:tcW w:w="960" w:type="dxa"/>
            <w:tcBorders>
              <w:top w:val="nil"/>
              <w:left w:val="nil"/>
              <w:bottom w:val="nil"/>
              <w:right w:val="nil"/>
            </w:tcBorders>
            <w:shd w:val="clear" w:color="auto" w:fill="auto"/>
            <w:noWrap/>
            <w:vAlign w:val="center"/>
            <w:hideMark/>
          </w:tcPr>
          <w:p w14:paraId="45AAC63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20%</w:t>
            </w:r>
          </w:p>
        </w:tc>
        <w:tc>
          <w:tcPr>
            <w:tcW w:w="1420" w:type="dxa"/>
            <w:tcBorders>
              <w:top w:val="nil"/>
              <w:left w:val="nil"/>
              <w:bottom w:val="nil"/>
              <w:right w:val="nil"/>
            </w:tcBorders>
            <w:shd w:val="clear" w:color="auto" w:fill="auto"/>
            <w:noWrap/>
            <w:vAlign w:val="center"/>
            <w:hideMark/>
          </w:tcPr>
          <w:p w14:paraId="43840BC5"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23%</w:t>
            </w:r>
          </w:p>
        </w:tc>
        <w:tc>
          <w:tcPr>
            <w:tcW w:w="1360" w:type="dxa"/>
            <w:tcBorders>
              <w:top w:val="nil"/>
              <w:left w:val="nil"/>
              <w:bottom w:val="nil"/>
              <w:right w:val="nil"/>
            </w:tcBorders>
            <w:shd w:val="clear" w:color="auto" w:fill="auto"/>
            <w:noWrap/>
            <w:vAlign w:val="center"/>
            <w:hideMark/>
          </w:tcPr>
          <w:p w14:paraId="3BC456D7"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22%</w:t>
            </w:r>
          </w:p>
        </w:tc>
        <w:tc>
          <w:tcPr>
            <w:tcW w:w="1300" w:type="dxa"/>
            <w:tcBorders>
              <w:top w:val="nil"/>
              <w:left w:val="nil"/>
              <w:bottom w:val="nil"/>
              <w:right w:val="nil"/>
            </w:tcBorders>
            <w:shd w:val="clear" w:color="auto" w:fill="auto"/>
            <w:noWrap/>
            <w:vAlign w:val="center"/>
            <w:hideMark/>
          </w:tcPr>
          <w:p w14:paraId="76443A83"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23%</w:t>
            </w:r>
          </w:p>
        </w:tc>
      </w:tr>
      <w:tr w:rsidR="00440E80" w:rsidRPr="0017333D" w14:paraId="01B33A54"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4D60AF27"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 xml:space="preserve">Number alcohol units per week </w:t>
            </w:r>
          </w:p>
        </w:tc>
        <w:tc>
          <w:tcPr>
            <w:tcW w:w="960" w:type="dxa"/>
            <w:tcBorders>
              <w:top w:val="nil"/>
              <w:left w:val="nil"/>
              <w:bottom w:val="nil"/>
              <w:right w:val="nil"/>
            </w:tcBorders>
            <w:shd w:val="clear" w:color="auto" w:fill="auto"/>
            <w:noWrap/>
            <w:vAlign w:val="center"/>
            <w:hideMark/>
          </w:tcPr>
          <w:p w14:paraId="112C4157"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0.00</w:t>
            </w:r>
          </w:p>
        </w:tc>
        <w:tc>
          <w:tcPr>
            <w:tcW w:w="1420" w:type="dxa"/>
            <w:tcBorders>
              <w:top w:val="nil"/>
              <w:left w:val="nil"/>
              <w:bottom w:val="nil"/>
              <w:right w:val="nil"/>
            </w:tcBorders>
            <w:shd w:val="clear" w:color="auto" w:fill="auto"/>
            <w:noWrap/>
            <w:vAlign w:val="center"/>
            <w:hideMark/>
          </w:tcPr>
          <w:p w14:paraId="69D355BC"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0.06</w:t>
            </w:r>
          </w:p>
        </w:tc>
        <w:tc>
          <w:tcPr>
            <w:tcW w:w="1360" w:type="dxa"/>
            <w:tcBorders>
              <w:top w:val="nil"/>
              <w:left w:val="nil"/>
              <w:bottom w:val="nil"/>
              <w:right w:val="nil"/>
            </w:tcBorders>
            <w:shd w:val="clear" w:color="auto" w:fill="auto"/>
            <w:noWrap/>
            <w:vAlign w:val="center"/>
            <w:hideMark/>
          </w:tcPr>
          <w:p w14:paraId="6B8CF0C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-0.22</w:t>
            </w:r>
          </w:p>
        </w:tc>
        <w:tc>
          <w:tcPr>
            <w:tcW w:w="1300" w:type="dxa"/>
            <w:tcBorders>
              <w:top w:val="nil"/>
              <w:left w:val="nil"/>
              <w:bottom w:val="nil"/>
              <w:right w:val="nil"/>
            </w:tcBorders>
            <w:shd w:val="clear" w:color="auto" w:fill="auto"/>
            <w:noWrap/>
            <w:vAlign w:val="center"/>
            <w:hideMark/>
          </w:tcPr>
          <w:p w14:paraId="18FECAB5"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0.09</w:t>
            </w:r>
          </w:p>
        </w:tc>
      </w:tr>
      <w:tr w:rsidR="00440E80" w:rsidRPr="0017333D" w14:paraId="434163C3"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53D1614F"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Happiness</w:t>
            </w:r>
          </w:p>
        </w:tc>
        <w:tc>
          <w:tcPr>
            <w:tcW w:w="960" w:type="dxa"/>
            <w:tcBorders>
              <w:top w:val="nil"/>
              <w:left w:val="nil"/>
              <w:bottom w:val="nil"/>
              <w:right w:val="nil"/>
            </w:tcBorders>
            <w:shd w:val="clear" w:color="auto" w:fill="auto"/>
            <w:noWrap/>
            <w:vAlign w:val="center"/>
            <w:hideMark/>
          </w:tcPr>
          <w:p w14:paraId="228F07C5"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p>
        </w:tc>
        <w:tc>
          <w:tcPr>
            <w:tcW w:w="1420" w:type="dxa"/>
            <w:tcBorders>
              <w:top w:val="nil"/>
              <w:left w:val="nil"/>
              <w:bottom w:val="nil"/>
              <w:right w:val="nil"/>
            </w:tcBorders>
            <w:shd w:val="clear" w:color="auto" w:fill="auto"/>
            <w:noWrap/>
            <w:vAlign w:val="bottom"/>
            <w:hideMark/>
          </w:tcPr>
          <w:p w14:paraId="6429C28B" w14:textId="77777777" w:rsidR="00440E80" w:rsidRPr="0017333D" w:rsidRDefault="00440E80" w:rsidP="00440E80">
            <w:pPr>
              <w:spacing w:after="0" w:line="240" w:lineRule="auto"/>
              <w:jc w:val="center"/>
              <w:rPr>
                <w:rFonts w:ascii="Times New Roman" w:eastAsia="Times New Roman" w:hAnsi="Times New Roman" w:cs="Times New Roman"/>
                <w:lang w:eastAsia="en-GB"/>
              </w:rPr>
            </w:pPr>
          </w:p>
        </w:tc>
        <w:tc>
          <w:tcPr>
            <w:tcW w:w="1360" w:type="dxa"/>
            <w:tcBorders>
              <w:top w:val="nil"/>
              <w:left w:val="nil"/>
              <w:bottom w:val="nil"/>
              <w:right w:val="nil"/>
            </w:tcBorders>
            <w:shd w:val="clear" w:color="auto" w:fill="auto"/>
            <w:noWrap/>
            <w:vAlign w:val="bottom"/>
            <w:hideMark/>
          </w:tcPr>
          <w:p w14:paraId="31192E41" w14:textId="77777777" w:rsidR="00440E80" w:rsidRPr="0017333D" w:rsidRDefault="00440E80" w:rsidP="00440E80">
            <w:pPr>
              <w:spacing w:after="0" w:line="240" w:lineRule="auto"/>
              <w:rPr>
                <w:rFonts w:ascii="Times New Roman" w:eastAsia="Times New Roman" w:hAnsi="Times New Roman" w:cs="Times New Roman"/>
                <w:lang w:eastAsia="en-GB"/>
              </w:rPr>
            </w:pPr>
          </w:p>
        </w:tc>
        <w:tc>
          <w:tcPr>
            <w:tcW w:w="1300" w:type="dxa"/>
            <w:tcBorders>
              <w:top w:val="nil"/>
              <w:left w:val="nil"/>
              <w:bottom w:val="nil"/>
              <w:right w:val="nil"/>
            </w:tcBorders>
            <w:shd w:val="clear" w:color="auto" w:fill="auto"/>
            <w:noWrap/>
            <w:vAlign w:val="bottom"/>
            <w:hideMark/>
          </w:tcPr>
          <w:p w14:paraId="2E1052B3" w14:textId="77777777" w:rsidR="00440E80" w:rsidRPr="0017333D" w:rsidRDefault="00440E80" w:rsidP="00440E80">
            <w:pPr>
              <w:spacing w:after="0" w:line="240" w:lineRule="auto"/>
              <w:rPr>
                <w:rFonts w:ascii="Times New Roman" w:eastAsia="Times New Roman" w:hAnsi="Times New Roman" w:cs="Times New Roman"/>
                <w:lang w:eastAsia="en-GB"/>
              </w:rPr>
            </w:pPr>
          </w:p>
        </w:tc>
      </w:tr>
      <w:tr w:rsidR="00440E80" w:rsidRPr="0017333D" w14:paraId="7D769C89"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3E9CF54C"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happy with work</w:t>
            </w:r>
          </w:p>
        </w:tc>
        <w:tc>
          <w:tcPr>
            <w:tcW w:w="960" w:type="dxa"/>
            <w:tcBorders>
              <w:top w:val="nil"/>
              <w:left w:val="nil"/>
              <w:bottom w:val="nil"/>
              <w:right w:val="nil"/>
            </w:tcBorders>
            <w:shd w:val="clear" w:color="auto" w:fill="auto"/>
            <w:noWrap/>
            <w:vAlign w:val="center"/>
            <w:hideMark/>
          </w:tcPr>
          <w:p w14:paraId="267B4D10"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47%</w:t>
            </w:r>
          </w:p>
        </w:tc>
        <w:tc>
          <w:tcPr>
            <w:tcW w:w="1420" w:type="dxa"/>
            <w:tcBorders>
              <w:top w:val="nil"/>
              <w:left w:val="nil"/>
              <w:bottom w:val="nil"/>
              <w:right w:val="nil"/>
            </w:tcBorders>
            <w:shd w:val="clear" w:color="auto" w:fill="auto"/>
            <w:noWrap/>
            <w:vAlign w:val="center"/>
            <w:hideMark/>
          </w:tcPr>
          <w:p w14:paraId="63481A3B"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56%</w:t>
            </w:r>
          </w:p>
        </w:tc>
        <w:tc>
          <w:tcPr>
            <w:tcW w:w="1360" w:type="dxa"/>
            <w:tcBorders>
              <w:top w:val="nil"/>
              <w:left w:val="nil"/>
              <w:bottom w:val="nil"/>
              <w:right w:val="nil"/>
            </w:tcBorders>
            <w:shd w:val="clear" w:color="auto" w:fill="auto"/>
            <w:noWrap/>
            <w:vAlign w:val="center"/>
            <w:hideMark/>
          </w:tcPr>
          <w:p w14:paraId="602324D8"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50%</w:t>
            </w:r>
          </w:p>
        </w:tc>
        <w:tc>
          <w:tcPr>
            <w:tcW w:w="1300" w:type="dxa"/>
            <w:tcBorders>
              <w:top w:val="nil"/>
              <w:left w:val="nil"/>
              <w:bottom w:val="nil"/>
              <w:right w:val="nil"/>
            </w:tcBorders>
            <w:shd w:val="clear" w:color="auto" w:fill="auto"/>
            <w:noWrap/>
            <w:vAlign w:val="center"/>
            <w:hideMark/>
          </w:tcPr>
          <w:p w14:paraId="3F496363"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49%</w:t>
            </w:r>
          </w:p>
        </w:tc>
      </w:tr>
      <w:tr w:rsidR="00440E80" w:rsidRPr="0017333D" w14:paraId="4D7CB492"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4A60303A"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with finances</w:t>
            </w:r>
          </w:p>
        </w:tc>
        <w:tc>
          <w:tcPr>
            <w:tcW w:w="960" w:type="dxa"/>
            <w:tcBorders>
              <w:top w:val="nil"/>
              <w:left w:val="nil"/>
              <w:bottom w:val="nil"/>
              <w:right w:val="nil"/>
            </w:tcBorders>
            <w:shd w:val="clear" w:color="auto" w:fill="auto"/>
            <w:noWrap/>
            <w:vAlign w:val="center"/>
            <w:hideMark/>
          </w:tcPr>
          <w:p w14:paraId="6726EFAB"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47%</w:t>
            </w:r>
          </w:p>
        </w:tc>
        <w:tc>
          <w:tcPr>
            <w:tcW w:w="1420" w:type="dxa"/>
            <w:tcBorders>
              <w:top w:val="nil"/>
              <w:left w:val="nil"/>
              <w:bottom w:val="nil"/>
              <w:right w:val="nil"/>
            </w:tcBorders>
            <w:shd w:val="clear" w:color="auto" w:fill="auto"/>
            <w:noWrap/>
            <w:vAlign w:val="center"/>
            <w:hideMark/>
          </w:tcPr>
          <w:p w14:paraId="5BC561B7"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45%</w:t>
            </w:r>
          </w:p>
        </w:tc>
        <w:tc>
          <w:tcPr>
            <w:tcW w:w="1360" w:type="dxa"/>
            <w:tcBorders>
              <w:top w:val="nil"/>
              <w:left w:val="nil"/>
              <w:bottom w:val="nil"/>
              <w:right w:val="nil"/>
            </w:tcBorders>
            <w:shd w:val="clear" w:color="auto" w:fill="auto"/>
            <w:noWrap/>
            <w:vAlign w:val="center"/>
            <w:hideMark/>
          </w:tcPr>
          <w:p w14:paraId="3E428737"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45%</w:t>
            </w:r>
          </w:p>
        </w:tc>
        <w:tc>
          <w:tcPr>
            <w:tcW w:w="1300" w:type="dxa"/>
            <w:tcBorders>
              <w:top w:val="nil"/>
              <w:left w:val="nil"/>
              <w:bottom w:val="nil"/>
              <w:right w:val="nil"/>
            </w:tcBorders>
            <w:shd w:val="clear" w:color="auto" w:fill="auto"/>
            <w:noWrap/>
            <w:vAlign w:val="center"/>
            <w:hideMark/>
          </w:tcPr>
          <w:p w14:paraId="194A2BB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46%</w:t>
            </w:r>
          </w:p>
        </w:tc>
      </w:tr>
      <w:tr w:rsidR="00440E80" w:rsidRPr="0017333D" w14:paraId="3D0D387B"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442826BF"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with friends</w:t>
            </w:r>
          </w:p>
        </w:tc>
        <w:tc>
          <w:tcPr>
            <w:tcW w:w="960" w:type="dxa"/>
            <w:tcBorders>
              <w:top w:val="nil"/>
              <w:left w:val="nil"/>
              <w:bottom w:val="nil"/>
              <w:right w:val="nil"/>
            </w:tcBorders>
            <w:shd w:val="clear" w:color="auto" w:fill="auto"/>
            <w:noWrap/>
            <w:vAlign w:val="center"/>
            <w:hideMark/>
          </w:tcPr>
          <w:p w14:paraId="536341D4"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68%</w:t>
            </w:r>
          </w:p>
        </w:tc>
        <w:tc>
          <w:tcPr>
            <w:tcW w:w="1420" w:type="dxa"/>
            <w:tcBorders>
              <w:top w:val="nil"/>
              <w:left w:val="nil"/>
              <w:bottom w:val="nil"/>
              <w:right w:val="nil"/>
            </w:tcBorders>
            <w:shd w:val="clear" w:color="auto" w:fill="auto"/>
            <w:noWrap/>
            <w:vAlign w:val="center"/>
            <w:hideMark/>
          </w:tcPr>
          <w:p w14:paraId="21E1570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64%</w:t>
            </w:r>
          </w:p>
        </w:tc>
        <w:tc>
          <w:tcPr>
            <w:tcW w:w="1360" w:type="dxa"/>
            <w:tcBorders>
              <w:top w:val="nil"/>
              <w:left w:val="nil"/>
              <w:bottom w:val="nil"/>
              <w:right w:val="nil"/>
            </w:tcBorders>
            <w:shd w:val="clear" w:color="auto" w:fill="auto"/>
            <w:noWrap/>
            <w:vAlign w:val="center"/>
            <w:hideMark/>
          </w:tcPr>
          <w:p w14:paraId="5CD58349"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68%</w:t>
            </w:r>
          </w:p>
        </w:tc>
        <w:tc>
          <w:tcPr>
            <w:tcW w:w="1300" w:type="dxa"/>
            <w:tcBorders>
              <w:top w:val="nil"/>
              <w:left w:val="nil"/>
              <w:bottom w:val="nil"/>
              <w:right w:val="nil"/>
            </w:tcBorders>
            <w:shd w:val="clear" w:color="auto" w:fill="auto"/>
            <w:noWrap/>
            <w:vAlign w:val="center"/>
            <w:hideMark/>
          </w:tcPr>
          <w:p w14:paraId="061A6123"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66%</w:t>
            </w:r>
          </w:p>
        </w:tc>
      </w:tr>
      <w:tr w:rsidR="00440E80" w:rsidRPr="0017333D" w14:paraId="06F68730"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3F3CAC70"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with family</w:t>
            </w:r>
          </w:p>
        </w:tc>
        <w:tc>
          <w:tcPr>
            <w:tcW w:w="960" w:type="dxa"/>
            <w:tcBorders>
              <w:top w:val="nil"/>
              <w:left w:val="nil"/>
              <w:bottom w:val="nil"/>
              <w:right w:val="nil"/>
            </w:tcBorders>
            <w:shd w:val="clear" w:color="auto" w:fill="auto"/>
            <w:noWrap/>
            <w:vAlign w:val="center"/>
            <w:hideMark/>
          </w:tcPr>
          <w:p w14:paraId="15B011CB"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68%</w:t>
            </w:r>
          </w:p>
        </w:tc>
        <w:tc>
          <w:tcPr>
            <w:tcW w:w="1420" w:type="dxa"/>
            <w:tcBorders>
              <w:top w:val="nil"/>
              <w:left w:val="nil"/>
              <w:bottom w:val="nil"/>
              <w:right w:val="nil"/>
            </w:tcBorders>
            <w:shd w:val="clear" w:color="auto" w:fill="auto"/>
            <w:noWrap/>
            <w:vAlign w:val="center"/>
            <w:hideMark/>
          </w:tcPr>
          <w:p w14:paraId="1EA748B4"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65%</w:t>
            </w:r>
          </w:p>
        </w:tc>
        <w:tc>
          <w:tcPr>
            <w:tcW w:w="1360" w:type="dxa"/>
            <w:tcBorders>
              <w:top w:val="nil"/>
              <w:left w:val="nil"/>
              <w:bottom w:val="nil"/>
              <w:right w:val="nil"/>
            </w:tcBorders>
            <w:shd w:val="clear" w:color="auto" w:fill="auto"/>
            <w:noWrap/>
            <w:vAlign w:val="center"/>
            <w:hideMark/>
          </w:tcPr>
          <w:p w14:paraId="129CDE76"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65%</w:t>
            </w:r>
          </w:p>
        </w:tc>
        <w:tc>
          <w:tcPr>
            <w:tcW w:w="1300" w:type="dxa"/>
            <w:tcBorders>
              <w:top w:val="nil"/>
              <w:left w:val="nil"/>
              <w:bottom w:val="nil"/>
              <w:right w:val="nil"/>
            </w:tcBorders>
            <w:shd w:val="clear" w:color="auto" w:fill="auto"/>
            <w:noWrap/>
            <w:vAlign w:val="center"/>
            <w:hideMark/>
          </w:tcPr>
          <w:p w14:paraId="270F09C5"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67%</w:t>
            </w:r>
          </w:p>
        </w:tc>
      </w:tr>
      <w:tr w:rsidR="00440E80" w:rsidRPr="0017333D" w14:paraId="07E8DA2B" w14:textId="77777777" w:rsidTr="00440E80">
        <w:trPr>
          <w:trHeight w:val="300"/>
          <w:jc w:val="center"/>
        </w:trPr>
        <w:tc>
          <w:tcPr>
            <w:tcW w:w="3440" w:type="dxa"/>
            <w:tcBorders>
              <w:top w:val="nil"/>
              <w:left w:val="nil"/>
              <w:bottom w:val="nil"/>
              <w:right w:val="nil"/>
            </w:tcBorders>
            <w:shd w:val="clear" w:color="auto" w:fill="auto"/>
            <w:noWrap/>
            <w:vAlign w:val="center"/>
            <w:hideMark/>
          </w:tcPr>
          <w:p w14:paraId="3AACEDE4"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with health</w:t>
            </w:r>
          </w:p>
        </w:tc>
        <w:tc>
          <w:tcPr>
            <w:tcW w:w="960" w:type="dxa"/>
            <w:tcBorders>
              <w:top w:val="nil"/>
              <w:left w:val="nil"/>
              <w:bottom w:val="nil"/>
              <w:right w:val="nil"/>
            </w:tcBorders>
            <w:shd w:val="clear" w:color="auto" w:fill="auto"/>
            <w:noWrap/>
            <w:vAlign w:val="center"/>
            <w:hideMark/>
          </w:tcPr>
          <w:p w14:paraId="172F192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43%</w:t>
            </w:r>
          </w:p>
        </w:tc>
        <w:tc>
          <w:tcPr>
            <w:tcW w:w="1420" w:type="dxa"/>
            <w:tcBorders>
              <w:top w:val="nil"/>
              <w:left w:val="nil"/>
              <w:bottom w:val="nil"/>
              <w:right w:val="nil"/>
            </w:tcBorders>
            <w:shd w:val="clear" w:color="auto" w:fill="auto"/>
            <w:noWrap/>
            <w:vAlign w:val="center"/>
            <w:hideMark/>
          </w:tcPr>
          <w:p w14:paraId="04E5828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42%</w:t>
            </w:r>
          </w:p>
        </w:tc>
        <w:tc>
          <w:tcPr>
            <w:tcW w:w="1360" w:type="dxa"/>
            <w:tcBorders>
              <w:top w:val="nil"/>
              <w:left w:val="nil"/>
              <w:bottom w:val="nil"/>
              <w:right w:val="nil"/>
            </w:tcBorders>
            <w:shd w:val="clear" w:color="auto" w:fill="auto"/>
            <w:noWrap/>
            <w:vAlign w:val="center"/>
            <w:hideMark/>
          </w:tcPr>
          <w:p w14:paraId="73CE45B1"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40%</w:t>
            </w:r>
          </w:p>
        </w:tc>
        <w:tc>
          <w:tcPr>
            <w:tcW w:w="1300" w:type="dxa"/>
            <w:tcBorders>
              <w:top w:val="nil"/>
              <w:left w:val="nil"/>
              <w:bottom w:val="nil"/>
              <w:right w:val="nil"/>
            </w:tcBorders>
            <w:shd w:val="clear" w:color="auto" w:fill="auto"/>
            <w:noWrap/>
            <w:vAlign w:val="center"/>
            <w:hideMark/>
          </w:tcPr>
          <w:p w14:paraId="4B549BC6"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48%</w:t>
            </w:r>
          </w:p>
        </w:tc>
      </w:tr>
      <w:tr w:rsidR="00440E80" w:rsidRPr="0017333D" w14:paraId="42A1CA7A" w14:textId="77777777" w:rsidTr="00440E80">
        <w:trPr>
          <w:trHeight w:val="315"/>
          <w:jc w:val="center"/>
        </w:trPr>
        <w:tc>
          <w:tcPr>
            <w:tcW w:w="3440" w:type="dxa"/>
            <w:tcBorders>
              <w:top w:val="nil"/>
              <w:left w:val="nil"/>
              <w:bottom w:val="single" w:sz="4" w:space="0" w:color="auto"/>
              <w:right w:val="nil"/>
            </w:tcBorders>
            <w:shd w:val="clear" w:color="auto" w:fill="auto"/>
            <w:noWrap/>
            <w:vAlign w:val="center"/>
            <w:hideMark/>
          </w:tcPr>
          <w:p w14:paraId="0B0651EE"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happy overall</w:t>
            </w:r>
          </w:p>
        </w:tc>
        <w:tc>
          <w:tcPr>
            <w:tcW w:w="960" w:type="dxa"/>
            <w:tcBorders>
              <w:top w:val="nil"/>
              <w:left w:val="nil"/>
              <w:bottom w:val="single" w:sz="4" w:space="0" w:color="auto"/>
              <w:right w:val="nil"/>
            </w:tcBorders>
            <w:shd w:val="clear" w:color="auto" w:fill="auto"/>
            <w:noWrap/>
            <w:vAlign w:val="center"/>
            <w:hideMark/>
          </w:tcPr>
          <w:p w14:paraId="0C81D4A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45%</w:t>
            </w:r>
          </w:p>
        </w:tc>
        <w:tc>
          <w:tcPr>
            <w:tcW w:w="1420" w:type="dxa"/>
            <w:tcBorders>
              <w:top w:val="nil"/>
              <w:left w:val="nil"/>
              <w:bottom w:val="single" w:sz="4" w:space="0" w:color="auto"/>
              <w:right w:val="nil"/>
            </w:tcBorders>
            <w:shd w:val="clear" w:color="auto" w:fill="auto"/>
            <w:noWrap/>
            <w:vAlign w:val="center"/>
            <w:hideMark/>
          </w:tcPr>
          <w:p w14:paraId="6BC8DA0B"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45%</w:t>
            </w:r>
          </w:p>
        </w:tc>
        <w:tc>
          <w:tcPr>
            <w:tcW w:w="1360" w:type="dxa"/>
            <w:tcBorders>
              <w:top w:val="nil"/>
              <w:left w:val="nil"/>
              <w:bottom w:val="single" w:sz="4" w:space="0" w:color="auto"/>
              <w:right w:val="nil"/>
            </w:tcBorders>
            <w:shd w:val="clear" w:color="auto" w:fill="auto"/>
            <w:noWrap/>
            <w:vAlign w:val="center"/>
            <w:hideMark/>
          </w:tcPr>
          <w:p w14:paraId="1361D91A"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44%</w:t>
            </w:r>
          </w:p>
        </w:tc>
        <w:tc>
          <w:tcPr>
            <w:tcW w:w="1300" w:type="dxa"/>
            <w:tcBorders>
              <w:top w:val="nil"/>
              <w:left w:val="nil"/>
              <w:bottom w:val="single" w:sz="4" w:space="0" w:color="auto"/>
              <w:right w:val="nil"/>
            </w:tcBorders>
            <w:shd w:val="clear" w:color="auto" w:fill="auto"/>
            <w:noWrap/>
            <w:vAlign w:val="center"/>
            <w:hideMark/>
          </w:tcPr>
          <w:p w14:paraId="2BD26CB9"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46%</w:t>
            </w:r>
          </w:p>
        </w:tc>
      </w:tr>
    </w:tbl>
    <w:p w14:paraId="53E178EB" w14:textId="5A62FBD1" w:rsidR="00440E80" w:rsidRPr="0017333D" w:rsidRDefault="00440E80" w:rsidP="00440E80">
      <w:pPr>
        <w:spacing w:line="240" w:lineRule="auto"/>
        <w:jc w:val="both"/>
        <w:rPr>
          <w:rFonts w:ascii="Times New Roman" w:hAnsi="Times New Roman" w:cs="Times New Roman"/>
          <w:sz w:val="20"/>
          <w:szCs w:val="20"/>
        </w:rPr>
      </w:pPr>
      <w:r w:rsidRPr="0017333D">
        <w:rPr>
          <w:rFonts w:ascii="Times New Roman" w:hAnsi="Times New Roman" w:cs="Times New Roman"/>
          <w:sz w:val="20"/>
          <w:szCs w:val="20"/>
        </w:rPr>
        <w:t xml:space="preserve">Notes: Those individuals who were currently teachers at the time of the assessment centre are the reference group.  ‘ES’ refers to estimated effect size for continuous outcomes. </w:t>
      </w:r>
      <w:r w:rsidR="00AB2B5A">
        <w:rPr>
          <w:rFonts w:ascii="Times New Roman" w:hAnsi="Times New Roman" w:cs="Times New Roman"/>
          <w:sz w:val="20"/>
          <w:szCs w:val="20"/>
        </w:rPr>
        <w:t>Continuous measures reported as effect sizes, apart from number of units of alcohol (which is kept in its original metric - number of units).</w:t>
      </w:r>
      <w:r w:rsidR="00875EB6" w:rsidRPr="00875EB6">
        <w:rPr>
          <w:rFonts w:ascii="Times New Roman" w:hAnsi="Times New Roman" w:cs="Times New Roman"/>
          <w:sz w:val="20"/>
          <w:szCs w:val="20"/>
        </w:rPr>
        <w:t xml:space="preserve">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UK Biobank dataset</w:t>
      </w:r>
      <w:r w:rsidR="00875EB6" w:rsidRPr="00C15BFD">
        <w:rPr>
          <w:rFonts w:ascii="Times New Roman" w:hAnsi="Times New Roman" w:cs="Times New Roman"/>
          <w:sz w:val="20"/>
          <w:szCs w:val="20"/>
        </w:rPr>
        <w:t>.</w:t>
      </w:r>
    </w:p>
    <w:p w14:paraId="0BE8BDF8" w14:textId="4FBF2B0E" w:rsidR="00440E80" w:rsidRPr="00440E80" w:rsidRDefault="00440E80" w:rsidP="00440E80">
      <w:pPr>
        <w:spacing w:line="360" w:lineRule="auto"/>
        <w:jc w:val="both"/>
        <w:rPr>
          <w:rFonts w:ascii="Times New Roman" w:hAnsi="Times New Roman" w:cs="Times New Roman"/>
          <w:sz w:val="24"/>
          <w:szCs w:val="24"/>
        </w:rPr>
      </w:pPr>
      <w:r w:rsidRPr="00440E80">
        <w:rPr>
          <w:rFonts w:ascii="Times New Roman" w:hAnsi="Times New Roman" w:cs="Times New Roman"/>
          <w:sz w:val="24"/>
          <w:szCs w:val="24"/>
        </w:rPr>
        <w:lastRenderedPageBreak/>
        <w:t>The next set of estimates turns to the issue of sleep. There is little evidence of a difference between current and former teachers in terms of the amount of sleep they get over a typical 24-hour period; differences when expressed as an effect size are all below 0.10. Similarly, individuals who left teaching were slightly less likely to say that they had trouble falling asleep than the reference group (current teachers). However, the effect size is again small, with around a quarter of individuals having difficulties sleeping across the four groups. Any benefits from quitting teaching for one’s quality and quantity of sleep are hence likely to be small (if at all).</w:t>
      </w:r>
    </w:p>
    <w:p w14:paraId="7ACC8A76" w14:textId="0C5631BA" w:rsidR="00440E80" w:rsidRPr="00440E80" w:rsidRDefault="00440E80" w:rsidP="00440E80">
      <w:pPr>
        <w:spacing w:line="360" w:lineRule="auto"/>
        <w:jc w:val="both"/>
        <w:rPr>
          <w:rFonts w:ascii="Times New Roman" w:hAnsi="Times New Roman" w:cs="Times New Roman"/>
          <w:sz w:val="24"/>
          <w:szCs w:val="24"/>
        </w:rPr>
      </w:pPr>
      <w:r w:rsidRPr="00440E80">
        <w:rPr>
          <w:rFonts w:ascii="Times New Roman" w:hAnsi="Times New Roman" w:cs="Times New Roman"/>
          <w:sz w:val="24"/>
          <w:szCs w:val="24"/>
        </w:rPr>
        <w:t>The third set of outcomes presented in Table 8.2 refer</w:t>
      </w:r>
      <w:r w:rsidR="00E727AC">
        <w:rPr>
          <w:rFonts w:ascii="Times New Roman" w:hAnsi="Times New Roman" w:cs="Times New Roman"/>
          <w:sz w:val="24"/>
          <w:szCs w:val="24"/>
        </w:rPr>
        <w:t>s</w:t>
      </w:r>
      <w:r w:rsidRPr="00440E80">
        <w:rPr>
          <w:rFonts w:ascii="Times New Roman" w:hAnsi="Times New Roman" w:cs="Times New Roman"/>
          <w:sz w:val="24"/>
          <w:szCs w:val="24"/>
        </w:rPr>
        <w:t xml:space="preserve"> to the consumption of alcohol. Former teachers are found to drink slightly more regularly than current teachers, though the difference is again relatively modest in magnitude (e.g. around 22</w:t>
      </w:r>
      <w:r w:rsidR="00646B13">
        <w:rPr>
          <w:rFonts w:ascii="Times New Roman" w:hAnsi="Times New Roman" w:cs="Times New Roman"/>
          <w:sz w:val="24"/>
          <w:szCs w:val="24"/>
        </w:rPr>
        <w:t>-</w:t>
      </w:r>
      <w:r w:rsidRPr="00440E80">
        <w:rPr>
          <w:rFonts w:ascii="Times New Roman" w:hAnsi="Times New Roman" w:cs="Times New Roman"/>
          <w:sz w:val="24"/>
          <w:szCs w:val="24"/>
        </w:rPr>
        <w:t>23</w:t>
      </w:r>
      <w:r w:rsidR="00646B13">
        <w:rPr>
          <w:rFonts w:ascii="Times New Roman" w:hAnsi="Times New Roman" w:cs="Times New Roman"/>
          <w:sz w:val="24"/>
          <w:szCs w:val="24"/>
        </w:rPr>
        <w:t>%</w:t>
      </w:r>
      <w:r w:rsidRPr="00440E80">
        <w:rPr>
          <w:rFonts w:ascii="Times New Roman" w:hAnsi="Times New Roman" w:cs="Times New Roman"/>
          <w:sz w:val="24"/>
          <w:szCs w:val="24"/>
        </w:rPr>
        <w:t xml:space="preserve"> of former teachers drink daily, compared to 20% of current teachers). Furthermore, no difference is found between groups in terms of number of units of alcohol consumed each week. This suggests that former teachers drink roughly the same amount as individuals who have remained in teaching. </w:t>
      </w:r>
    </w:p>
    <w:p w14:paraId="13E8D9FD" w14:textId="5FD939A2" w:rsidR="00440E80" w:rsidRPr="00440E80" w:rsidRDefault="00440E80" w:rsidP="00440E80">
      <w:pPr>
        <w:spacing w:line="360" w:lineRule="auto"/>
        <w:jc w:val="both"/>
        <w:rPr>
          <w:rFonts w:ascii="Times New Roman" w:hAnsi="Times New Roman" w:cs="Times New Roman"/>
          <w:sz w:val="24"/>
          <w:szCs w:val="24"/>
        </w:rPr>
      </w:pPr>
      <w:r w:rsidRPr="00440E80">
        <w:rPr>
          <w:rFonts w:ascii="Times New Roman" w:hAnsi="Times New Roman" w:cs="Times New Roman"/>
          <w:sz w:val="24"/>
          <w:szCs w:val="24"/>
        </w:rPr>
        <w:t>Finally, the last set of estimates presented in Table 8.2 refer</w:t>
      </w:r>
      <w:r w:rsidR="00646B13">
        <w:rPr>
          <w:rFonts w:ascii="Times New Roman" w:hAnsi="Times New Roman" w:cs="Times New Roman"/>
          <w:sz w:val="24"/>
          <w:szCs w:val="24"/>
        </w:rPr>
        <w:t>s</w:t>
      </w:r>
      <w:r w:rsidRPr="00440E80">
        <w:rPr>
          <w:rFonts w:ascii="Times New Roman" w:hAnsi="Times New Roman" w:cs="Times New Roman"/>
          <w:sz w:val="24"/>
          <w:szCs w:val="24"/>
        </w:rPr>
        <w:t xml:space="preserve"> to self-reported happiness with different aspects of life. A similar pattern again emerges. The percentage who are happy are broadly similar when comparing current to former teachers, with no clear or obvious pattern. This holds true across most of the five specific areas of life teachers were asked about (e.g. finances, friends, family and health) as well as happiness in life overall. The one exception, where there is a sizeable difference, is happiness at work. Those who quit teaching recently – within the last five years – are happier in their jobs than those who have remained in the profession (56</w:t>
      </w:r>
      <w:r w:rsidR="00826673">
        <w:rPr>
          <w:rFonts w:ascii="Times New Roman" w:hAnsi="Times New Roman" w:cs="Times New Roman"/>
          <w:sz w:val="24"/>
          <w:szCs w:val="24"/>
        </w:rPr>
        <w:t>%</w:t>
      </w:r>
      <w:r w:rsidRPr="00440E80">
        <w:rPr>
          <w:rFonts w:ascii="Times New Roman" w:hAnsi="Times New Roman" w:cs="Times New Roman"/>
          <w:sz w:val="24"/>
          <w:szCs w:val="24"/>
        </w:rPr>
        <w:t xml:space="preserve"> of those who quit teaching in the last five years report being very or extremely happy at work, compared to 47</w:t>
      </w:r>
      <w:r w:rsidR="00826673">
        <w:rPr>
          <w:rFonts w:ascii="Times New Roman" w:hAnsi="Times New Roman" w:cs="Times New Roman"/>
          <w:sz w:val="24"/>
          <w:szCs w:val="24"/>
        </w:rPr>
        <w:t>%</w:t>
      </w:r>
      <w:r w:rsidRPr="00440E80">
        <w:rPr>
          <w:rFonts w:ascii="Times New Roman" w:hAnsi="Times New Roman" w:cs="Times New Roman"/>
          <w:sz w:val="24"/>
          <w:szCs w:val="24"/>
        </w:rPr>
        <w:t xml:space="preserve"> of current teachers). Yet our overall interpretation of the results presented in Table 8.2 is that individuals who choose to leave teaching </w:t>
      </w:r>
      <w:r w:rsidR="00AA6C67">
        <w:rPr>
          <w:rFonts w:ascii="Times New Roman" w:hAnsi="Times New Roman" w:cs="Times New Roman"/>
          <w:sz w:val="24"/>
          <w:szCs w:val="24"/>
        </w:rPr>
        <w:t>do not generally have better mental health outcomes</w:t>
      </w:r>
      <w:r w:rsidRPr="00440E80">
        <w:rPr>
          <w:rFonts w:ascii="Times New Roman" w:hAnsi="Times New Roman" w:cs="Times New Roman"/>
          <w:sz w:val="24"/>
          <w:szCs w:val="24"/>
        </w:rPr>
        <w:t xml:space="preserve"> than those continue working in this career. </w:t>
      </w:r>
    </w:p>
    <w:p w14:paraId="66FF81F8" w14:textId="77777777" w:rsidR="00440E80" w:rsidRPr="00440E80" w:rsidRDefault="00440E80" w:rsidP="00440E80">
      <w:pPr>
        <w:rPr>
          <w:rFonts w:ascii="Times New Roman" w:hAnsi="Times New Roman" w:cs="Times New Roman"/>
          <w:b/>
          <w:sz w:val="24"/>
          <w:szCs w:val="24"/>
        </w:rPr>
      </w:pPr>
      <w:r w:rsidRPr="00440E80">
        <w:rPr>
          <w:rFonts w:ascii="Times New Roman" w:hAnsi="Times New Roman" w:cs="Times New Roman"/>
          <w:b/>
          <w:sz w:val="24"/>
          <w:szCs w:val="24"/>
        </w:rPr>
        <w:t>8.3 Results for individuals who joined or left teaching between the initial and follow-up assessment centres</w:t>
      </w:r>
    </w:p>
    <w:p w14:paraId="23A64329" w14:textId="2B84E294" w:rsidR="00440E80" w:rsidRPr="00440E80" w:rsidRDefault="00440E80" w:rsidP="00440E80">
      <w:pPr>
        <w:spacing w:line="360" w:lineRule="auto"/>
        <w:jc w:val="both"/>
        <w:rPr>
          <w:rFonts w:ascii="Times New Roman" w:hAnsi="Times New Roman" w:cs="Times New Roman"/>
          <w:sz w:val="24"/>
          <w:szCs w:val="24"/>
        </w:rPr>
      </w:pPr>
      <w:r w:rsidRPr="00440E80">
        <w:rPr>
          <w:rFonts w:ascii="Times New Roman" w:hAnsi="Times New Roman" w:cs="Times New Roman"/>
          <w:sz w:val="24"/>
          <w:szCs w:val="24"/>
        </w:rPr>
        <w:t>Table 8.3 replicates the analysis presented in the subsection above, but is now bas</w:t>
      </w:r>
      <w:r w:rsidRPr="00E74243">
        <w:rPr>
          <w:rFonts w:ascii="Times New Roman" w:hAnsi="Times New Roman" w:cs="Times New Roman"/>
          <w:sz w:val="24"/>
          <w:szCs w:val="24"/>
        </w:rPr>
        <w:t>ed upon the longitudinal Biobank data, focusing upon those who attended the assessment centre twice.</w:t>
      </w:r>
      <w:r w:rsidR="00E74243" w:rsidRPr="00E74243">
        <w:rPr>
          <w:rFonts w:ascii="Times New Roman" w:hAnsi="Times New Roman" w:cs="Times New Roman"/>
          <w:sz w:val="24"/>
          <w:szCs w:val="24"/>
        </w:rPr>
        <w:t xml:space="preserve"> </w:t>
      </w:r>
      <w:r w:rsidR="00E74243" w:rsidRPr="00E74243">
        <w:rPr>
          <w:rFonts w:ascii="Times New Roman" w:hAnsi="Times New Roman" w:cs="Times New Roman"/>
          <w:color w:val="000000"/>
          <w:sz w:val="24"/>
          <w:szCs w:val="24"/>
        </w:rPr>
        <w:t>The average amount of time elapsed between the two assessment centre time points within the sample we use within our analysis is around seven years, with an average age of 58 at follow-up.</w:t>
      </w:r>
      <w:r w:rsidRPr="00440E80">
        <w:rPr>
          <w:rFonts w:ascii="Times New Roman" w:hAnsi="Times New Roman" w:cs="Times New Roman"/>
          <w:sz w:val="24"/>
          <w:szCs w:val="24"/>
        </w:rPr>
        <w:t xml:space="preserve"> Recall that this allows us to measure change in outcomes over time, and how these relate to whether individuals moved out, into or remained in the teaching profession. There are </w:t>
      </w:r>
      <w:r w:rsidRPr="00440E80">
        <w:rPr>
          <w:rFonts w:ascii="Times New Roman" w:hAnsi="Times New Roman" w:cs="Times New Roman"/>
          <w:sz w:val="24"/>
          <w:szCs w:val="24"/>
        </w:rPr>
        <w:lastRenderedPageBreak/>
        <w:t>perhaps two key points of note (over and above our discussion of the results presented in Table 8.2).</w:t>
      </w:r>
    </w:p>
    <w:p w14:paraId="2BEB7CDD" w14:textId="23F522BB" w:rsidR="00440E80" w:rsidRPr="00440E80" w:rsidRDefault="00440E80" w:rsidP="00440E80">
      <w:pPr>
        <w:spacing w:line="240" w:lineRule="auto"/>
        <w:jc w:val="center"/>
        <w:rPr>
          <w:rFonts w:ascii="Times New Roman" w:hAnsi="Times New Roman" w:cs="Times New Roman"/>
          <w:b/>
          <w:bCs/>
          <w:sz w:val="24"/>
          <w:szCs w:val="24"/>
        </w:rPr>
      </w:pPr>
      <w:r w:rsidRPr="00440E80">
        <w:rPr>
          <w:rFonts w:ascii="Times New Roman" w:hAnsi="Times New Roman" w:cs="Times New Roman"/>
          <w:b/>
          <w:bCs/>
          <w:sz w:val="24"/>
          <w:szCs w:val="24"/>
        </w:rPr>
        <w:t xml:space="preserve">Table 8.3 </w:t>
      </w:r>
      <w:proofErr w:type="gramStart"/>
      <w:r w:rsidRPr="00440E80">
        <w:rPr>
          <w:rFonts w:ascii="Times New Roman" w:hAnsi="Times New Roman" w:cs="Times New Roman"/>
          <w:b/>
          <w:bCs/>
          <w:sz w:val="24"/>
          <w:szCs w:val="24"/>
        </w:rPr>
        <w:t>The</w:t>
      </w:r>
      <w:proofErr w:type="gramEnd"/>
      <w:r w:rsidRPr="00440E80">
        <w:rPr>
          <w:rFonts w:ascii="Times New Roman" w:hAnsi="Times New Roman" w:cs="Times New Roman"/>
          <w:b/>
          <w:bCs/>
          <w:sz w:val="24"/>
          <w:szCs w:val="24"/>
        </w:rPr>
        <w:t xml:space="preserve"> association between leaving/remaining in the teaching profession with outcomes measured in the follow-up Biobank assessment centre </w:t>
      </w:r>
    </w:p>
    <w:tbl>
      <w:tblPr>
        <w:tblW w:w="7160" w:type="dxa"/>
        <w:jc w:val="center"/>
        <w:tblLook w:val="04A0" w:firstRow="1" w:lastRow="0" w:firstColumn="1" w:lastColumn="0" w:noHBand="0" w:noVBand="1"/>
      </w:tblPr>
      <w:tblGrid>
        <w:gridCol w:w="3340"/>
        <w:gridCol w:w="1460"/>
        <w:gridCol w:w="1140"/>
        <w:gridCol w:w="1220"/>
      </w:tblGrid>
      <w:tr w:rsidR="00440E80" w:rsidRPr="0017333D" w14:paraId="310E740D" w14:textId="77777777" w:rsidTr="00440E80">
        <w:trPr>
          <w:trHeight w:val="600"/>
          <w:jc w:val="center"/>
        </w:trPr>
        <w:tc>
          <w:tcPr>
            <w:tcW w:w="3340" w:type="dxa"/>
            <w:tcBorders>
              <w:top w:val="single" w:sz="4" w:space="0" w:color="auto"/>
              <w:left w:val="nil"/>
              <w:bottom w:val="single" w:sz="4" w:space="0" w:color="auto"/>
              <w:right w:val="nil"/>
            </w:tcBorders>
            <w:shd w:val="clear" w:color="000000" w:fill="BDD7EE"/>
            <w:vAlign w:val="center"/>
            <w:hideMark/>
          </w:tcPr>
          <w:p w14:paraId="0421F9CA"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 </w:t>
            </w:r>
          </w:p>
        </w:tc>
        <w:tc>
          <w:tcPr>
            <w:tcW w:w="1460" w:type="dxa"/>
            <w:tcBorders>
              <w:top w:val="single" w:sz="4" w:space="0" w:color="auto"/>
              <w:left w:val="nil"/>
              <w:bottom w:val="single" w:sz="4" w:space="0" w:color="auto"/>
              <w:right w:val="nil"/>
            </w:tcBorders>
            <w:shd w:val="clear" w:color="000000" w:fill="BDD7EE"/>
            <w:vAlign w:val="center"/>
            <w:hideMark/>
          </w:tcPr>
          <w:p w14:paraId="26786325"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Current teachers</w:t>
            </w:r>
          </w:p>
        </w:tc>
        <w:tc>
          <w:tcPr>
            <w:tcW w:w="1140" w:type="dxa"/>
            <w:tcBorders>
              <w:top w:val="single" w:sz="4" w:space="0" w:color="auto"/>
              <w:left w:val="nil"/>
              <w:bottom w:val="single" w:sz="4" w:space="0" w:color="auto"/>
              <w:right w:val="nil"/>
            </w:tcBorders>
            <w:shd w:val="clear" w:color="000000" w:fill="BDD7EE"/>
            <w:vAlign w:val="center"/>
            <w:hideMark/>
          </w:tcPr>
          <w:p w14:paraId="73805516"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Left teaching</w:t>
            </w:r>
          </w:p>
        </w:tc>
        <w:tc>
          <w:tcPr>
            <w:tcW w:w="1220" w:type="dxa"/>
            <w:tcBorders>
              <w:top w:val="single" w:sz="4" w:space="0" w:color="auto"/>
              <w:left w:val="nil"/>
              <w:bottom w:val="single" w:sz="4" w:space="0" w:color="auto"/>
              <w:right w:val="nil"/>
            </w:tcBorders>
            <w:shd w:val="clear" w:color="000000" w:fill="BDD7EE"/>
            <w:vAlign w:val="center"/>
            <w:hideMark/>
          </w:tcPr>
          <w:p w14:paraId="1D4D143F" w14:textId="77777777" w:rsidR="00440E80" w:rsidRPr="0017333D" w:rsidRDefault="00440E80" w:rsidP="00440E80">
            <w:pPr>
              <w:spacing w:after="0" w:line="240" w:lineRule="auto"/>
              <w:jc w:val="center"/>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Joined teaching</w:t>
            </w:r>
          </w:p>
        </w:tc>
      </w:tr>
      <w:tr w:rsidR="00440E80" w:rsidRPr="0017333D" w14:paraId="06DDA496"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1286F549"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Depression / anxiety</w:t>
            </w:r>
          </w:p>
        </w:tc>
        <w:tc>
          <w:tcPr>
            <w:tcW w:w="1460" w:type="dxa"/>
            <w:tcBorders>
              <w:top w:val="nil"/>
              <w:left w:val="nil"/>
              <w:bottom w:val="nil"/>
              <w:right w:val="nil"/>
            </w:tcBorders>
            <w:shd w:val="clear" w:color="auto" w:fill="auto"/>
            <w:noWrap/>
            <w:vAlign w:val="center"/>
            <w:hideMark/>
          </w:tcPr>
          <w:p w14:paraId="5E7CADD6"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p>
        </w:tc>
        <w:tc>
          <w:tcPr>
            <w:tcW w:w="1140" w:type="dxa"/>
            <w:tcBorders>
              <w:top w:val="nil"/>
              <w:left w:val="nil"/>
              <w:bottom w:val="nil"/>
              <w:right w:val="nil"/>
            </w:tcBorders>
            <w:shd w:val="clear" w:color="auto" w:fill="auto"/>
            <w:noWrap/>
            <w:vAlign w:val="bottom"/>
            <w:hideMark/>
          </w:tcPr>
          <w:p w14:paraId="7025CD0C" w14:textId="77777777" w:rsidR="00440E80" w:rsidRPr="0017333D" w:rsidRDefault="00440E80" w:rsidP="00440E80">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75382B2F" w14:textId="77777777" w:rsidR="00440E80" w:rsidRPr="0017333D" w:rsidRDefault="00440E80" w:rsidP="00440E80">
            <w:pPr>
              <w:spacing w:after="0" w:line="240" w:lineRule="auto"/>
              <w:rPr>
                <w:rFonts w:ascii="Times New Roman" w:eastAsia="Times New Roman" w:hAnsi="Times New Roman" w:cs="Times New Roman"/>
                <w:sz w:val="20"/>
                <w:szCs w:val="20"/>
                <w:lang w:eastAsia="en-GB"/>
              </w:rPr>
            </w:pPr>
          </w:p>
        </w:tc>
      </w:tr>
      <w:tr w:rsidR="00440E80" w:rsidRPr="0017333D" w14:paraId="29B28AFF"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7FFFC15D"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Self-reported depression (ES)</w:t>
            </w:r>
          </w:p>
        </w:tc>
        <w:tc>
          <w:tcPr>
            <w:tcW w:w="1460" w:type="dxa"/>
            <w:tcBorders>
              <w:top w:val="nil"/>
              <w:left w:val="nil"/>
              <w:bottom w:val="nil"/>
              <w:right w:val="nil"/>
            </w:tcBorders>
            <w:shd w:val="clear" w:color="auto" w:fill="auto"/>
            <w:noWrap/>
            <w:vAlign w:val="center"/>
            <w:hideMark/>
          </w:tcPr>
          <w:p w14:paraId="11AA19C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0.00</w:t>
            </w:r>
          </w:p>
        </w:tc>
        <w:tc>
          <w:tcPr>
            <w:tcW w:w="1140" w:type="dxa"/>
            <w:tcBorders>
              <w:top w:val="nil"/>
              <w:left w:val="nil"/>
              <w:bottom w:val="nil"/>
              <w:right w:val="nil"/>
            </w:tcBorders>
            <w:shd w:val="clear" w:color="auto" w:fill="auto"/>
            <w:noWrap/>
            <w:vAlign w:val="center"/>
            <w:hideMark/>
          </w:tcPr>
          <w:p w14:paraId="45ACA19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-0.07</w:t>
            </w:r>
          </w:p>
        </w:tc>
        <w:tc>
          <w:tcPr>
            <w:tcW w:w="1220" w:type="dxa"/>
            <w:tcBorders>
              <w:top w:val="nil"/>
              <w:left w:val="nil"/>
              <w:bottom w:val="nil"/>
              <w:right w:val="nil"/>
            </w:tcBorders>
            <w:shd w:val="clear" w:color="auto" w:fill="auto"/>
            <w:noWrap/>
            <w:vAlign w:val="center"/>
            <w:hideMark/>
          </w:tcPr>
          <w:p w14:paraId="0AC10391"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0.13</w:t>
            </w:r>
          </w:p>
        </w:tc>
      </w:tr>
      <w:tr w:rsidR="00440E80" w:rsidRPr="0017333D" w14:paraId="081440D1"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418B30C1"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Prescribed medicines</w:t>
            </w:r>
          </w:p>
        </w:tc>
        <w:tc>
          <w:tcPr>
            <w:tcW w:w="1460" w:type="dxa"/>
            <w:tcBorders>
              <w:top w:val="nil"/>
              <w:left w:val="nil"/>
              <w:bottom w:val="nil"/>
              <w:right w:val="nil"/>
            </w:tcBorders>
            <w:shd w:val="clear" w:color="auto" w:fill="auto"/>
            <w:noWrap/>
            <w:vAlign w:val="center"/>
            <w:hideMark/>
          </w:tcPr>
          <w:p w14:paraId="13DA26F8"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5.3%</w:t>
            </w:r>
          </w:p>
        </w:tc>
        <w:tc>
          <w:tcPr>
            <w:tcW w:w="1140" w:type="dxa"/>
            <w:tcBorders>
              <w:top w:val="nil"/>
              <w:left w:val="nil"/>
              <w:bottom w:val="nil"/>
              <w:right w:val="nil"/>
            </w:tcBorders>
            <w:shd w:val="clear" w:color="auto" w:fill="auto"/>
            <w:noWrap/>
            <w:vAlign w:val="center"/>
            <w:hideMark/>
          </w:tcPr>
          <w:p w14:paraId="3315BD2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2.5%</w:t>
            </w:r>
          </w:p>
        </w:tc>
        <w:tc>
          <w:tcPr>
            <w:tcW w:w="1220" w:type="dxa"/>
            <w:tcBorders>
              <w:top w:val="nil"/>
              <w:left w:val="nil"/>
              <w:bottom w:val="nil"/>
              <w:right w:val="nil"/>
            </w:tcBorders>
            <w:shd w:val="clear" w:color="auto" w:fill="auto"/>
            <w:noWrap/>
            <w:vAlign w:val="center"/>
            <w:hideMark/>
          </w:tcPr>
          <w:p w14:paraId="64075351"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4.4%</w:t>
            </w:r>
          </w:p>
        </w:tc>
      </w:tr>
      <w:tr w:rsidR="00440E80" w:rsidRPr="0017333D" w14:paraId="4D0D0B50"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0C07451B"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Self-reported medical condition</w:t>
            </w:r>
          </w:p>
        </w:tc>
        <w:tc>
          <w:tcPr>
            <w:tcW w:w="1460" w:type="dxa"/>
            <w:tcBorders>
              <w:top w:val="nil"/>
              <w:left w:val="nil"/>
              <w:bottom w:val="nil"/>
              <w:right w:val="nil"/>
            </w:tcBorders>
            <w:shd w:val="clear" w:color="auto" w:fill="auto"/>
            <w:noWrap/>
            <w:vAlign w:val="center"/>
            <w:hideMark/>
          </w:tcPr>
          <w:p w14:paraId="0DF2D29C"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11%</w:t>
            </w:r>
          </w:p>
        </w:tc>
        <w:tc>
          <w:tcPr>
            <w:tcW w:w="1140" w:type="dxa"/>
            <w:tcBorders>
              <w:top w:val="nil"/>
              <w:left w:val="nil"/>
              <w:bottom w:val="nil"/>
              <w:right w:val="nil"/>
            </w:tcBorders>
            <w:shd w:val="clear" w:color="auto" w:fill="auto"/>
            <w:noWrap/>
            <w:vAlign w:val="center"/>
            <w:hideMark/>
          </w:tcPr>
          <w:p w14:paraId="37866E2F"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9%</w:t>
            </w:r>
          </w:p>
        </w:tc>
        <w:tc>
          <w:tcPr>
            <w:tcW w:w="1220" w:type="dxa"/>
            <w:tcBorders>
              <w:top w:val="nil"/>
              <w:left w:val="nil"/>
              <w:bottom w:val="nil"/>
              <w:right w:val="nil"/>
            </w:tcBorders>
            <w:shd w:val="clear" w:color="auto" w:fill="auto"/>
            <w:noWrap/>
            <w:vAlign w:val="center"/>
            <w:hideMark/>
          </w:tcPr>
          <w:p w14:paraId="3B3DCDC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13%</w:t>
            </w:r>
          </w:p>
        </w:tc>
      </w:tr>
      <w:tr w:rsidR="00440E80" w:rsidRPr="0017333D" w14:paraId="471E2E11"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0877CDBD"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Sleep</w:t>
            </w:r>
          </w:p>
        </w:tc>
        <w:tc>
          <w:tcPr>
            <w:tcW w:w="1460" w:type="dxa"/>
            <w:tcBorders>
              <w:top w:val="nil"/>
              <w:left w:val="nil"/>
              <w:bottom w:val="nil"/>
              <w:right w:val="nil"/>
            </w:tcBorders>
            <w:shd w:val="clear" w:color="auto" w:fill="auto"/>
            <w:noWrap/>
            <w:vAlign w:val="center"/>
            <w:hideMark/>
          </w:tcPr>
          <w:p w14:paraId="771C7EAF"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p>
        </w:tc>
        <w:tc>
          <w:tcPr>
            <w:tcW w:w="1140" w:type="dxa"/>
            <w:tcBorders>
              <w:top w:val="nil"/>
              <w:left w:val="nil"/>
              <w:bottom w:val="nil"/>
              <w:right w:val="nil"/>
            </w:tcBorders>
            <w:shd w:val="clear" w:color="auto" w:fill="auto"/>
            <w:noWrap/>
            <w:vAlign w:val="bottom"/>
            <w:hideMark/>
          </w:tcPr>
          <w:p w14:paraId="1B34F42A" w14:textId="77777777" w:rsidR="00440E80" w:rsidRPr="0017333D" w:rsidRDefault="00440E80" w:rsidP="00440E80">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5987BB02" w14:textId="77777777" w:rsidR="00440E80" w:rsidRPr="0017333D" w:rsidRDefault="00440E80" w:rsidP="00440E80">
            <w:pPr>
              <w:spacing w:after="0" w:line="240" w:lineRule="auto"/>
              <w:rPr>
                <w:rFonts w:ascii="Times New Roman" w:eastAsia="Times New Roman" w:hAnsi="Times New Roman" w:cs="Times New Roman"/>
                <w:sz w:val="20"/>
                <w:szCs w:val="20"/>
                <w:lang w:eastAsia="en-GB"/>
              </w:rPr>
            </w:pPr>
          </w:p>
        </w:tc>
      </w:tr>
      <w:tr w:rsidR="00440E80" w:rsidRPr="0017333D" w14:paraId="4039DEA6"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6BDA230E"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proofErr w:type="spellStart"/>
            <w:r w:rsidRPr="0017333D">
              <w:rPr>
                <w:rFonts w:ascii="Times New Roman" w:eastAsia="Times New Roman" w:hAnsi="Times New Roman" w:cs="Times New Roman"/>
                <w:color w:val="000000"/>
                <w:lang w:eastAsia="en-GB"/>
              </w:rPr>
              <w:t>Hours</w:t>
            </w:r>
            <w:proofErr w:type="spellEnd"/>
            <w:r w:rsidRPr="0017333D">
              <w:rPr>
                <w:rFonts w:ascii="Times New Roman" w:eastAsia="Times New Roman" w:hAnsi="Times New Roman" w:cs="Times New Roman"/>
                <w:color w:val="000000"/>
                <w:lang w:eastAsia="en-GB"/>
              </w:rPr>
              <w:t xml:space="preserve"> sleep per night (ES)</w:t>
            </w:r>
          </w:p>
        </w:tc>
        <w:tc>
          <w:tcPr>
            <w:tcW w:w="1460" w:type="dxa"/>
            <w:tcBorders>
              <w:top w:val="nil"/>
              <w:left w:val="nil"/>
              <w:bottom w:val="nil"/>
              <w:right w:val="nil"/>
            </w:tcBorders>
            <w:shd w:val="clear" w:color="auto" w:fill="auto"/>
            <w:noWrap/>
            <w:vAlign w:val="center"/>
            <w:hideMark/>
          </w:tcPr>
          <w:p w14:paraId="2A7FCAF8"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0.00</w:t>
            </w:r>
          </w:p>
        </w:tc>
        <w:tc>
          <w:tcPr>
            <w:tcW w:w="1140" w:type="dxa"/>
            <w:tcBorders>
              <w:top w:val="nil"/>
              <w:left w:val="nil"/>
              <w:bottom w:val="nil"/>
              <w:right w:val="nil"/>
            </w:tcBorders>
            <w:shd w:val="clear" w:color="auto" w:fill="auto"/>
            <w:noWrap/>
            <w:vAlign w:val="center"/>
            <w:hideMark/>
          </w:tcPr>
          <w:p w14:paraId="039A61B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0.04</w:t>
            </w:r>
          </w:p>
        </w:tc>
        <w:tc>
          <w:tcPr>
            <w:tcW w:w="1220" w:type="dxa"/>
            <w:tcBorders>
              <w:top w:val="nil"/>
              <w:left w:val="nil"/>
              <w:bottom w:val="nil"/>
              <w:right w:val="nil"/>
            </w:tcBorders>
            <w:shd w:val="clear" w:color="auto" w:fill="auto"/>
            <w:noWrap/>
            <w:vAlign w:val="center"/>
            <w:hideMark/>
          </w:tcPr>
          <w:p w14:paraId="54A45AB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-0.04</w:t>
            </w:r>
          </w:p>
        </w:tc>
      </w:tr>
      <w:tr w:rsidR="00440E80" w:rsidRPr="0017333D" w14:paraId="1E217752"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071F65EB"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Trouble falling sleep</w:t>
            </w:r>
          </w:p>
        </w:tc>
        <w:tc>
          <w:tcPr>
            <w:tcW w:w="1460" w:type="dxa"/>
            <w:tcBorders>
              <w:top w:val="nil"/>
              <w:left w:val="nil"/>
              <w:bottom w:val="nil"/>
              <w:right w:val="nil"/>
            </w:tcBorders>
            <w:shd w:val="clear" w:color="auto" w:fill="auto"/>
            <w:noWrap/>
            <w:vAlign w:val="center"/>
            <w:hideMark/>
          </w:tcPr>
          <w:p w14:paraId="5A959327"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31%</w:t>
            </w:r>
          </w:p>
        </w:tc>
        <w:tc>
          <w:tcPr>
            <w:tcW w:w="1140" w:type="dxa"/>
            <w:tcBorders>
              <w:top w:val="nil"/>
              <w:left w:val="nil"/>
              <w:bottom w:val="nil"/>
              <w:right w:val="nil"/>
            </w:tcBorders>
            <w:shd w:val="clear" w:color="auto" w:fill="auto"/>
            <w:noWrap/>
            <w:vAlign w:val="center"/>
            <w:hideMark/>
          </w:tcPr>
          <w:p w14:paraId="373B3482"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29%</w:t>
            </w:r>
          </w:p>
        </w:tc>
        <w:tc>
          <w:tcPr>
            <w:tcW w:w="1220" w:type="dxa"/>
            <w:tcBorders>
              <w:top w:val="nil"/>
              <w:left w:val="nil"/>
              <w:bottom w:val="nil"/>
              <w:right w:val="nil"/>
            </w:tcBorders>
            <w:shd w:val="clear" w:color="auto" w:fill="auto"/>
            <w:noWrap/>
            <w:vAlign w:val="center"/>
            <w:hideMark/>
          </w:tcPr>
          <w:p w14:paraId="755A23EF"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25%</w:t>
            </w:r>
          </w:p>
        </w:tc>
      </w:tr>
      <w:tr w:rsidR="00440E80" w:rsidRPr="0017333D" w14:paraId="0CF9BF5A"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04EB430F"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Alcohol</w:t>
            </w:r>
          </w:p>
        </w:tc>
        <w:tc>
          <w:tcPr>
            <w:tcW w:w="1460" w:type="dxa"/>
            <w:tcBorders>
              <w:top w:val="nil"/>
              <w:left w:val="nil"/>
              <w:bottom w:val="nil"/>
              <w:right w:val="nil"/>
            </w:tcBorders>
            <w:shd w:val="clear" w:color="auto" w:fill="auto"/>
            <w:noWrap/>
            <w:vAlign w:val="center"/>
            <w:hideMark/>
          </w:tcPr>
          <w:p w14:paraId="507847C0"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p>
        </w:tc>
        <w:tc>
          <w:tcPr>
            <w:tcW w:w="1140" w:type="dxa"/>
            <w:tcBorders>
              <w:top w:val="nil"/>
              <w:left w:val="nil"/>
              <w:bottom w:val="nil"/>
              <w:right w:val="nil"/>
            </w:tcBorders>
            <w:shd w:val="clear" w:color="auto" w:fill="auto"/>
            <w:noWrap/>
            <w:vAlign w:val="bottom"/>
            <w:hideMark/>
          </w:tcPr>
          <w:p w14:paraId="31657E85" w14:textId="77777777" w:rsidR="00440E80" w:rsidRPr="0017333D" w:rsidRDefault="00440E80" w:rsidP="00440E80">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1DB39221" w14:textId="77777777" w:rsidR="00440E80" w:rsidRPr="0017333D" w:rsidRDefault="00440E80" w:rsidP="00440E80">
            <w:pPr>
              <w:spacing w:after="0" w:line="240" w:lineRule="auto"/>
              <w:rPr>
                <w:rFonts w:ascii="Times New Roman" w:eastAsia="Times New Roman" w:hAnsi="Times New Roman" w:cs="Times New Roman"/>
                <w:sz w:val="20"/>
                <w:szCs w:val="20"/>
                <w:lang w:eastAsia="en-GB"/>
              </w:rPr>
            </w:pPr>
          </w:p>
        </w:tc>
      </w:tr>
      <w:tr w:rsidR="00440E80" w:rsidRPr="0017333D" w14:paraId="2BF03257"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642E9E7C"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Daily drinking</w:t>
            </w:r>
          </w:p>
        </w:tc>
        <w:tc>
          <w:tcPr>
            <w:tcW w:w="1460" w:type="dxa"/>
            <w:tcBorders>
              <w:top w:val="nil"/>
              <w:left w:val="nil"/>
              <w:bottom w:val="nil"/>
              <w:right w:val="nil"/>
            </w:tcBorders>
            <w:shd w:val="clear" w:color="auto" w:fill="auto"/>
            <w:noWrap/>
            <w:vAlign w:val="center"/>
            <w:hideMark/>
          </w:tcPr>
          <w:p w14:paraId="6B82DD20"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14%</w:t>
            </w:r>
          </w:p>
        </w:tc>
        <w:tc>
          <w:tcPr>
            <w:tcW w:w="1140" w:type="dxa"/>
            <w:tcBorders>
              <w:top w:val="nil"/>
              <w:left w:val="nil"/>
              <w:bottom w:val="nil"/>
              <w:right w:val="nil"/>
            </w:tcBorders>
            <w:shd w:val="clear" w:color="auto" w:fill="auto"/>
            <w:noWrap/>
            <w:vAlign w:val="center"/>
            <w:hideMark/>
          </w:tcPr>
          <w:p w14:paraId="166A0BEA"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14%</w:t>
            </w:r>
          </w:p>
        </w:tc>
        <w:tc>
          <w:tcPr>
            <w:tcW w:w="1220" w:type="dxa"/>
            <w:tcBorders>
              <w:top w:val="nil"/>
              <w:left w:val="nil"/>
              <w:bottom w:val="nil"/>
              <w:right w:val="nil"/>
            </w:tcBorders>
            <w:shd w:val="clear" w:color="auto" w:fill="auto"/>
            <w:noWrap/>
            <w:vAlign w:val="center"/>
            <w:hideMark/>
          </w:tcPr>
          <w:p w14:paraId="7D57CA13"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11%</w:t>
            </w:r>
          </w:p>
        </w:tc>
      </w:tr>
      <w:tr w:rsidR="00440E80" w:rsidRPr="0017333D" w14:paraId="740C7B8E"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38C7FBC3"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Number units of alcohol per week</w:t>
            </w:r>
          </w:p>
        </w:tc>
        <w:tc>
          <w:tcPr>
            <w:tcW w:w="1460" w:type="dxa"/>
            <w:tcBorders>
              <w:top w:val="nil"/>
              <w:left w:val="nil"/>
              <w:bottom w:val="nil"/>
              <w:right w:val="nil"/>
            </w:tcBorders>
            <w:shd w:val="clear" w:color="auto" w:fill="auto"/>
            <w:noWrap/>
            <w:vAlign w:val="center"/>
            <w:hideMark/>
          </w:tcPr>
          <w:p w14:paraId="6B123E9B"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0.00</w:t>
            </w:r>
          </w:p>
        </w:tc>
        <w:tc>
          <w:tcPr>
            <w:tcW w:w="1140" w:type="dxa"/>
            <w:tcBorders>
              <w:top w:val="nil"/>
              <w:left w:val="nil"/>
              <w:bottom w:val="nil"/>
              <w:right w:val="nil"/>
            </w:tcBorders>
            <w:shd w:val="clear" w:color="auto" w:fill="auto"/>
            <w:noWrap/>
            <w:vAlign w:val="center"/>
            <w:hideMark/>
          </w:tcPr>
          <w:p w14:paraId="35F8A730"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-1.6</w:t>
            </w:r>
          </w:p>
        </w:tc>
        <w:tc>
          <w:tcPr>
            <w:tcW w:w="1220" w:type="dxa"/>
            <w:tcBorders>
              <w:top w:val="nil"/>
              <w:left w:val="nil"/>
              <w:bottom w:val="nil"/>
              <w:right w:val="nil"/>
            </w:tcBorders>
            <w:shd w:val="clear" w:color="auto" w:fill="auto"/>
            <w:noWrap/>
            <w:vAlign w:val="center"/>
            <w:hideMark/>
          </w:tcPr>
          <w:p w14:paraId="1F329F0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-2.3</w:t>
            </w:r>
          </w:p>
        </w:tc>
      </w:tr>
      <w:tr w:rsidR="00440E80" w:rsidRPr="0017333D" w14:paraId="2AEF2580"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1DECDB84"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r w:rsidRPr="0017333D">
              <w:rPr>
                <w:rFonts w:ascii="Times New Roman" w:eastAsia="Times New Roman" w:hAnsi="Times New Roman" w:cs="Times New Roman"/>
                <w:b/>
                <w:bCs/>
                <w:color w:val="000000"/>
                <w:lang w:eastAsia="en-GB"/>
              </w:rPr>
              <w:t>Happiness</w:t>
            </w:r>
          </w:p>
        </w:tc>
        <w:tc>
          <w:tcPr>
            <w:tcW w:w="1460" w:type="dxa"/>
            <w:tcBorders>
              <w:top w:val="nil"/>
              <w:left w:val="nil"/>
              <w:bottom w:val="nil"/>
              <w:right w:val="nil"/>
            </w:tcBorders>
            <w:shd w:val="clear" w:color="auto" w:fill="auto"/>
            <w:noWrap/>
            <w:vAlign w:val="center"/>
            <w:hideMark/>
          </w:tcPr>
          <w:p w14:paraId="22AE2435" w14:textId="77777777" w:rsidR="00440E80" w:rsidRPr="0017333D" w:rsidRDefault="00440E80" w:rsidP="00440E80">
            <w:pPr>
              <w:spacing w:after="0" w:line="240" w:lineRule="auto"/>
              <w:rPr>
                <w:rFonts w:ascii="Times New Roman" w:eastAsia="Times New Roman" w:hAnsi="Times New Roman" w:cs="Times New Roman"/>
                <w:b/>
                <w:bCs/>
                <w:color w:val="000000"/>
                <w:lang w:eastAsia="en-GB"/>
              </w:rPr>
            </w:pPr>
          </w:p>
        </w:tc>
        <w:tc>
          <w:tcPr>
            <w:tcW w:w="1140" w:type="dxa"/>
            <w:tcBorders>
              <w:top w:val="nil"/>
              <w:left w:val="nil"/>
              <w:bottom w:val="nil"/>
              <w:right w:val="nil"/>
            </w:tcBorders>
            <w:shd w:val="clear" w:color="auto" w:fill="auto"/>
            <w:noWrap/>
            <w:vAlign w:val="bottom"/>
            <w:hideMark/>
          </w:tcPr>
          <w:p w14:paraId="0DAFC326" w14:textId="77777777" w:rsidR="00440E80" w:rsidRPr="0017333D" w:rsidRDefault="00440E80" w:rsidP="00440E80">
            <w:pPr>
              <w:spacing w:after="0" w:line="240" w:lineRule="auto"/>
              <w:rPr>
                <w:rFonts w:ascii="Times New Roman" w:eastAsia="Times New Roman" w:hAnsi="Times New Roman" w:cs="Times New Roman"/>
                <w:sz w:val="20"/>
                <w:szCs w:val="20"/>
                <w:lang w:eastAsia="en-GB"/>
              </w:rPr>
            </w:pPr>
          </w:p>
        </w:tc>
        <w:tc>
          <w:tcPr>
            <w:tcW w:w="1220" w:type="dxa"/>
            <w:tcBorders>
              <w:top w:val="nil"/>
              <w:left w:val="nil"/>
              <w:bottom w:val="nil"/>
              <w:right w:val="nil"/>
            </w:tcBorders>
            <w:shd w:val="clear" w:color="auto" w:fill="auto"/>
            <w:noWrap/>
            <w:vAlign w:val="bottom"/>
            <w:hideMark/>
          </w:tcPr>
          <w:p w14:paraId="2ADE3DA1" w14:textId="77777777" w:rsidR="00440E80" w:rsidRPr="0017333D" w:rsidRDefault="00440E80" w:rsidP="00440E80">
            <w:pPr>
              <w:spacing w:after="0" w:line="240" w:lineRule="auto"/>
              <w:rPr>
                <w:rFonts w:ascii="Times New Roman" w:eastAsia="Times New Roman" w:hAnsi="Times New Roman" w:cs="Times New Roman"/>
                <w:sz w:val="20"/>
                <w:szCs w:val="20"/>
                <w:lang w:eastAsia="en-GB"/>
              </w:rPr>
            </w:pPr>
          </w:p>
        </w:tc>
      </w:tr>
      <w:tr w:rsidR="00440E80" w:rsidRPr="0017333D" w14:paraId="455EEE0F"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337E7B70"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happy with work</w:t>
            </w:r>
          </w:p>
        </w:tc>
        <w:tc>
          <w:tcPr>
            <w:tcW w:w="1460" w:type="dxa"/>
            <w:tcBorders>
              <w:top w:val="nil"/>
              <w:left w:val="nil"/>
              <w:bottom w:val="nil"/>
              <w:right w:val="nil"/>
            </w:tcBorders>
            <w:shd w:val="clear" w:color="auto" w:fill="auto"/>
            <w:noWrap/>
            <w:vAlign w:val="center"/>
            <w:hideMark/>
          </w:tcPr>
          <w:p w14:paraId="16524CA9"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52%</w:t>
            </w:r>
          </w:p>
        </w:tc>
        <w:tc>
          <w:tcPr>
            <w:tcW w:w="1140" w:type="dxa"/>
            <w:tcBorders>
              <w:top w:val="nil"/>
              <w:left w:val="nil"/>
              <w:bottom w:val="nil"/>
              <w:right w:val="nil"/>
            </w:tcBorders>
            <w:shd w:val="clear" w:color="auto" w:fill="auto"/>
            <w:noWrap/>
            <w:vAlign w:val="center"/>
            <w:hideMark/>
          </w:tcPr>
          <w:p w14:paraId="6E53A21E"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61%</w:t>
            </w:r>
          </w:p>
        </w:tc>
        <w:tc>
          <w:tcPr>
            <w:tcW w:w="1220" w:type="dxa"/>
            <w:tcBorders>
              <w:top w:val="nil"/>
              <w:left w:val="nil"/>
              <w:bottom w:val="nil"/>
              <w:right w:val="nil"/>
            </w:tcBorders>
            <w:shd w:val="clear" w:color="auto" w:fill="auto"/>
            <w:noWrap/>
            <w:vAlign w:val="center"/>
            <w:hideMark/>
          </w:tcPr>
          <w:p w14:paraId="197F57FB"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53%</w:t>
            </w:r>
          </w:p>
        </w:tc>
      </w:tr>
      <w:tr w:rsidR="00440E80" w:rsidRPr="0017333D" w14:paraId="6DF2998A"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65DF7FED"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with finances</w:t>
            </w:r>
          </w:p>
        </w:tc>
        <w:tc>
          <w:tcPr>
            <w:tcW w:w="1460" w:type="dxa"/>
            <w:tcBorders>
              <w:top w:val="nil"/>
              <w:left w:val="nil"/>
              <w:bottom w:val="nil"/>
              <w:right w:val="nil"/>
            </w:tcBorders>
            <w:shd w:val="clear" w:color="auto" w:fill="auto"/>
            <w:noWrap/>
            <w:vAlign w:val="center"/>
            <w:hideMark/>
          </w:tcPr>
          <w:p w14:paraId="4A3B9611"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58%</w:t>
            </w:r>
          </w:p>
        </w:tc>
        <w:tc>
          <w:tcPr>
            <w:tcW w:w="1140" w:type="dxa"/>
            <w:tcBorders>
              <w:top w:val="nil"/>
              <w:left w:val="nil"/>
              <w:bottom w:val="nil"/>
              <w:right w:val="nil"/>
            </w:tcBorders>
            <w:shd w:val="clear" w:color="auto" w:fill="auto"/>
            <w:noWrap/>
            <w:vAlign w:val="center"/>
            <w:hideMark/>
          </w:tcPr>
          <w:p w14:paraId="6AF8E463"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53%</w:t>
            </w:r>
          </w:p>
        </w:tc>
        <w:tc>
          <w:tcPr>
            <w:tcW w:w="1220" w:type="dxa"/>
            <w:tcBorders>
              <w:top w:val="nil"/>
              <w:left w:val="nil"/>
              <w:bottom w:val="nil"/>
              <w:right w:val="nil"/>
            </w:tcBorders>
            <w:shd w:val="clear" w:color="auto" w:fill="auto"/>
            <w:noWrap/>
            <w:vAlign w:val="center"/>
            <w:hideMark/>
          </w:tcPr>
          <w:p w14:paraId="695E9E7A"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50%</w:t>
            </w:r>
          </w:p>
        </w:tc>
      </w:tr>
      <w:tr w:rsidR="00440E80" w:rsidRPr="0017333D" w14:paraId="5B0561A9"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0EF94091"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with friends</w:t>
            </w:r>
          </w:p>
        </w:tc>
        <w:tc>
          <w:tcPr>
            <w:tcW w:w="1460" w:type="dxa"/>
            <w:tcBorders>
              <w:top w:val="nil"/>
              <w:left w:val="nil"/>
              <w:bottom w:val="nil"/>
              <w:right w:val="nil"/>
            </w:tcBorders>
            <w:shd w:val="clear" w:color="auto" w:fill="auto"/>
            <w:noWrap/>
            <w:vAlign w:val="center"/>
            <w:hideMark/>
          </w:tcPr>
          <w:p w14:paraId="0B2EB0DA"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71%</w:t>
            </w:r>
          </w:p>
        </w:tc>
        <w:tc>
          <w:tcPr>
            <w:tcW w:w="1140" w:type="dxa"/>
            <w:tcBorders>
              <w:top w:val="nil"/>
              <w:left w:val="nil"/>
              <w:bottom w:val="nil"/>
              <w:right w:val="nil"/>
            </w:tcBorders>
            <w:shd w:val="clear" w:color="auto" w:fill="auto"/>
            <w:noWrap/>
            <w:vAlign w:val="center"/>
            <w:hideMark/>
          </w:tcPr>
          <w:p w14:paraId="19435B30"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67%</w:t>
            </w:r>
          </w:p>
        </w:tc>
        <w:tc>
          <w:tcPr>
            <w:tcW w:w="1220" w:type="dxa"/>
            <w:tcBorders>
              <w:top w:val="nil"/>
              <w:left w:val="nil"/>
              <w:bottom w:val="nil"/>
              <w:right w:val="nil"/>
            </w:tcBorders>
            <w:shd w:val="clear" w:color="auto" w:fill="auto"/>
            <w:noWrap/>
            <w:vAlign w:val="center"/>
            <w:hideMark/>
          </w:tcPr>
          <w:p w14:paraId="480DF88F"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68%</w:t>
            </w:r>
          </w:p>
        </w:tc>
      </w:tr>
      <w:tr w:rsidR="00440E80" w:rsidRPr="0017333D" w14:paraId="67863753"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788076D2"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with family</w:t>
            </w:r>
          </w:p>
        </w:tc>
        <w:tc>
          <w:tcPr>
            <w:tcW w:w="1460" w:type="dxa"/>
            <w:tcBorders>
              <w:top w:val="nil"/>
              <w:left w:val="nil"/>
              <w:bottom w:val="nil"/>
              <w:right w:val="nil"/>
            </w:tcBorders>
            <w:shd w:val="clear" w:color="auto" w:fill="auto"/>
            <w:noWrap/>
            <w:vAlign w:val="center"/>
            <w:hideMark/>
          </w:tcPr>
          <w:p w14:paraId="735B3BBD"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71%</w:t>
            </w:r>
          </w:p>
        </w:tc>
        <w:tc>
          <w:tcPr>
            <w:tcW w:w="1140" w:type="dxa"/>
            <w:tcBorders>
              <w:top w:val="nil"/>
              <w:left w:val="nil"/>
              <w:bottom w:val="nil"/>
              <w:right w:val="nil"/>
            </w:tcBorders>
            <w:shd w:val="clear" w:color="auto" w:fill="auto"/>
            <w:noWrap/>
            <w:vAlign w:val="center"/>
            <w:hideMark/>
          </w:tcPr>
          <w:p w14:paraId="0E0FBFC5"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74%</w:t>
            </w:r>
          </w:p>
        </w:tc>
        <w:tc>
          <w:tcPr>
            <w:tcW w:w="1220" w:type="dxa"/>
            <w:tcBorders>
              <w:top w:val="nil"/>
              <w:left w:val="nil"/>
              <w:bottom w:val="nil"/>
              <w:right w:val="nil"/>
            </w:tcBorders>
            <w:shd w:val="clear" w:color="auto" w:fill="auto"/>
            <w:noWrap/>
            <w:vAlign w:val="center"/>
            <w:hideMark/>
          </w:tcPr>
          <w:p w14:paraId="0D3C90A8"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71%</w:t>
            </w:r>
          </w:p>
        </w:tc>
      </w:tr>
      <w:tr w:rsidR="00440E80" w:rsidRPr="0017333D" w14:paraId="76EC1DFD" w14:textId="77777777" w:rsidTr="00440E80">
        <w:trPr>
          <w:trHeight w:val="300"/>
          <w:jc w:val="center"/>
        </w:trPr>
        <w:tc>
          <w:tcPr>
            <w:tcW w:w="3340" w:type="dxa"/>
            <w:tcBorders>
              <w:top w:val="nil"/>
              <w:left w:val="nil"/>
              <w:bottom w:val="nil"/>
              <w:right w:val="nil"/>
            </w:tcBorders>
            <w:shd w:val="clear" w:color="auto" w:fill="auto"/>
            <w:noWrap/>
            <w:vAlign w:val="center"/>
            <w:hideMark/>
          </w:tcPr>
          <w:p w14:paraId="23055122"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with health</w:t>
            </w:r>
          </w:p>
        </w:tc>
        <w:tc>
          <w:tcPr>
            <w:tcW w:w="1460" w:type="dxa"/>
            <w:tcBorders>
              <w:top w:val="nil"/>
              <w:left w:val="nil"/>
              <w:bottom w:val="nil"/>
              <w:right w:val="nil"/>
            </w:tcBorders>
            <w:shd w:val="clear" w:color="auto" w:fill="auto"/>
            <w:noWrap/>
            <w:vAlign w:val="center"/>
            <w:hideMark/>
          </w:tcPr>
          <w:p w14:paraId="1E0640FF"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55%</w:t>
            </w:r>
          </w:p>
        </w:tc>
        <w:tc>
          <w:tcPr>
            <w:tcW w:w="1140" w:type="dxa"/>
            <w:tcBorders>
              <w:top w:val="nil"/>
              <w:left w:val="nil"/>
              <w:bottom w:val="nil"/>
              <w:right w:val="nil"/>
            </w:tcBorders>
            <w:shd w:val="clear" w:color="auto" w:fill="auto"/>
            <w:noWrap/>
            <w:vAlign w:val="center"/>
            <w:hideMark/>
          </w:tcPr>
          <w:p w14:paraId="70F84097"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52%</w:t>
            </w:r>
          </w:p>
        </w:tc>
        <w:tc>
          <w:tcPr>
            <w:tcW w:w="1220" w:type="dxa"/>
            <w:tcBorders>
              <w:top w:val="nil"/>
              <w:left w:val="nil"/>
              <w:bottom w:val="nil"/>
              <w:right w:val="nil"/>
            </w:tcBorders>
            <w:shd w:val="clear" w:color="auto" w:fill="auto"/>
            <w:noWrap/>
            <w:vAlign w:val="center"/>
            <w:hideMark/>
          </w:tcPr>
          <w:p w14:paraId="7ED2C568"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50%</w:t>
            </w:r>
          </w:p>
        </w:tc>
      </w:tr>
      <w:tr w:rsidR="00440E80" w:rsidRPr="0017333D" w14:paraId="77E2E72C" w14:textId="77777777" w:rsidTr="00440E80">
        <w:trPr>
          <w:trHeight w:val="315"/>
          <w:jc w:val="center"/>
        </w:trPr>
        <w:tc>
          <w:tcPr>
            <w:tcW w:w="3340" w:type="dxa"/>
            <w:tcBorders>
              <w:top w:val="nil"/>
              <w:left w:val="nil"/>
              <w:bottom w:val="single" w:sz="4" w:space="0" w:color="auto"/>
              <w:right w:val="nil"/>
            </w:tcBorders>
            <w:shd w:val="clear" w:color="auto" w:fill="auto"/>
            <w:noWrap/>
            <w:vAlign w:val="center"/>
            <w:hideMark/>
          </w:tcPr>
          <w:p w14:paraId="5B4772D0" w14:textId="77777777" w:rsidR="00440E80" w:rsidRPr="0017333D" w:rsidRDefault="00440E80" w:rsidP="00440E80">
            <w:pPr>
              <w:spacing w:after="0" w:line="240" w:lineRule="auto"/>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Very/extremely happy overall</w:t>
            </w:r>
          </w:p>
        </w:tc>
        <w:tc>
          <w:tcPr>
            <w:tcW w:w="1460" w:type="dxa"/>
            <w:tcBorders>
              <w:top w:val="nil"/>
              <w:left w:val="nil"/>
              <w:bottom w:val="single" w:sz="4" w:space="0" w:color="auto"/>
              <w:right w:val="nil"/>
            </w:tcBorders>
            <w:shd w:val="clear" w:color="auto" w:fill="auto"/>
            <w:noWrap/>
            <w:vAlign w:val="center"/>
            <w:hideMark/>
          </w:tcPr>
          <w:p w14:paraId="5F0C71CC"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52%</w:t>
            </w:r>
          </w:p>
        </w:tc>
        <w:tc>
          <w:tcPr>
            <w:tcW w:w="1140" w:type="dxa"/>
            <w:tcBorders>
              <w:top w:val="nil"/>
              <w:left w:val="nil"/>
              <w:bottom w:val="single" w:sz="4" w:space="0" w:color="auto"/>
              <w:right w:val="nil"/>
            </w:tcBorders>
            <w:shd w:val="clear" w:color="auto" w:fill="auto"/>
            <w:noWrap/>
            <w:vAlign w:val="center"/>
            <w:hideMark/>
          </w:tcPr>
          <w:p w14:paraId="7B768FF3"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52%</w:t>
            </w:r>
          </w:p>
        </w:tc>
        <w:tc>
          <w:tcPr>
            <w:tcW w:w="1220" w:type="dxa"/>
            <w:tcBorders>
              <w:top w:val="nil"/>
              <w:left w:val="nil"/>
              <w:bottom w:val="single" w:sz="4" w:space="0" w:color="auto"/>
              <w:right w:val="nil"/>
            </w:tcBorders>
            <w:shd w:val="clear" w:color="auto" w:fill="auto"/>
            <w:noWrap/>
            <w:vAlign w:val="center"/>
            <w:hideMark/>
          </w:tcPr>
          <w:p w14:paraId="0E7D4C40" w14:textId="77777777" w:rsidR="00440E80" w:rsidRPr="0017333D" w:rsidRDefault="00440E80" w:rsidP="00440E80">
            <w:pPr>
              <w:spacing w:after="0" w:line="240" w:lineRule="auto"/>
              <w:jc w:val="center"/>
              <w:rPr>
                <w:rFonts w:ascii="Times New Roman" w:eastAsia="Times New Roman" w:hAnsi="Times New Roman" w:cs="Times New Roman"/>
                <w:color w:val="000000"/>
                <w:lang w:eastAsia="en-GB"/>
              </w:rPr>
            </w:pPr>
            <w:r w:rsidRPr="0017333D">
              <w:rPr>
                <w:rFonts w:ascii="Times New Roman" w:eastAsia="Times New Roman" w:hAnsi="Times New Roman" w:cs="Times New Roman"/>
                <w:color w:val="000000"/>
                <w:lang w:eastAsia="en-GB"/>
              </w:rPr>
              <w:t>47%</w:t>
            </w:r>
          </w:p>
        </w:tc>
      </w:tr>
    </w:tbl>
    <w:p w14:paraId="56CB7E77" w14:textId="5B9F05BA" w:rsidR="00440E80" w:rsidRPr="00252C52" w:rsidRDefault="00440E80" w:rsidP="008B4E20">
      <w:pPr>
        <w:spacing w:after="240" w:line="240" w:lineRule="auto"/>
        <w:jc w:val="both"/>
        <w:rPr>
          <w:rFonts w:ascii="Times New Roman" w:hAnsi="Times New Roman" w:cs="Times New Roman"/>
          <w:b/>
          <w:bCs/>
          <w:sz w:val="20"/>
          <w:szCs w:val="20"/>
        </w:rPr>
      </w:pPr>
      <w:r w:rsidRPr="0017333D">
        <w:rPr>
          <w:rFonts w:ascii="Times New Roman" w:hAnsi="Times New Roman" w:cs="Times New Roman"/>
          <w:sz w:val="20"/>
          <w:szCs w:val="20"/>
        </w:rPr>
        <w:t xml:space="preserve">Notes: Those individuals who were teachers at both baseline (initial assessment centre) and follow-up (follow-up assessment centre) are the reference group.  ‘ES’ refers to estimated effect size for continuous outcomes. </w:t>
      </w:r>
      <w:r w:rsidR="00875EB6" w:rsidRPr="00C15BFD">
        <w:rPr>
          <w:rFonts w:ascii="Times New Roman" w:hAnsi="Times New Roman" w:cs="Times New Roman"/>
          <w:sz w:val="20"/>
          <w:szCs w:val="20"/>
        </w:rPr>
        <w:t xml:space="preserve">Source = authors’ analysis of </w:t>
      </w:r>
      <w:r w:rsidR="00875EB6">
        <w:rPr>
          <w:rFonts w:ascii="Times New Roman" w:hAnsi="Times New Roman" w:cs="Times New Roman"/>
          <w:sz w:val="20"/>
          <w:szCs w:val="20"/>
        </w:rPr>
        <w:t>the UK Biobank dataset</w:t>
      </w:r>
      <w:r w:rsidR="00875EB6" w:rsidRPr="00C15BFD">
        <w:rPr>
          <w:rFonts w:ascii="Times New Roman" w:hAnsi="Times New Roman" w:cs="Times New Roman"/>
          <w:sz w:val="20"/>
          <w:szCs w:val="20"/>
        </w:rPr>
        <w:t>.</w:t>
      </w:r>
    </w:p>
    <w:p w14:paraId="57BF8241" w14:textId="3471AEAC" w:rsidR="00440E80" w:rsidRPr="00D64480" w:rsidRDefault="00440E80" w:rsidP="00D64480">
      <w:pPr>
        <w:spacing w:line="360" w:lineRule="auto"/>
        <w:jc w:val="both"/>
        <w:rPr>
          <w:rFonts w:ascii="Times New Roman" w:hAnsi="Times New Roman" w:cs="Times New Roman"/>
          <w:sz w:val="24"/>
          <w:szCs w:val="24"/>
        </w:rPr>
      </w:pPr>
      <w:r w:rsidRPr="00D64480">
        <w:rPr>
          <w:rFonts w:ascii="Times New Roman" w:hAnsi="Times New Roman" w:cs="Times New Roman"/>
          <w:sz w:val="24"/>
          <w:szCs w:val="24"/>
        </w:rPr>
        <w:t>First, there is some suggestion that individuals who leave teaching report slightly lower levels of anxiety and depression than those who have remained in the teaching profession. Former teachers score 0.07 standard deviations lower on the self-reported depression scale, while also being somewhat less likely to report taking prescription medicines for common mental health problems (5.3</w:t>
      </w:r>
      <w:r w:rsidR="008D5C24">
        <w:rPr>
          <w:rFonts w:ascii="Times New Roman" w:hAnsi="Times New Roman" w:cs="Times New Roman"/>
          <w:sz w:val="24"/>
          <w:szCs w:val="24"/>
        </w:rPr>
        <w:t>%</w:t>
      </w:r>
      <w:r w:rsidRPr="00D64480">
        <w:rPr>
          <w:rFonts w:ascii="Times New Roman" w:hAnsi="Times New Roman" w:cs="Times New Roman"/>
          <w:sz w:val="24"/>
          <w:szCs w:val="24"/>
        </w:rPr>
        <w:t xml:space="preserve"> versus 2.5</w:t>
      </w:r>
      <w:r w:rsidR="008D5C24">
        <w:rPr>
          <w:rFonts w:ascii="Times New Roman" w:hAnsi="Times New Roman" w:cs="Times New Roman"/>
          <w:sz w:val="24"/>
          <w:szCs w:val="24"/>
        </w:rPr>
        <w:t>%</w:t>
      </w:r>
      <w:r w:rsidRPr="00D64480">
        <w:rPr>
          <w:rFonts w:ascii="Times New Roman" w:hAnsi="Times New Roman" w:cs="Times New Roman"/>
          <w:sz w:val="24"/>
          <w:szCs w:val="24"/>
        </w:rPr>
        <w:t>) or reported suffering from depression/anxiety as a medical condition (11</w:t>
      </w:r>
      <w:r w:rsidR="008D5C24">
        <w:rPr>
          <w:rFonts w:ascii="Times New Roman" w:hAnsi="Times New Roman" w:cs="Times New Roman"/>
          <w:sz w:val="24"/>
          <w:szCs w:val="24"/>
        </w:rPr>
        <w:t>%</w:t>
      </w:r>
      <w:r w:rsidRPr="00D64480">
        <w:rPr>
          <w:rFonts w:ascii="Times New Roman" w:hAnsi="Times New Roman" w:cs="Times New Roman"/>
          <w:sz w:val="24"/>
          <w:szCs w:val="24"/>
        </w:rPr>
        <w:t xml:space="preserve"> versus 9</w:t>
      </w:r>
      <w:r w:rsidR="008D5C24">
        <w:rPr>
          <w:rFonts w:ascii="Times New Roman" w:hAnsi="Times New Roman" w:cs="Times New Roman"/>
          <w:sz w:val="24"/>
          <w:szCs w:val="24"/>
        </w:rPr>
        <w:t>%</w:t>
      </w:r>
      <w:r w:rsidRPr="00D64480">
        <w:rPr>
          <w:rFonts w:ascii="Times New Roman" w:hAnsi="Times New Roman" w:cs="Times New Roman"/>
          <w:sz w:val="24"/>
          <w:szCs w:val="24"/>
        </w:rPr>
        <w:t xml:space="preserve">). Interestingly, those who entered the teaching profession since the baseline assessment centre scored slightly higher on the self-reported depression scale than individuals who were working as teachers at both time points (effect size 0.13) and those who had left teaching for another career (effect size 0.20). Nevertheless, the key message from Table 8.3 is that leaving teaching to pursue another career may only bring small benefits for one’s mental health (if any at all). </w:t>
      </w:r>
    </w:p>
    <w:p w14:paraId="68F4EE73" w14:textId="1C51D11A" w:rsidR="00440E80" w:rsidRPr="00D64480" w:rsidRDefault="00440E80" w:rsidP="00D64480">
      <w:pPr>
        <w:spacing w:line="360" w:lineRule="auto"/>
        <w:jc w:val="both"/>
        <w:rPr>
          <w:rFonts w:ascii="Times New Roman" w:hAnsi="Times New Roman" w:cs="Times New Roman"/>
          <w:sz w:val="24"/>
          <w:szCs w:val="24"/>
        </w:rPr>
      </w:pPr>
      <w:r w:rsidRPr="00D64480">
        <w:rPr>
          <w:rFonts w:ascii="Times New Roman" w:hAnsi="Times New Roman" w:cs="Times New Roman"/>
          <w:sz w:val="24"/>
          <w:szCs w:val="24"/>
        </w:rPr>
        <w:t>Second, the final set of estimates in Table 8.3 (capturing self-reported happiness) potentially help</w:t>
      </w:r>
      <w:r w:rsidR="008D5C24">
        <w:rPr>
          <w:rFonts w:ascii="Times New Roman" w:hAnsi="Times New Roman" w:cs="Times New Roman"/>
          <w:sz w:val="24"/>
          <w:szCs w:val="24"/>
        </w:rPr>
        <w:t>s</w:t>
      </w:r>
      <w:r w:rsidRPr="00D64480">
        <w:rPr>
          <w:rFonts w:ascii="Times New Roman" w:hAnsi="Times New Roman" w:cs="Times New Roman"/>
          <w:sz w:val="24"/>
          <w:szCs w:val="24"/>
        </w:rPr>
        <w:t xml:space="preserve"> strengthen the evidence that those individuals who leave teaching have higher levels of </w:t>
      </w:r>
      <w:r w:rsidRPr="00D64480">
        <w:rPr>
          <w:rFonts w:ascii="Times New Roman" w:hAnsi="Times New Roman" w:cs="Times New Roman"/>
          <w:sz w:val="24"/>
          <w:szCs w:val="24"/>
        </w:rPr>
        <w:lastRenderedPageBreak/>
        <w:t>job satisfaction than those who continue to work as a teacher as their career. In particular, those who left teaching for other employment reported higher levels of satisfaction with their work than those who stayed in teaching (61</w:t>
      </w:r>
      <w:r w:rsidR="00A833C2">
        <w:rPr>
          <w:rFonts w:ascii="Times New Roman" w:hAnsi="Times New Roman" w:cs="Times New Roman"/>
          <w:sz w:val="24"/>
          <w:szCs w:val="24"/>
        </w:rPr>
        <w:t>%</w:t>
      </w:r>
      <w:r w:rsidRPr="00D64480">
        <w:rPr>
          <w:rFonts w:ascii="Times New Roman" w:hAnsi="Times New Roman" w:cs="Times New Roman"/>
          <w:sz w:val="24"/>
          <w:szCs w:val="24"/>
        </w:rPr>
        <w:t xml:space="preserve"> who left teaching between </w:t>
      </w:r>
      <w:proofErr w:type="gramStart"/>
      <w:r w:rsidRPr="00D64480">
        <w:rPr>
          <w:rFonts w:ascii="Times New Roman" w:hAnsi="Times New Roman" w:cs="Times New Roman"/>
          <w:sz w:val="24"/>
          <w:szCs w:val="24"/>
        </w:rPr>
        <w:t>assessment</w:t>
      </w:r>
      <w:proofErr w:type="gramEnd"/>
      <w:r w:rsidRPr="00D64480">
        <w:rPr>
          <w:rFonts w:ascii="Times New Roman" w:hAnsi="Times New Roman" w:cs="Times New Roman"/>
          <w:sz w:val="24"/>
          <w:szCs w:val="24"/>
        </w:rPr>
        <w:t xml:space="preserve"> centres were very happy in their work compared to 52</w:t>
      </w:r>
      <w:r w:rsidR="00A833C2">
        <w:rPr>
          <w:rFonts w:ascii="Times New Roman" w:hAnsi="Times New Roman" w:cs="Times New Roman"/>
          <w:sz w:val="24"/>
          <w:szCs w:val="24"/>
        </w:rPr>
        <w:t>%</w:t>
      </w:r>
      <w:r w:rsidRPr="00D64480">
        <w:rPr>
          <w:rFonts w:ascii="Times New Roman" w:hAnsi="Times New Roman" w:cs="Times New Roman"/>
          <w:sz w:val="24"/>
          <w:szCs w:val="24"/>
        </w:rPr>
        <w:t xml:space="preserve"> who remained in teaching). Yet this result is specific to the work domain; there is no evidence that those who quit teaching were happier with their health, friendships, family, health or, indeed, with life in general. </w:t>
      </w:r>
    </w:p>
    <w:p w14:paraId="176C8EC4" w14:textId="77777777" w:rsidR="00440E80" w:rsidRPr="00D64480" w:rsidRDefault="00440E80" w:rsidP="008B4E20">
      <w:pPr>
        <w:spacing w:line="360" w:lineRule="auto"/>
        <w:jc w:val="both"/>
        <w:rPr>
          <w:rFonts w:ascii="Times New Roman" w:hAnsi="Times New Roman" w:cs="Times New Roman"/>
          <w:sz w:val="24"/>
          <w:szCs w:val="24"/>
        </w:rPr>
      </w:pPr>
      <w:r w:rsidRPr="00D64480">
        <w:rPr>
          <w:rFonts w:ascii="Times New Roman" w:hAnsi="Times New Roman" w:cs="Times New Roman"/>
          <w:sz w:val="24"/>
          <w:szCs w:val="24"/>
        </w:rPr>
        <w:t>The final point to note from Table 8.3 is that the results with respect to sleep and alcohol consumption are largely the same as Table 8.2. In other words, there is little evidence that working as a teacher has an impact upon difficulties with sleeping and alcohol consumption.</w:t>
      </w:r>
    </w:p>
    <w:p w14:paraId="3AADB8A4" w14:textId="77777777" w:rsidR="00440E80" w:rsidRPr="00D64480" w:rsidRDefault="00440E80" w:rsidP="00D64480">
      <w:pPr>
        <w:spacing w:after="0" w:line="360" w:lineRule="auto"/>
        <w:rPr>
          <w:rFonts w:ascii="Times New Roman" w:hAnsi="Times New Roman" w:cs="Times New Roman"/>
          <w:b/>
          <w:sz w:val="24"/>
          <w:szCs w:val="24"/>
        </w:rPr>
      </w:pPr>
      <w:r w:rsidRPr="00D64480">
        <w:rPr>
          <w:rFonts w:ascii="Times New Roman" w:hAnsi="Times New Roman" w:cs="Times New Roman"/>
          <w:b/>
          <w:sz w:val="24"/>
          <w:szCs w:val="24"/>
        </w:rPr>
        <w:t>8.4 Summary</w:t>
      </w:r>
    </w:p>
    <w:p w14:paraId="35913156" w14:textId="78D5E5F7" w:rsidR="00440E80" w:rsidRPr="00D64480" w:rsidRDefault="00440E80" w:rsidP="008B4E20">
      <w:pPr>
        <w:spacing w:line="360" w:lineRule="auto"/>
        <w:jc w:val="both"/>
        <w:rPr>
          <w:rFonts w:ascii="Times New Roman" w:hAnsi="Times New Roman" w:cs="Times New Roman"/>
          <w:sz w:val="24"/>
          <w:szCs w:val="24"/>
        </w:rPr>
      </w:pPr>
      <w:r w:rsidRPr="00D64480">
        <w:rPr>
          <w:rFonts w:ascii="Times New Roman" w:hAnsi="Times New Roman" w:cs="Times New Roman"/>
          <w:sz w:val="24"/>
          <w:szCs w:val="24"/>
        </w:rPr>
        <w:t xml:space="preserve">Looking across an array of outcomes, and using several different empirical approaches, we have found little evidence of a link between leaving teaching, lower prevalence of mental health problems and higher levels of general wellbeing. Throughout our analysis, effect sizes have been small and often changed in both magnitude and direction depending upon the empirical approach taken. The one exception is happiness with work (job satisfaction), where we find a fairly consistent improvement for those who have recently left the teaching profession. Consistent with Bamford and </w:t>
      </w:r>
      <w:proofErr w:type="gramStart"/>
      <w:r w:rsidRPr="00D64480">
        <w:rPr>
          <w:rFonts w:ascii="Times New Roman" w:hAnsi="Times New Roman" w:cs="Times New Roman"/>
          <w:sz w:val="24"/>
          <w:szCs w:val="24"/>
        </w:rPr>
        <w:t>Worth</w:t>
      </w:r>
      <w:proofErr w:type="gramEnd"/>
      <w:r w:rsidRPr="00D64480">
        <w:rPr>
          <w:rFonts w:ascii="Times New Roman" w:hAnsi="Times New Roman" w:cs="Times New Roman"/>
          <w:sz w:val="24"/>
          <w:szCs w:val="24"/>
        </w:rPr>
        <w:t xml:space="preserve"> (2017), there is some suggestion that those who decide to quit teaching end up being somewhat happier in their work than those who choose to remain. Yet, critically, this does not seem to translate into greater levels of happiness in other areas of life, including satisfaction with health or happiness overall. Consequently, the benefits of leaving teaching for one’s happiness seem to be relatively minor, and concentrated in satisfaction with work.</w:t>
      </w:r>
    </w:p>
    <w:p w14:paraId="1E1E8E34" w14:textId="4B8555E1" w:rsidR="00440E80" w:rsidRPr="00D64480" w:rsidRDefault="00440E80" w:rsidP="00D64480">
      <w:pPr>
        <w:spacing w:line="360" w:lineRule="auto"/>
        <w:jc w:val="both"/>
        <w:rPr>
          <w:rFonts w:ascii="Times New Roman" w:hAnsi="Times New Roman" w:cs="Times New Roman"/>
          <w:sz w:val="24"/>
          <w:szCs w:val="24"/>
        </w:rPr>
      </w:pPr>
      <w:r w:rsidRPr="00D64480">
        <w:rPr>
          <w:rFonts w:ascii="Times New Roman" w:hAnsi="Times New Roman" w:cs="Times New Roman"/>
          <w:sz w:val="24"/>
          <w:szCs w:val="24"/>
        </w:rPr>
        <w:t>Two observations are important in interpreting this finding. First, this is consistent with empirical research</w:t>
      </w:r>
      <w:r w:rsidR="003E056E">
        <w:rPr>
          <w:rFonts w:ascii="Times New Roman" w:hAnsi="Times New Roman" w:cs="Times New Roman"/>
          <w:sz w:val="24"/>
          <w:szCs w:val="24"/>
        </w:rPr>
        <w:t xml:space="preserve"> into</w:t>
      </w:r>
      <w:r w:rsidRPr="00D64480">
        <w:rPr>
          <w:rFonts w:ascii="Times New Roman" w:hAnsi="Times New Roman" w:cs="Times New Roman"/>
          <w:sz w:val="24"/>
          <w:szCs w:val="24"/>
        </w:rPr>
        <w:t xml:space="preserve"> a range of occupations, which finds that job satisfaction tends to fall in the period prior to an individual quitting a job, before rising during the early stages of their new employment (</w:t>
      </w:r>
      <w:r w:rsidRPr="00D64480">
        <w:rPr>
          <w:rFonts w:ascii="Times New Roman" w:hAnsi="Times New Roman" w:cs="Times New Roman"/>
          <w:color w:val="000000" w:themeColor="text1"/>
          <w:sz w:val="24"/>
          <w:szCs w:val="24"/>
        </w:rPr>
        <w:t xml:space="preserve">Chadi &amp; </w:t>
      </w:r>
      <w:proofErr w:type="spellStart"/>
      <w:r w:rsidRPr="00D64480">
        <w:rPr>
          <w:rFonts w:ascii="Times New Roman" w:hAnsi="Times New Roman" w:cs="Times New Roman"/>
          <w:color w:val="000000" w:themeColor="text1"/>
          <w:sz w:val="24"/>
          <w:szCs w:val="24"/>
        </w:rPr>
        <w:t>Hetschko</w:t>
      </w:r>
      <w:proofErr w:type="spellEnd"/>
      <w:r w:rsidRPr="00D64480">
        <w:rPr>
          <w:rFonts w:ascii="Times New Roman" w:hAnsi="Times New Roman" w:cs="Times New Roman"/>
          <w:color w:val="000000" w:themeColor="text1"/>
          <w:sz w:val="24"/>
          <w:szCs w:val="24"/>
        </w:rPr>
        <w:t xml:space="preserve">, 2018; </w:t>
      </w:r>
      <w:proofErr w:type="spellStart"/>
      <w:r w:rsidRPr="00D64480">
        <w:rPr>
          <w:rFonts w:ascii="Times New Roman" w:hAnsi="Times New Roman" w:cs="Times New Roman"/>
          <w:color w:val="000000" w:themeColor="text1"/>
          <w:sz w:val="24"/>
          <w:szCs w:val="24"/>
        </w:rPr>
        <w:t>Gielen</w:t>
      </w:r>
      <w:proofErr w:type="spellEnd"/>
      <w:r w:rsidRPr="00D64480">
        <w:rPr>
          <w:rFonts w:ascii="Times New Roman" w:hAnsi="Times New Roman" w:cs="Times New Roman"/>
          <w:color w:val="000000" w:themeColor="text1"/>
          <w:sz w:val="24"/>
          <w:szCs w:val="24"/>
        </w:rPr>
        <w:t xml:space="preserve">, 2013; </w:t>
      </w:r>
      <w:proofErr w:type="spellStart"/>
      <w:r w:rsidRPr="00D64480">
        <w:rPr>
          <w:rFonts w:ascii="Times New Roman" w:hAnsi="Times New Roman" w:cs="Times New Roman"/>
          <w:color w:val="000000" w:themeColor="text1"/>
          <w:sz w:val="24"/>
          <w:szCs w:val="24"/>
        </w:rPr>
        <w:t>Longhi</w:t>
      </w:r>
      <w:proofErr w:type="spellEnd"/>
      <w:r w:rsidRPr="00D64480">
        <w:rPr>
          <w:rFonts w:ascii="Times New Roman" w:hAnsi="Times New Roman" w:cs="Times New Roman"/>
          <w:color w:val="000000" w:themeColor="text1"/>
          <w:sz w:val="24"/>
          <w:szCs w:val="24"/>
        </w:rPr>
        <w:t xml:space="preserve"> et al., 2019</w:t>
      </w:r>
      <w:r w:rsidRPr="00D64480">
        <w:rPr>
          <w:rFonts w:ascii="Times New Roman" w:hAnsi="Times New Roman" w:cs="Times New Roman"/>
          <w:sz w:val="24"/>
          <w:szCs w:val="24"/>
        </w:rPr>
        <w:t>). Second, we do not observe reductions in job satisfaction for those joining the teaching profession. Taken together, this suggests that the increase in job satisfaction for those leaving teaching is not indicative of any particular problem with teaching. Rather, it is more likely to reflect a natural process by which those who are less suited to the job move into alternative occupations (</w:t>
      </w:r>
      <w:proofErr w:type="spellStart"/>
      <w:r w:rsidRPr="00D64480">
        <w:rPr>
          <w:rFonts w:ascii="Times New Roman" w:hAnsi="Times New Roman" w:cs="Times New Roman"/>
          <w:sz w:val="24"/>
          <w:szCs w:val="24"/>
        </w:rPr>
        <w:t>Gielen</w:t>
      </w:r>
      <w:proofErr w:type="spellEnd"/>
      <w:r w:rsidRPr="00D64480">
        <w:rPr>
          <w:rFonts w:ascii="Times New Roman" w:hAnsi="Times New Roman" w:cs="Times New Roman"/>
          <w:sz w:val="24"/>
          <w:szCs w:val="24"/>
        </w:rPr>
        <w:t>, 2013).</w:t>
      </w:r>
    </w:p>
    <w:p w14:paraId="30CEC576" w14:textId="0B8DC0A5" w:rsidR="00C9196B" w:rsidRDefault="00440E80" w:rsidP="00D64480">
      <w:pPr>
        <w:spacing w:line="360" w:lineRule="auto"/>
        <w:jc w:val="both"/>
        <w:rPr>
          <w:rFonts w:ascii="Times New Roman" w:hAnsi="Times New Roman" w:cs="Times New Roman"/>
          <w:sz w:val="24"/>
          <w:szCs w:val="24"/>
        </w:rPr>
      </w:pPr>
      <w:r w:rsidRPr="00D64480">
        <w:rPr>
          <w:rFonts w:ascii="Times New Roman" w:hAnsi="Times New Roman" w:cs="Times New Roman"/>
          <w:sz w:val="24"/>
          <w:szCs w:val="24"/>
        </w:rPr>
        <w:t xml:space="preserve">What do these findings imply for policy and </w:t>
      </w:r>
      <w:r w:rsidR="00C9196B" w:rsidRPr="00D64480">
        <w:rPr>
          <w:rFonts w:ascii="Times New Roman" w:hAnsi="Times New Roman" w:cs="Times New Roman"/>
          <w:sz w:val="24"/>
          <w:szCs w:val="24"/>
        </w:rPr>
        <w:t>practi</w:t>
      </w:r>
      <w:r w:rsidR="00C9196B">
        <w:rPr>
          <w:rFonts w:ascii="Times New Roman" w:hAnsi="Times New Roman" w:cs="Times New Roman"/>
          <w:sz w:val="24"/>
          <w:szCs w:val="24"/>
        </w:rPr>
        <w:t>c</w:t>
      </w:r>
      <w:r w:rsidR="00C9196B" w:rsidRPr="00D64480">
        <w:rPr>
          <w:rFonts w:ascii="Times New Roman" w:hAnsi="Times New Roman" w:cs="Times New Roman"/>
          <w:sz w:val="24"/>
          <w:szCs w:val="24"/>
        </w:rPr>
        <w:t>e</w:t>
      </w:r>
      <w:r w:rsidRPr="00D64480">
        <w:rPr>
          <w:rFonts w:ascii="Times New Roman" w:hAnsi="Times New Roman" w:cs="Times New Roman"/>
          <w:sz w:val="24"/>
          <w:szCs w:val="24"/>
        </w:rPr>
        <w:t xml:space="preserve">? At a time when many teachers are thinking about leaving for another career, it is vital that they are fully informed about the likely </w:t>
      </w:r>
      <w:r w:rsidRPr="00D64480">
        <w:rPr>
          <w:rFonts w:ascii="Times New Roman" w:hAnsi="Times New Roman" w:cs="Times New Roman"/>
          <w:sz w:val="24"/>
          <w:szCs w:val="24"/>
        </w:rPr>
        <w:lastRenderedPageBreak/>
        <w:t xml:space="preserve">consequences. For those teachers who are not satisfied with their work, changing jobs may lead to an increase in job satisfaction. However, our results suggest that quitting teaching for alternative employment is unlikely to lead to improvements in general wellbeing or mental health. </w:t>
      </w:r>
    </w:p>
    <w:p w14:paraId="34F1C908" w14:textId="77777777" w:rsidR="00C9196B" w:rsidRDefault="00C9196B">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6A696597" w14:textId="6CB2E2B2" w:rsidR="00C9196B" w:rsidRDefault="00803256" w:rsidP="00D5024D">
      <w:pPr>
        <w:pStyle w:val="Heading1UCL"/>
        <w:rPr>
          <w:lang w:eastAsia="en-GB"/>
        </w:rPr>
      </w:pPr>
      <w:bookmarkStart w:id="16" w:name="_Toc67406009"/>
      <w:r w:rsidRPr="00B15EF5">
        <w:rPr>
          <w:szCs w:val="40"/>
        </w:rPr>
        <w:lastRenderedPageBreak/>
        <w:t xml:space="preserve">Chapter </w:t>
      </w:r>
      <w:r>
        <w:rPr>
          <w:szCs w:val="40"/>
        </w:rPr>
        <w:t>9</w:t>
      </w:r>
      <w:r w:rsidRPr="00B15EF5">
        <w:rPr>
          <w:szCs w:val="40"/>
        </w:rPr>
        <w:t xml:space="preserve"> </w:t>
      </w:r>
      <w:r>
        <w:rPr>
          <w:lang w:eastAsia="en-GB"/>
        </w:rPr>
        <w:t>New evidence on teachers’ hours of work</w:t>
      </w:r>
      <w:bookmarkEnd w:id="16"/>
    </w:p>
    <w:p w14:paraId="736F5223" w14:textId="77777777" w:rsidR="00CB6F13" w:rsidRPr="008B4E20" w:rsidRDefault="00CB6F13" w:rsidP="008B4E20">
      <w:pPr>
        <w:pStyle w:val="Heading1UCL"/>
        <w:rPr>
          <w:lang w:eastAsia="en-GB"/>
        </w:rPr>
      </w:pPr>
    </w:p>
    <w:p w14:paraId="294A6B28" w14:textId="44EB946E" w:rsidR="00803256" w:rsidRPr="00803256" w:rsidRDefault="00803256" w:rsidP="008B4E20">
      <w:pPr>
        <w:pStyle w:val="Heading1"/>
        <w:spacing w:before="160" w:after="160"/>
        <w:rPr>
          <w:rFonts w:ascii="Times New Roman" w:hAnsi="Times New Roman" w:cs="Times New Roman"/>
          <w:b/>
          <w:color w:val="000000" w:themeColor="text1"/>
          <w:sz w:val="24"/>
          <w:szCs w:val="24"/>
        </w:rPr>
      </w:pPr>
      <w:bookmarkStart w:id="17" w:name="_Toc67406010"/>
      <w:r w:rsidRPr="00803256">
        <w:rPr>
          <w:rFonts w:ascii="Times New Roman" w:hAnsi="Times New Roman" w:cs="Times New Roman"/>
          <w:b/>
          <w:color w:val="000000" w:themeColor="text1"/>
          <w:sz w:val="24"/>
          <w:szCs w:val="24"/>
        </w:rPr>
        <w:t>9.1 Introduction</w:t>
      </w:r>
      <w:bookmarkEnd w:id="17"/>
    </w:p>
    <w:p w14:paraId="26FDABD5" w14:textId="216C4FC7" w:rsidR="00803256" w:rsidRPr="00803256" w:rsidRDefault="00803256" w:rsidP="00803256">
      <w:pPr>
        <w:spacing w:line="360" w:lineRule="auto"/>
        <w:jc w:val="both"/>
        <w:rPr>
          <w:rFonts w:ascii="Times New Roman" w:hAnsi="Times New Roman" w:cs="Times New Roman"/>
          <w:color w:val="000000"/>
          <w:sz w:val="24"/>
          <w:szCs w:val="24"/>
        </w:rPr>
      </w:pPr>
      <w:r w:rsidRPr="00803256">
        <w:rPr>
          <w:rFonts w:ascii="Times New Roman" w:hAnsi="Times New Roman" w:cs="Times New Roman"/>
          <w:color w:val="000000"/>
          <w:sz w:val="24"/>
          <w:szCs w:val="24"/>
        </w:rPr>
        <w:t xml:space="preserve">As noted in Chapter 1, teacher workload has become a topic of intense policy interest in recent times. This is partly due to research with in-service and former teachers </w:t>
      </w:r>
      <w:r w:rsidR="00DC6226">
        <w:rPr>
          <w:rFonts w:ascii="Times New Roman" w:hAnsi="Times New Roman" w:cs="Times New Roman"/>
          <w:color w:val="000000"/>
          <w:sz w:val="24"/>
          <w:szCs w:val="24"/>
        </w:rPr>
        <w:t xml:space="preserve">which </w:t>
      </w:r>
      <w:r w:rsidRPr="00803256">
        <w:rPr>
          <w:rFonts w:ascii="Times New Roman" w:hAnsi="Times New Roman" w:cs="Times New Roman"/>
          <w:color w:val="000000"/>
          <w:sz w:val="24"/>
          <w:szCs w:val="24"/>
        </w:rPr>
        <w:t xml:space="preserve">has concluded that workload </w:t>
      </w:r>
      <w:r w:rsidR="00DC6226">
        <w:rPr>
          <w:rFonts w:ascii="Times New Roman" w:hAnsi="Times New Roman" w:cs="Times New Roman"/>
          <w:color w:val="000000"/>
          <w:sz w:val="24"/>
          <w:szCs w:val="24"/>
        </w:rPr>
        <w:sym w:font="Symbol" w:char="F02D"/>
      </w:r>
      <w:r w:rsidRPr="00803256">
        <w:rPr>
          <w:rFonts w:ascii="Times New Roman" w:hAnsi="Times New Roman" w:cs="Times New Roman"/>
          <w:color w:val="000000"/>
          <w:sz w:val="24"/>
          <w:szCs w:val="24"/>
        </w:rPr>
        <w:t xml:space="preserve"> in particular the overly</w:t>
      </w:r>
      <w:r w:rsidR="00DC6226">
        <w:rPr>
          <w:rFonts w:ascii="Times New Roman" w:hAnsi="Times New Roman" w:cs="Times New Roman"/>
          <w:color w:val="000000"/>
          <w:sz w:val="24"/>
          <w:szCs w:val="24"/>
        </w:rPr>
        <w:t xml:space="preserve"> </w:t>
      </w:r>
      <w:r w:rsidRPr="00803256">
        <w:rPr>
          <w:rFonts w:ascii="Times New Roman" w:hAnsi="Times New Roman" w:cs="Times New Roman"/>
          <w:color w:val="000000"/>
          <w:sz w:val="24"/>
          <w:szCs w:val="24"/>
        </w:rPr>
        <w:t xml:space="preserve">bureaucratic requirements for planning, marking and data entry </w:t>
      </w:r>
      <w:r w:rsidR="00DC6226">
        <w:rPr>
          <w:rFonts w:ascii="Times New Roman" w:hAnsi="Times New Roman" w:cs="Times New Roman"/>
          <w:color w:val="000000"/>
          <w:sz w:val="24"/>
          <w:szCs w:val="24"/>
        </w:rPr>
        <w:sym w:font="Symbol" w:char="F02D"/>
      </w:r>
      <w:r w:rsidRPr="00803256">
        <w:rPr>
          <w:rFonts w:ascii="Times New Roman" w:hAnsi="Times New Roman" w:cs="Times New Roman"/>
          <w:color w:val="000000"/>
          <w:sz w:val="24"/>
          <w:szCs w:val="24"/>
        </w:rPr>
        <w:t xml:space="preserve"> are driving teachers out of the profession (Gibson, Oliver &amp; </w:t>
      </w:r>
      <w:proofErr w:type="spellStart"/>
      <w:r w:rsidRPr="00803256">
        <w:rPr>
          <w:rFonts w:ascii="Times New Roman" w:hAnsi="Times New Roman" w:cs="Times New Roman"/>
          <w:color w:val="000000"/>
          <w:sz w:val="24"/>
          <w:szCs w:val="24"/>
        </w:rPr>
        <w:t>Dension</w:t>
      </w:r>
      <w:proofErr w:type="spellEnd"/>
      <w:r w:rsidRPr="00803256">
        <w:rPr>
          <w:rFonts w:ascii="Times New Roman" w:hAnsi="Times New Roman" w:cs="Times New Roman"/>
          <w:color w:val="000000"/>
          <w:sz w:val="24"/>
          <w:szCs w:val="24"/>
        </w:rPr>
        <w:t xml:space="preserve">, 2015; </w:t>
      </w:r>
      <w:proofErr w:type="spellStart"/>
      <w:r w:rsidRPr="00803256">
        <w:rPr>
          <w:rFonts w:ascii="Times New Roman" w:hAnsi="Times New Roman" w:cs="Times New Roman"/>
          <w:color w:val="000000"/>
          <w:sz w:val="24"/>
          <w:szCs w:val="24"/>
        </w:rPr>
        <w:t>DfE</w:t>
      </w:r>
      <w:proofErr w:type="spellEnd"/>
      <w:r w:rsidR="00D61C38">
        <w:rPr>
          <w:rFonts w:ascii="Times New Roman" w:hAnsi="Times New Roman" w:cs="Times New Roman"/>
          <w:color w:val="000000"/>
          <w:sz w:val="24"/>
          <w:szCs w:val="24"/>
        </w:rPr>
        <w:t>,</w:t>
      </w:r>
      <w:r w:rsidRPr="00803256">
        <w:rPr>
          <w:rFonts w:ascii="Times New Roman" w:hAnsi="Times New Roman" w:cs="Times New Roman"/>
          <w:color w:val="000000"/>
          <w:sz w:val="24"/>
          <w:szCs w:val="24"/>
        </w:rPr>
        <w:t xml:space="preserve"> 2018). There is also a widely held belief that the long working hours of teachers – and particularly the time they spend upon particularly undesirable tasks such as marking and administration – have an impact upon teachers’ wellbeing and mental health. </w:t>
      </w:r>
    </w:p>
    <w:p w14:paraId="6CB5DD19" w14:textId="3EBB62E8" w:rsidR="00803256" w:rsidRPr="00803256" w:rsidRDefault="00803256" w:rsidP="00803256">
      <w:pPr>
        <w:spacing w:line="360" w:lineRule="auto"/>
        <w:jc w:val="both"/>
        <w:rPr>
          <w:rFonts w:ascii="Times New Roman" w:hAnsi="Times New Roman" w:cs="Times New Roman"/>
          <w:color w:val="0B0C0C"/>
          <w:sz w:val="24"/>
          <w:szCs w:val="24"/>
        </w:rPr>
      </w:pPr>
      <w:r w:rsidRPr="00803256">
        <w:rPr>
          <w:rFonts w:ascii="Times New Roman" w:hAnsi="Times New Roman" w:cs="Times New Roman"/>
          <w:color w:val="000000"/>
          <w:sz w:val="24"/>
          <w:szCs w:val="24"/>
        </w:rPr>
        <w:t xml:space="preserve">The Department for Education in England has therefore </w:t>
      </w:r>
      <w:r w:rsidR="004F6BBA">
        <w:rPr>
          <w:rFonts w:ascii="Times New Roman" w:hAnsi="Times New Roman" w:cs="Times New Roman"/>
          <w:color w:val="000000"/>
          <w:sz w:val="24"/>
          <w:szCs w:val="24"/>
        </w:rPr>
        <w:t>‘</w:t>
      </w:r>
      <w:r w:rsidRPr="00803256">
        <w:rPr>
          <w:rFonts w:ascii="Times New Roman" w:hAnsi="Times New Roman" w:cs="Times New Roman"/>
          <w:i/>
          <w:color w:val="0B0C0C"/>
          <w:sz w:val="24"/>
          <w:szCs w:val="24"/>
        </w:rPr>
        <w:t>committed to collecting robust evidence on teacher workload at least every 2 years</w:t>
      </w:r>
      <w:r w:rsidR="004F6BBA">
        <w:rPr>
          <w:rFonts w:ascii="Times New Roman" w:hAnsi="Times New Roman" w:cs="Times New Roman"/>
          <w:color w:val="0B0C0C"/>
          <w:sz w:val="24"/>
          <w:szCs w:val="24"/>
        </w:rPr>
        <w:t>’</w:t>
      </w:r>
      <w:r w:rsidRPr="00803256">
        <w:rPr>
          <w:rFonts w:ascii="Times New Roman" w:hAnsi="Times New Roman" w:cs="Times New Roman"/>
          <w:color w:val="0B0C0C"/>
          <w:sz w:val="24"/>
          <w:szCs w:val="24"/>
        </w:rPr>
        <w:t xml:space="preserve"> (Department for Education</w:t>
      </w:r>
      <w:r w:rsidR="00D61C38">
        <w:rPr>
          <w:rFonts w:ascii="Times New Roman" w:hAnsi="Times New Roman" w:cs="Times New Roman"/>
          <w:color w:val="0B0C0C"/>
          <w:sz w:val="24"/>
          <w:szCs w:val="24"/>
        </w:rPr>
        <w:t>,</w:t>
      </w:r>
      <w:r w:rsidRPr="00803256">
        <w:rPr>
          <w:rFonts w:ascii="Times New Roman" w:hAnsi="Times New Roman" w:cs="Times New Roman"/>
          <w:color w:val="0B0C0C"/>
          <w:sz w:val="24"/>
          <w:szCs w:val="24"/>
        </w:rPr>
        <w:t xml:space="preserve"> 2019a). Thus far, this has consisted of the 2016 and 2019 Teacher Workload Surveys and the 2018 Teaching and Learning International Survey (TALIS). Unfortunately, these data have a number of limitations. First, response rates tend to be very low. For instance, the total final response rate to the 2016 workload survey was less than 10</w:t>
      </w:r>
      <w:r w:rsidR="00A507FD">
        <w:rPr>
          <w:rFonts w:ascii="Times New Roman" w:hAnsi="Times New Roman" w:cs="Times New Roman"/>
          <w:color w:val="0B0C0C"/>
          <w:sz w:val="24"/>
          <w:szCs w:val="24"/>
        </w:rPr>
        <w:t>%</w:t>
      </w:r>
      <w:r w:rsidRPr="00803256">
        <w:rPr>
          <w:rStyle w:val="FootnoteReference"/>
          <w:rFonts w:ascii="Times New Roman" w:hAnsi="Times New Roman" w:cs="Times New Roman"/>
          <w:color w:val="0B0C0C"/>
          <w:sz w:val="24"/>
          <w:szCs w:val="24"/>
        </w:rPr>
        <w:footnoteReference w:id="23"/>
      </w:r>
      <w:r w:rsidRPr="00803256">
        <w:rPr>
          <w:rFonts w:ascii="Times New Roman" w:hAnsi="Times New Roman" w:cs="Times New Roman"/>
          <w:color w:val="0B0C0C"/>
          <w:sz w:val="24"/>
          <w:szCs w:val="24"/>
        </w:rPr>
        <w:t xml:space="preserve">. Second, all information is self-reported and relies upon teachers recalling and accurately reporting information on weekly hours spent upon different tasks (e.g. questions such as </w:t>
      </w:r>
      <w:r w:rsidR="00522808">
        <w:rPr>
          <w:rFonts w:ascii="Times New Roman" w:hAnsi="Times New Roman" w:cs="Times New Roman"/>
          <w:color w:val="0B0C0C"/>
          <w:sz w:val="24"/>
          <w:szCs w:val="24"/>
        </w:rPr>
        <w:t>‘</w:t>
      </w:r>
      <w:r w:rsidRPr="00803256">
        <w:rPr>
          <w:rFonts w:ascii="Times New Roman" w:hAnsi="Times New Roman" w:cs="Times New Roman"/>
          <w:i/>
          <w:color w:val="0B0C0C"/>
          <w:sz w:val="24"/>
          <w:szCs w:val="24"/>
        </w:rPr>
        <w:t>how many hours did you spend marking during your most recent full working week?</w:t>
      </w:r>
      <w:r w:rsidR="00522808">
        <w:rPr>
          <w:rFonts w:ascii="Times New Roman" w:hAnsi="Times New Roman" w:cs="Times New Roman"/>
          <w:color w:val="0B0C0C"/>
          <w:sz w:val="24"/>
          <w:szCs w:val="24"/>
        </w:rPr>
        <w:t>’</w:t>
      </w:r>
      <w:r w:rsidRPr="00803256">
        <w:rPr>
          <w:rFonts w:ascii="Times New Roman" w:hAnsi="Times New Roman" w:cs="Times New Roman"/>
          <w:color w:val="0B0C0C"/>
          <w:sz w:val="24"/>
          <w:szCs w:val="24"/>
        </w:rPr>
        <w:t>). Third, no attempt has been made to capture how many hours teachers work during school holidays, with questions typically focusing upon usual working hours during school term</w:t>
      </w:r>
      <w:r w:rsidR="00522808">
        <w:rPr>
          <w:rFonts w:ascii="Times New Roman" w:hAnsi="Times New Roman" w:cs="Times New Roman"/>
          <w:color w:val="0B0C0C"/>
          <w:sz w:val="24"/>
          <w:szCs w:val="24"/>
        </w:rPr>
        <w:t xml:space="preserve"> </w:t>
      </w:r>
      <w:r w:rsidRPr="00803256">
        <w:rPr>
          <w:rFonts w:ascii="Times New Roman" w:hAnsi="Times New Roman" w:cs="Times New Roman"/>
          <w:color w:val="0B0C0C"/>
          <w:sz w:val="24"/>
          <w:szCs w:val="24"/>
        </w:rPr>
        <w:t>time. Fourth, most questions focus only upon teachers</w:t>
      </w:r>
      <w:r w:rsidR="00522808">
        <w:rPr>
          <w:rFonts w:ascii="Times New Roman" w:hAnsi="Times New Roman" w:cs="Times New Roman"/>
          <w:color w:val="0B0C0C"/>
          <w:sz w:val="24"/>
          <w:szCs w:val="24"/>
        </w:rPr>
        <w:t>’</w:t>
      </w:r>
      <w:r w:rsidRPr="00803256">
        <w:rPr>
          <w:rFonts w:ascii="Times New Roman" w:hAnsi="Times New Roman" w:cs="Times New Roman"/>
          <w:color w:val="0B0C0C"/>
          <w:sz w:val="24"/>
          <w:szCs w:val="24"/>
        </w:rPr>
        <w:t xml:space="preserve"> working hours in their main job. Yet teachers can earn money elsewhere, such as being private tutors, examiners or creating teaching resources. Fifth, and crucially, there is currently limited evidence as to how teachers’ working hours have changed over time, since the low response rates and changing methodology in government surveys limit the extent to which valid comparison can be drawn </w:t>
      </w:r>
      <w:r w:rsidR="00564C70">
        <w:rPr>
          <w:rFonts w:ascii="Times New Roman" w:hAnsi="Times New Roman" w:cs="Times New Roman"/>
          <w:sz w:val="24"/>
          <w:szCs w:val="24"/>
        </w:rPr>
        <w:t>(Deakin et al., 2010</w:t>
      </w:r>
      <w:r w:rsidRPr="00803256">
        <w:rPr>
          <w:rFonts w:ascii="Times New Roman" w:hAnsi="Times New Roman" w:cs="Times New Roman"/>
          <w:sz w:val="24"/>
          <w:szCs w:val="24"/>
        </w:rPr>
        <w:t>).</w:t>
      </w:r>
    </w:p>
    <w:p w14:paraId="17EFF64E" w14:textId="77777777" w:rsidR="00803256" w:rsidRPr="00803256" w:rsidRDefault="00803256" w:rsidP="00803256">
      <w:pPr>
        <w:spacing w:line="360" w:lineRule="auto"/>
        <w:jc w:val="both"/>
        <w:rPr>
          <w:rFonts w:ascii="Times New Roman" w:hAnsi="Times New Roman" w:cs="Times New Roman"/>
          <w:color w:val="000000"/>
          <w:sz w:val="24"/>
          <w:szCs w:val="24"/>
        </w:rPr>
      </w:pPr>
      <w:r w:rsidRPr="00803256">
        <w:rPr>
          <w:rFonts w:ascii="Times New Roman" w:hAnsi="Times New Roman" w:cs="Times New Roman"/>
          <w:color w:val="000000"/>
          <w:sz w:val="24"/>
          <w:szCs w:val="24"/>
        </w:rPr>
        <w:t xml:space="preserve">This chapter therefore aims to plug the gap in the existing evidence base with respect to teachers’ hours of work. We then build on this work in the chapter that follows, where we consider how teachers’ working hours are linked to their wellbeing and mental health. </w:t>
      </w:r>
    </w:p>
    <w:p w14:paraId="5B0AD357" w14:textId="77777777" w:rsidR="00803256" w:rsidRPr="00803256" w:rsidRDefault="00803256" w:rsidP="00803256">
      <w:pPr>
        <w:pStyle w:val="Heading1"/>
        <w:rPr>
          <w:rFonts w:ascii="Times New Roman" w:hAnsi="Times New Roman" w:cs="Times New Roman"/>
          <w:b/>
          <w:color w:val="000000" w:themeColor="text1"/>
          <w:sz w:val="24"/>
          <w:szCs w:val="24"/>
          <w:u w:val="single"/>
        </w:rPr>
      </w:pPr>
      <w:bookmarkStart w:id="18" w:name="_Toc67406011"/>
      <w:r w:rsidRPr="00803256">
        <w:rPr>
          <w:rFonts w:ascii="Times New Roman" w:hAnsi="Times New Roman" w:cs="Times New Roman"/>
          <w:b/>
          <w:color w:val="000000" w:themeColor="text1"/>
          <w:sz w:val="24"/>
          <w:szCs w:val="24"/>
        </w:rPr>
        <w:lastRenderedPageBreak/>
        <w:t>9.2 Data</w:t>
      </w:r>
      <w:bookmarkEnd w:id="18"/>
    </w:p>
    <w:p w14:paraId="495A8786" w14:textId="77777777" w:rsidR="00803256" w:rsidRPr="00803256" w:rsidRDefault="00803256" w:rsidP="00803256">
      <w:pPr>
        <w:pStyle w:val="Heading2"/>
        <w:spacing w:line="360" w:lineRule="auto"/>
        <w:jc w:val="both"/>
        <w:rPr>
          <w:rFonts w:ascii="Times New Roman" w:hAnsi="Times New Roman" w:cs="Times New Roman"/>
          <w:color w:val="000000" w:themeColor="text1"/>
          <w:sz w:val="24"/>
          <w:szCs w:val="24"/>
        </w:rPr>
      </w:pPr>
      <w:bookmarkStart w:id="19" w:name="_Toc67406012"/>
      <w:r w:rsidRPr="00803256">
        <w:rPr>
          <w:rFonts w:ascii="Times New Roman" w:hAnsi="Times New Roman" w:cs="Times New Roman"/>
          <w:color w:val="000000" w:themeColor="text1"/>
          <w:sz w:val="24"/>
          <w:szCs w:val="24"/>
        </w:rPr>
        <w:t>This chapter draws upon four data sources. The first is the TALIS data from 2013 (which covers Key Stage 3 teachers only) and 2018 (which covers Key Stage 1/2 and Key Stage 3 teachers). This is an international survey, allowing us to compare working hours of teachers in England to other countries. In both years, the survey was conducted in England between March and May. As part of the TALIS study, teachers were asked to report their total weekly working hours for the most recent complete school week, and also to provide a breakdown between various different tasks (e.g. planning/preparation, marking, administration, teaching).</w:t>
      </w:r>
      <w:bookmarkEnd w:id="19"/>
    </w:p>
    <w:p w14:paraId="310DEE21" w14:textId="5EDEF263" w:rsidR="00803256" w:rsidRPr="00803256" w:rsidRDefault="00803256" w:rsidP="00803256">
      <w:pPr>
        <w:spacing w:line="360" w:lineRule="auto"/>
        <w:jc w:val="both"/>
        <w:rPr>
          <w:rFonts w:ascii="Times New Roman" w:hAnsi="Times New Roman" w:cs="Times New Roman"/>
          <w:color w:val="000000" w:themeColor="text1"/>
          <w:sz w:val="24"/>
          <w:szCs w:val="24"/>
        </w:rPr>
      </w:pPr>
      <w:r w:rsidRPr="00803256">
        <w:rPr>
          <w:rFonts w:ascii="Times New Roman" w:hAnsi="Times New Roman" w:cs="Times New Roman"/>
          <w:color w:val="000000" w:themeColor="text1"/>
          <w:sz w:val="24"/>
          <w:szCs w:val="24"/>
        </w:rPr>
        <w:t xml:space="preserve">The second data source is the Labour Force Survey (LFS). This survey asks respondents to provide an estimate of their total working hours (including any paid or unpaid overtime) during a recent </w:t>
      </w:r>
      <w:r w:rsidR="005C738E">
        <w:rPr>
          <w:rFonts w:ascii="Times New Roman" w:hAnsi="Times New Roman" w:cs="Times New Roman"/>
          <w:color w:val="000000" w:themeColor="text1"/>
          <w:sz w:val="24"/>
          <w:szCs w:val="24"/>
        </w:rPr>
        <w:t>‘</w:t>
      </w:r>
      <w:r w:rsidRPr="00803256">
        <w:rPr>
          <w:rFonts w:ascii="Times New Roman" w:hAnsi="Times New Roman" w:cs="Times New Roman"/>
          <w:color w:val="000000" w:themeColor="text1"/>
          <w:sz w:val="24"/>
          <w:szCs w:val="24"/>
        </w:rPr>
        <w:t>reference week</w:t>
      </w:r>
      <w:r w:rsidR="005C738E">
        <w:rPr>
          <w:rFonts w:ascii="Times New Roman" w:hAnsi="Times New Roman" w:cs="Times New Roman"/>
          <w:color w:val="000000" w:themeColor="text1"/>
          <w:sz w:val="24"/>
          <w:szCs w:val="24"/>
        </w:rPr>
        <w:t>’</w:t>
      </w:r>
      <w:r w:rsidRPr="00803256">
        <w:rPr>
          <w:rFonts w:ascii="Times New Roman" w:hAnsi="Times New Roman" w:cs="Times New Roman"/>
          <w:color w:val="000000" w:themeColor="text1"/>
          <w:sz w:val="24"/>
          <w:szCs w:val="24"/>
        </w:rPr>
        <w:t xml:space="preserve"> (this is typically the week before the LFS survey is conducted). Full details about how total working hours have been derived using the LFS is available in Allen et al (2019). The LFS also includes a number of auxiliary questions of interest, including whether respondents ever work in the evenings or at weekends.</w:t>
      </w:r>
      <w:r w:rsidR="00857B78">
        <w:rPr>
          <w:rFonts w:ascii="Times New Roman" w:hAnsi="Times New Roman" w:cs="Times New Roman"/>
          <w:color w:val="000000" w:themeColor="text1"/>
          <w:sz w:val="24"/>
          <w:szCs w:val="24"/>
        </w:rPr>
        <w:t xml:space="preserve"> Teachers are defined in the LFS as those working as either primary or secondary teachers or as </w:t>
      </w:r>
      <w:proofErr w:type="spellStart"/>
      <w:r w:rsidR="00857B78">
        <w:rPr>
          <w:rFonts w:ascii="Times New Roman" w:hAnsi="Times New Roman" w:cs="Times New Roman"/>
          <w:color w:val="000000" w:themeColor="text1"/>
          <w:sz w:val="24"/>
          <w:szCs w:val="24"/>
        </w:rPr>
        <w:t>headteachers</w:t>
      </w:r>
      <w:proofErr w:type="spellEnd"/>
      <w:r w:rsidR="00857B78">
        <w:rPr>
          <w:rFonts w:ascii="Times New Roman" w:hAnsi="Times New Roman" w:cs="Times New Roman"/>
          <w:color w:val="000000" w:themeColor="text1"/>
          <w:sz w:val="24"/>
          <w:szCs w:val="24"/>
        </w:rPr>
        <w:t xml:space="preserve"> (unless stated otherwise).</w:t>
      </w:r>
    </w:p>
    <w:p w14:paraId="7E7548A4" w14:textId="3870B164" w:rsidR="00803256" w:rsidRPr="00803256" w:rsidRDefault="00803256" w:rsidP="00803256">
      <w:pPr>
        <w:spacing w:line="360" w:lineRule="auto"/>
        <w:jc w:val="both"/>
        <w:rPr>
          <w:rFonts w:ascii="Times New Roman" w:hAnsi="Times New Roman" w:cs="Times New Roman"/>
          <w:color w:val="000000" w:themeColor="text1"/>
          <w:sz w:val="24"/>
          <w:szCs w:val="24"/>
        </w:rPr>
      </w:pPr>
      <w:r w:rsidRPr="00803256">
        <w:rPr>
          <w:rFonts w:ascii="Times New Roman" w:hAnsi="Times New Roman" w:cs="Times New Roman"/>
          <w:color w:val="000000" w:themeColor="text1"/>
          <w:sz w:val="24"/>
          <w:szCs w:val="24"/>
        </w:rPr>
        <w:t>Third we draw upon the UK Time</w:t>
      </w:r>
      <w:r w:rsidR="00027270">
        <w:rPr>
          <w:rFonts w:ascii="Times New Roman" w:hAnsi="Times New Roman" w:cs="Times New Roman"/>
          <w:color w:val="000000" w:themeColor="text1"/>
          <w:sz w:val="24"/>
          <w:szCs w:val="24"/>
        </w:rPr>
        <w:t xml:space="preserve"> </w:t>
      </w:r>
      <w:r w:rsidRPr="00803256">
        <w:rPr>
          <w:rFonts w:ascii="Times New Roman" w:hAnsi="Times New Roman" w:cs="Times New Roman"/>
          <w:color w:val="000000" w:themeColor="text1"/>
          <w:sz w:val="24"/>
          <w:szCs w:val="24"/>
        </w:rPr>
        <w:t>Use Surveys, conducted in 2000/</w:t>
      </w:r>
      <w:r w:rsidR="000F68F7">
        <w:rPr>
          <w:rFonts w:ascii="Times New Roman" w:hAnsi="Times New Roman" w:cs="Times New Roman"/>
          <w:color w:val="000000" w:themeColor="text1"/>
          <w:sz w:val="24"/>
          <w:szCs w:val="24"/>
        </w:rPr>
        <w:t>20</w:t>
      </w:r>
      <w:r w:rsidRPr="00803256">
        <w:rPr>
          <w:rFonts w:ascii="Times New Roman" w:hAnsi="Times New Roman" w:cs="Times New Roman"/>
          <w:color w:val="000000" w:themeColor="text1"/>
          <w:sz w:val="24"/>
          <w:szCs w:val="24"/>
        </w:rPr>
        <w:t>01 and 2014/</w:t>
      </w:r>
      <w:r w:rsidR="000F68F7">
        <w:rPr>
          <w:rFonts w:ascii="Times New Roman" w:hAnsi="Times New Roman" w:cs="Times New Roman"/>
          <w:color w:val="000000" w:themeColor="text1"/>
          <w:sz w:val="24"/>
          <w:szCs w:val="24"/>
        </w:rPr>
        <w:t>20</w:t>
      </w:r>
      <w:r w:rsidRPr="00803256">
        <w:rPr>
          <w:rFonts w:ascii="Times New Roman" w:hAnsi="Times New Roman" w:cs="Times New Roman"/>
          <w:color w:val="000000" w:themeColor="text1"/>
          <w:sz w:val="24"/>
          <w:szCs w:val="24"/>
        </w:rPr>
        <w:t xml:space="preserve">15, with respondents required to complete time-diaries on two different days within a given week (one weekday and one day at the weekend). These diaries divided the day into a series of </w:t>
      </w:r>
      <w:r w:rsidR="00560C5A">
        <w:rPr>
          <w:rFonts w:ascii="Times New Roman" w:hAnsi="Times New Roman" w:cs="Times New Roman"/>
          <w:color w:val="000000" w:themeColor="text1"/>
          <w:sz w:val="24"/>
          <w:szCs w:val="24"/>
        </w:rPr>
        <w:t>ten</w:t>
      </w:r>
      <w:r w:rsidRPr="00803256">
        <w:rPr>
          <w:rFonts w:ascii="Times New Roman" w:hAnsi="Times New Roman" w:cs="Times New Roman"/>
          <w:color w:val="000000" w:themeColor="text1"/>
          <w:sz w:val="24"/>
          <w:szCs w:val="24"/>
        </w:rPr>
        <w:t>-minute slots. Within each slot respondents were asked what their main activity was (e.g. eating breakfast) and if they were doing anything else at the same time (e.g. checking work emails). This can in turn be used to identify, for teachers, when exactly during the day that they work (and for how long in total). The key limitation with the UK TUDs for our purpose is the small sample size; there were only around 90 full-time teachers with information available in 2000/2001, with a similar number in 2014/</w:t>
      </w:r>
      <w:r w:rsidR="00BB32F0">
        <w:rPr>
          <w:rFonts w:ascii="Times New Roman" w:hAnsi="Times New Roman" w:cs="Times New Roman"/>
          <w:color w:val="000000" w:themeColor="text1"/>
          <w:sz w:val="24"/>
          <w:szCs w:val="24"/>
        </w:rPr>
        <w:t>20</w:t>
      </w:r>
      <w:r w:rsidRPr="00803256">
        <w:rPr>
          <w:rFonts w:ascii="Times New Roman" w:hAnsi="Times New Roman" w:cs="Times New Roman"/>
          <w:color w:val="000000" w:themeColor="text1"/>
          <w:sz w:val="24"/>
          <w:szCs w:val="24"/>
        </w:rPr>
        <w:t xml:space="preserve">15. </w:t>
      </w:r>
      <w:r w:rsidR="00857B78">
        <w:rPr>
          <w:rFonts w:ascii="Times New Roman" w:hAnsi="Times New Roman" w:cs="Times New Roman"/>
          <w:color w:val="000000" w:themeColor="text1"/>
          <w:sz w:val="24"/>
          <w:szCs w:val="24"/>
        </w:rPr>
        <w:t xml:space="preserve"> Teachers include all primary, secondary and </w:t>
      </w:r>
      <w:proofErr w:type="spellStart"/>
      <w:r w:rsidR="00857B78">
        <w:rPr>
          <w:rFonts w:ascii="Times New Roman" w:hAnsi="Times New Roman" w:cs="Times New Roman"/>
          <w:color w:val="000000" w:themeColor="text1"/>
          <w:sz w:val="24"/>
          <w:szCs w:val="24"/>
        </w:rPr>
        <w:t>headteachers</w:t>
      </w:r>
      <w:proofErr w:type="spellEnd"/>
      <w:r w:rsidR="00857B78">
        <w:rPr>
          <w:rFonts w:ascii="Times New Roman" w:hAnsi="Times New Roman" w:cs="Times New Roman"/>
          <w:color w:val="000000" w:themeColor="text1"/>
          <w:sz w:val="24"/>
          <w:szCs w:val="24"/>
        </w:rPr>
        <w:t xml:space="preserve"> in this resource.</w:t>
      </w:r>
    </w:p>
    <w:p w14:paraId="78D77587" w14:textId="5652178D" w:rsidR="00803256" w:rsidRPr="00857B78" w:rsidRDefault="00803256" w:rsidP="00D64480">
      <w:pPr>
        <w:spacing w:line="360" w:lineRule="auto"/>
        <w:jc w:val="both"/>
        <w:rPr>
          <w:rFonts w:ascii="Times New Roman" w:hAnsi="Times New Roman" w:cs="Times New Roman"/>
          <w:color w:val="000000" w:themeColor="text1"/>
          <w:sz w:val="24"/>
          <w:szCs w:val="24"/>
        </w:rPr>
      </w:pPr>
      <w:r w:rsidRPr="00803256">
        <w:rPr>
          <w:rFonts w:ascii="Times New Roman" w:hAnsi="Times New Roman" w:cs="Times New Roman"/>
          <w:color w:val="000000" w:themeColor="text1"/>
          <w:sz w:val="24"/>
          <w:szCs w:val="24"/>
        </w:rPr>
        <w:t>Finally, information is also drawn from the mobile</w:t>
      </w:r>
      <w:r w:rsidR="00560C5A">
        <w:rPr>
          <w:rFonts w:ascii="Times New Roman" w:hAnsi="Times New Roman" w:cs="Times New Roman"/>
          <w:color w:val="000000" w:themeColor="text1"/>
          <w:sz w:val="24"/>
          <w:szCs w:val="24"/>
        </w:rPr>
        <w:t>-</w:t>
      </w:r>
      <w:r w:rsidRPr="00803256">
        <w:rPr>
          <w:rFonts w:ascii="Times New Roman" w:hAnsi="Times New Roman" w:cs="Times New Roman"/>
          <w:color w:val="000000" w:themeColor="text1"/>
          <w:sz w:val="24"/>
          <w:szCs w:val="24"/>
        </w:rPr>
        <w:t xml:space="preserve">phone-based survey app Teacher </w:t>
      </w:r>
      <w:proofErr w:type="spellStart"/>
      <w:r w:rsidRPr="00803256">
        <w:rPr>
          <w:rFonts w:ascii="Times New Roman" w:hAnsi="Times New Roman" w:cs="Times New Roman"/>
          <w:color w:val="000000" w:themeColor="text1"/>
          <w:sz w:val="24"/>
          <w:szCs w:val="24"/>
        </w:rPr>
        <w:t>Tapp</w:t>
      </w:r>
      <w:proofErr w:type="spellEnd"/>
      <w:r w:rsidRPr="00803256">
        <w:rPr>
          <w:rFonts w:ascii="Times New Roman" w:hAnsi="Times New Roman" w:cs="Times New Roman"/>
          <w:color w:val="000000" w:themeColor="text1"/>
          <w:sz w:val="24"/>
          <w:szCs w:val="24"/>
        </w:rPr>
        <w:t>.  In one week in November 2018, panellists</w:t>
      </w:r>
      <w:r w:rsidR="00857B78">
        <w:rPr>
          <w:rFonts w:ascii="Times New Roman" w:hAnsi="Times New Roman" w:cs="Times New Roman"/>
          <w:color w:val="000000" w:themeColor="text1"/>
          <w:sz w:val="24"/>
          <w:szCs w:val="24"/>
        </w:rPr>
        <w:t xml:space="preserve"> (a self-selecting group of primary, secondary and </w:t>
      </w:r>
      <w:proofErr w:type="spellStart"/>
      <w:r w:rsidR="00857B78">
        <w:rPr>
          <w:rFonts w:ascii="Times New Roman" w:hAnsi="Times New Roman" w:cs="Times New Roman"/>
          <w:color w:val="000000" w:themeColor="text1"/>
          <w:sz w:val="24"/>
          <w:szCs w:val="24"/>
        </w:rPr>
        <w:t>headteachers</w:t>
      </w:r>
      <w:proofErr w:type="spellEnd"/>
      <w:r w:rsidR="00857B78">
        <w:rPr>
          <w:rFonts w:ascii="Times New Roman" w:hAnsi="Times New Roman" w:cs="Times New Roman"/>
          <w:color w:val="000000" w:themeColor="text1"/>
          <w:sz w:val="24"/>
          <w:szCs w:val="24"/>
        </w:rPr>
        <w:t>)</w:t>
      </w:r>
      <w:r w:rsidRPr="00803256">
        <w:rPr>
          <w:rFonts w:ascii="Times New Roman" w:hAnsi="Times New Roman" w:cs="Times New Roman"/>
          <w:color w:val="000000" w:themeColor="text1"/>
          <w:sz w:val="24"/>
          <w:szCs w:val="24"/>
        </w:rPr>
        <w:t xml:space="preserve"> were asked to report their working hours for seven consecutive days. Then, at the end of the week, they were asked to report their total working hours over the previous seven days. In total, 854 Teacher </w:t>
      </w:r>
      <w:proofErr w:type="spellStart"/>
      <w:r w:rsidRPr="00803256">
        <w:rPr>
          <w:rFonts w:ascii="Times New Roman" w:hAnsi="Times New Roman" w:cs="Times New Roman"/>
          <w:color w:val="000000" w:themeColor="text1"/>
          <w:sz w:val="24"/>
          <w:szCs w:val="24"/>
        </w:rPr>
        <w:t>Tapp</w:t>
      </w:r>
      <w:proofErr w:type="spellEnd"/>
      <w:r w:rsidRPr="00803256">
        <w:rPr>
          <w:rFonts w:ascii="Times New Roman" w:hAnsi="Times New Roman" w:cs="Times New Roman"/>
          <w:color w:val="000000" w:themeColor="text1"/>
          <w:sz w:val="24"/>
          <w:szCs w:val="24"/>
        </w:rPr>
        <w:t xml:space="preserve"> users responded to all these questions. In addition, the Teacher </w:t>
      </w:r>
      <w:proofErr w:type="spellStart"/>
      <w:r w:rsidRPr="00803256">
        <w:rPr>
          <w:rFonts w:ascii="Times New Roman" w:hAnsi="Times New Roman" w:cs="Times New Roman"/>
          <w:color w:val="000000" w:themeColor="text1"/>
          <w:sz w:val="24"/>
          <w:szCs w:val="24"/>
        </w:rPr>
        <w:t>Tapp</w:t>
      </w:r>
      <w:proofErr w:type="spellEnd"/>
      <w:r w:rsidRPr="00803256">
        <w:rPr>
          <w:rFonts w:ascii="Times New Roman" w:hAnsi="Times New Roman" w:cs="Times New Roman"/>
          <w:color w:val="000000" w:themeColor="text1"/>
          <w:sz w:val="24"/>
          <w:szCs w:val="24"/>
        </w:rPr>
        <w:t xml:space="preserve"> data includes an array of information about very specific aspects of teachers’ jobs that most other large-scale survey data does not, such as the activities teachers w</w:t>
      </w:r>
      <w:r w:rsidR="00857B78">
        <w:rPr>
          <w:rFonts w:ascii="Times New Roman" w:hAnsi="Times New Roman" w:cs="Times New Roman"/>
          <w:color w:val="000000" w:themeColor="text1"/>
          <w:sz w:val="24"/>
          <w:szCs w:val="24"/>
        </w:rPr>
        <w:t xml:space="preserve">ork on during school holidays. </w:t>
      </w:r>
    </w:p>
    <w:p w14:paraId="29E44F93" w14:textId="265E6E57" w:rsidR="00803256" w:rsidRPr="00803256" w:rsidRDefault="00803256" w:rsidP="00803256">
      <w:pPr>
        <w:pStyle w:val="Heading2"/>
        <w:spacing w:line="360" w:lineRule="auto"/>
        <w:rPr>
          <w:rFonts w:ascii="Times New Roman" w:hAnsi="Times New Roman" w:cs="Times New Roman"/>
          <w:b/>
          <w:color w:val="000000" w:themeColor="text1"/>
          <w:sz w:val="24"/>
          <w:szCs w:val="24"/>
        </w:rPr>
      </w:pPr>
      <w:bookmarkStart w:id="20" w:name="_Toc67406013"/>
      <w:r w:rsidRPr="00803256">
        <w:rPr>
          <w:rFonts w:ascii="Times New Roman" w:hAnsi="Times New Roman" w:cs="Times New Roman"/>
          <w:b/>
          <w:color w:val="000000" w:themeColor="text1"/>
          <w:sz w:val="24"/>
          <w:szCs w:val="24"/>
        </w:rPr>
        <w:lastRenderedPageBreak/>
        <w:t>9.3 Trends in total working hours of teachers since 1992</w:t>
      </w:r>
      <w:bookmarkEnd w:id="20"/>
    </w:p>
    <w:p w14:paraId="36CD8123" w14:textId="58576C9A" w:rsidR="00803256" w:rsidRPr="00803256" w:rsidRDefault="00803256" w:rsidP="00803256">
      <w:pPr>
        <w:spacing w:line="360" w:lineRule="auto"/>
        <w:jc w:val="both"/>
        <w:rPr>
          <w:rFonts w:ascii="Times New Roman" w:hAnsi="Times New Roman" w:cs="Times New Roman"/>
          <w:color w:val="000000" w:themeColor="text1"/>
          <w:sz w:val="24"/>
          <w:szCs w:val="24"/>
        </w:rPr>
      </w:pPr>
      <w:r w:rsidRPr="00803256">
        <w:rPr>
          <w:rFonts w:ascii="Times New Roman" w:hAnsi="Times New Roman" w:cs="Times New Roman"/>
          <w:color w:val="000000" w:themeColor="text1"/>
          <w:sz w:val="24"/>
          <w:szCs w:val="24"/>
        </w:rPr>
        <w:t>Figure 9.1 begins by presenting long-run trends in full-time teachers’ average working hours (1992 – 2018). Overall, average working hours of secondary teachers has remained broadly stable over this period. Average working hours typically sits between 46 and 48 hours per week; it only occasionally dips above or below this level. The most notable peak in the average working hours of secondary teachers occurred in 2001, when it reached 49 hours per week. The trough, meanwhile, occurred in 2006 and 2010 when the average was just over 46 hours per week. Nevertheless, the secondary school average has generally remained quite stable (typically within a two-to-three-hour range) over this 25-year period, with little to suggest that the working hours of secondary teachers at the time of writing are outside of their historical norm.</w:t>
      </w:r>
    </w:p>
    <w:p w14:paraId="04DFE12D" w14:textId="25EE5A81" w:rsidR="00803256" w:rsidRPr="00803256" w:rsidRDefault="00803256" w:rsidP="00803256">
      <w:pPr>
        <w:spacing w:after="0" w:line="240" w:lineRule="auto"/>
        <w:jc w:val="center"/>
        <w:rPr>
          <w:rFonts w:ascii="Times New Roman" w:hAnsi="Times New Roman"/>
          <w:b/>
          <w:sz w:val="24"/>
          <w:szCs w:val="24"/>
        </w:rPr>
      </w:pPr>
      <w:r w:rsidRPr="00803256">
        <w:rPr>
          <w:rFonts w:ascii="Times New Roman" w:hAnsi="Times New Roman"/>
          <w:b/>
          <w:sz w:val="24"/>
          <w:szCs w:val="24"/>
        </w:rPr>
        <w:t>Figure 9.1 Trends in the average working hours of teachers between 1992 and 2018</w:t>
      </w:r>
    </w:p>
    <w:p w14:paraId="1BCE3D70" w14:textId="77777777" w:rsidR="00803256" w:rsidRPr="00A423E8" w:rsidRDefault="00803256" w:rsidP="00803256">
      <w:pPr>
        <w:spacing w:after="0" w:line="240" w:lineRule="auto"/>
        <w:jc w:val="center"/>
        <w:rPr>
          <w:rFonts w:ascii="Times New Roman" w:hAnsi="Times New Roman"/>
          <w:b/>
          <w:szCs w:val="24"/>
        </w:rPr>
      </w:pPr>
      <w:r w:rsidRPr="00A423E8">
        <w:rPr>
          <w:noProof/>
          <w:lang w:eastAsia="en-GB"/>
        </w:rPr>
        <w:drawing>
          <wp:inline distT="0" distB="0" distL="0" distR="0" wp14:anchorId="1E4933B8" wp14:editId="7951D722">
            <wp:extent cx="5731510" cy="3496945"/>
            <wp:effectExtent l="0" t="0" r="2540" b="8255"/>
            <wp:docPr id="40" name="Chart 40">
              <a:extLst xmlns:a="http://schemas.openxmlformats.org/drawingml/2006/main">
                <a:ext uri="{FF2B5EF4-FFF2-40B4-BE49-F238E27FC236}">
                  <a16:creationId xmlns:a16="http://schemas.microsoft.com/office/drawing/2014/main" id="{68F4836B-87D4-442F-9085-4ADBAFB09D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7158C038" w14:textId="4412D6D0" w:rsidR="00803256" w:rsidRPr="00A423E8" w:rsidRDefault="00803256" w:rsidP="008B4E20">
      <w:pPr>
        <w:spacing w:after="240" w:line="240" w:lineRule="auto"/>
        <w:jc w:val="both"/>
        <w:rPr>
          <w:rFonts w:ascii="Times New Roman" w:hAnsi="Times New Roman"/>
          <w:b/>
          <w:color w:val="000000"/>
          <w:szCs w:val="24"/>
        </w:rPr>
      </w:pPr>
      <w:r w:rsidRPr="00A423E8">
        <w:rPr>
          <w:rFonts w:ascii="Times New Roman" w:hAnsi="Times New Roman"/>
          <w:sz w:val="20"/>
          <w:szCs w:val="20"/>
        </w:rPr>
        <w:t>Note</w:t>
      </w:r>
      <w:r w:rsidR="004D1DD9">
        <w:rPr>
          <w:rFonts w:ascii="Times New Roman" w:hAnsi="Times New Roman"/>
          <w:sz w:val="20"/>
          <w:szCs w:val="20"/>
        </w:rPr>
        <w:t>s</w:t>
      </w:r>
      <w:r w:rsidRPr="00A423E8">
        <w:rPr>
          <w:rFonts w:ascii="Times New Roman" w:hAnsi="Times New Roman"/>
          <w:sz w:val="20"/>
          <w:szCs w:val="20"/>
        </w:rPr>
        <w:t xml:space="preserve">: Graph presents the estimated average total working hours of full-time teachers in England (LFS variable TOTHRS). A break in the series has been indicated in 2010 with a dashed line. Prior to 2010, </w:t>
      </w:r>
      <w:proofErr w:type="spellStart"/>
      <w:r w:rsidRPr="00A423E8">
        <w:rPr>
          <w:rFonts w:ascii="Times New Roman" w:hAnsi="Times New Roman"/>
          <w:sz w:val="20"/>
          <w:szCs w:val="20"/>
        </w:rPr>
        <w:t>headteachers</w:t>
      </w:r>
      <w:proofErr w:type="spellEnd"/>
      <w:r w:rsidRPr="00A423E8">
        <w:rPr>
          <w:rFonts w:ascii="Times New Roman" w:hAnsi="Times New Roman"/>
          <w:sz w:val="20"/>
          <w:szCs w:val="20"/>
        </w:rPr>
        <w:t xml:space="preserve"> were included in the definition of primary/secondary teachers within the SOC codes. This changed in 2010, with </w:t>
      </w:r>
      <w:proofErr w:type="spellStart"/>
      <w:r w:rsidRPr="00A423E8">
        <w:rPr>
          <w:rFonts w:ascii="Times New Roman" w:hAnsi="Times New Roman"/>
          <w:sz w:val="20"/>
          <w:szCs w:val="20"/>
        </w:rPr>
        <w:t>headteachers</w:t>
      </w:r>
      <w:proofErr w:type="spellEnd"/>
      <w:r w:rsidRPr="00A423E8">
        <w:rPr>
          <w:rFonts w:ascii="Times New Roman" w:hAnsi="Times New Roman"/>
          <w:sz w:val="20"/>
          <w:szCs w:val="20"/>
        </w:rPr>
        <w:t xml:space="preserve"> separated into a unique category. Source = Quarterly Labour Force Survey.</w:t>
      </w:r>
    </w:p>
    <w:p w14:paraId="74D31542" w14:textId="77777777" w:rsidR="00803256" w:rsidRPr="00803256" w:rsidRDefault="00803256" w:rsidP="00803256">
      <w:pPr>
        <w:spacing w:line="360" w:lineRule="auto"/>
        <w:jc w:val="both"/>
        <w:rPr>
          <w:rFonts w:ascii="Times New Roman" w:hAnsi="Times New Roman"/>
          <w:color w:val="000000"/>
          <w:sz w:val="24"/>
          <w:szCs w:val="24"/>
        </w:rPr>
      </w:pPr>
      <w:r w:rsidRPr="00803256">
        <w:rPr>
          <w:rFonts w:ascii="Times New Roman" w:hAnsi="Times New Roman"/>
          <w:color w:val="000000"/>
          <w:sz w:val="24"/>
          <w:szCs w:val="24"/>
        </w:rPr>
        <w:t xml:space="preserve">A broadly similar result holds for primary teachers, although perhaps with slightly more pronounced peaks and troughs. The longest reported average working hours, of 50 hours per week, occurred around 2002, although the period between 2013 and 2017 was just shy of this level (around 49 hours per week). In contrast, the lowest point(s) for primary teachers’ average hours was in 1992 (46 hours per week) and around 2010 (approximately 47 hours per week). </w:t>
      </w:r>
      <w:r w:rsidRPr="00803256">
        <w:rPr>
          <w:rFonts w:ascii="Times New Roman" w:hAnsi="Times New Roman"/>
          <w:color w:val="000000"/>
          <w:sz w:val="24"/>
          <w:szCs w:val="24"/>
        </w:rPr>
        <w:lastRenderedPageBreak/>
        <w:t>However, it is the broad stability of the reported average hours that really stands out. Over the past 25 years, full-time primary teachers have worked (on average) somewhere between 47 and 49 hours per week, without any substantial change to this figure.</w:t>
      </w:r>
    </w:p>
    <w:p w14:paraId="60E37AFD" w14:textId="2BF660E3" w:rsidR="00803256" w:rsidRPr="00803256" w:rsidRDefault="00803256" w:rsidP="00803256">
      <w:pPr>
        <w:spacing w:line="360" w:lineRule="auto"/>
        <w:jc w:val="both"/>
        <w:rPr>
          <w:rFonts w:ascii="Times New Roman" w:hAnsi="Times New Roman"/>
          <w:color w:val="000000"/>
          <w:sz w:val="24"/>
          <w:szCs w:val="24"/>
        </w:rPr>
      </w:pPr>
      <w:r w:rsidRPr="00803256">
        <w:rPr>
          <w:rFonts w:ascii="Times New Roman" w:hAnsi="Times New Roman"/>
          <w:color w:val="000000"/>
          <w:sz w:val="24"/>
          <w:szCs w:val="24"/>
        </w:rPr>
        <w:t>Table 9.1 provides some additional context to this result, drawing on the much smaller scale TUD data from 2000/</w:t>
      </w:r>
      <w:r w:rsidR="00D9604F">
        <w:rPr>
          <w:rFonts w:ascii="Times New Roman" w:hAnsi="Times New Roman"/>
          <w:color w:val="000000"/>
          <w:sz w:val="24"/>
          <w:szCs w:val="24"/>
        </w:rPr>
        <w:t>20</w:t>
      </w:r>
      <w:r w:rsidRPr="00803256">
        <w:rPr>
          <w:rFonts w:ascii="Times New Roman" w:hAnsi="Times New Roman"/>
          <w:color w:val="000000"/>
          <w:sz w:val="24"/>
          <w:szCs w:val="24"/>
        </w:rPr>
        <w:t>01 and 2014/</w:t>
      </w:r>
      <w:r w:rsidR="00D9604F">
        <w:rPr>
          <w:rFonts w:ascii="Times New Roman" w:hAnsi="Times New Roman"/>
          <w:color w:val="000000"/>
          <w:sz w:val="24"/>
          <w:szCs w:val="24"/>
        </w:rPr>
        <w:t>20</w:t>
      </w:r>
      <w:r w:rsidRPr="00803256">
        <w:rPr>
          <w:rFonts w:ascii="Times New Roman" w:hAnsi="Times New Roman"/>
          <w:color w:val="000000"/>
          <w:sz w:val="24"/>
          <w:szCs w:val="24"/>
        </w:rPr>
        <w:t>15. Panel (a) refers to daily hours spent at work on a typical weekday and at the weekend. This again suggests that there has been little change in average working hours over this period. The point estimate for the average (mean) during the week has decreased slightly (9.7 hours per day in 2000/</w:t>
      </w:r>
      <w:r w:rsidR="00D9604F">
        <w:rPr>
          <w:rFonts w:ascii="Times New Roman" w:hAnsi="Times New Roman"/>
          <w:color w:val="000000"/>
          <w:sz w:val="24"/>
          <w:szCs w:val="24"/>
        </w:rPr>
        <w:t>20</w:t>
      </w:r>
      <w:r w:rsidRPr="00803256">
        <w:rPr>
          <w:rFonts w:ascii="Times New Roman" w:hAnsi="Times New Roman"/>
          <w:color w:val="000000"/>
          <w:sz w:val="24"/>
          <w:szCs w:val="24"/>
        </w:rPr>
        <w:t>01 to 9.3 hours in 2014/</w:t>
      </w:r>
      <w:r w:rsidR="00D9604F">
        <w:rPr>
          <w:rFonts w:ascii="Times New Roman" w:hAnsi="Times New Roman"/>
          <w:color w:val="000000"/>
          <w:sz w:val="24"/>
          <w:szCs w:val="24"/>
        </w:rPr>
        <w:t>20</w:t>
      </w:r>
      <w:r w:rsidRPr="00803256">
        <w:rPr>
          <w:rFonts w:ascii="Times New Roman" w:hAnsi="Times New Roman"/>
          <w:color w:val="000000"/>
          <w:sz w:val="24"/>
          <w:szCs w:val="24"/>
        </w:rPr>
        <w:t xml:space="preserve">15) and increased slightly at weekends (0.9 to 1.7 hours) but, given the small sample sizes, one should not read too much into these relatively minor differences. </w:t>
      </w:r>
    </w:p>
    <w:p w14:paraId="11F2190D" w14:textId="068944A3" w:rsidR="00803256" w:rsidRDefault="00803256" w:rsidP="00803256">
      <w:pPr>
        <w:spacing w:after="0" w:line="240" w:lineRule="auto"/>
        <w:jc w:val="center"/>
        <w:rPr>
          <w:rFonts w:ascii="Times New Roman" w:hAnsi="Times New Roman"/>
          <w:b/>
          <w:sz w:val="24"/>
          <w:szCs w:val="24"/>
        </w:rPr>
      </w:pPr>
      <w:r w:rsidRPr="00803256">
        <w:rPr>
          <w:rFonts w:ascii="Times New Roman" w:hAnsi="Times New Roman"/>
          <w:b/>
          <w:sz w:val="24"/>
          <w:szCs w:val="24"/>
        </w:rPr>
        <w:t>Table 9.1 The working hours of full-time teachers on a typical day. Evidence from the UK Time</w:t>
      </w:r>
      <w:r w:rsidR="00735E03">
        <w:rPr>
          <w:rFonts w:ascii="Times New Roman" w:hAnsi="Times New Roman"/>
          <w:b/>
          <w:sz w:val="24"/>
          <w:szCs w:val="24"/>
        </w:rPr>
        <w:t xml:space="preserve"> </w:t>
      </w:r>
      <w:r w:rsidRPr="00803256">
        <w:rPr>
          <w:rFonts w:ascii="Times New Roman" w:hAnsi="Times New Roman"/>
          <w:b/>
          <w:sz w:val="24"/>
          <w:szCs w:val="24"/>
        </w:rPr>
        <w:t>Use Diary Survey</w:t>
      </w:r>
    </w:p>
    <w:p w14:paraId="2A90327A" w14:textId="77777777" w:rsidR="00803256" w:rsidRPr="00803256" w:rsidRDefault="00803256" w:rsidP="00803256">
      <w:pPr>
        <w:spacing w:after="0" w:line="240" w:lineRule="auto"/>
        <w:jc w:val="center"/>
        <w:rPr>
          <w:rFonts w:ascii="Times New Roman" w:hAnsi="Times New Roman"/>
          <w:b/>
          <w:sz w:val="24"/>
          <w:szCs w:val="24"/>
        </w:rPr>
      </w:pPr>
    </w:p>
    <w:p w14:paraId="0FB7B2BC" w14:textId="77777777" w:rsidR="00803256" w:rsidRPr="00A423E8" w:rsidRDefault="00803256" w:rsidP="00697230">
      <w:pPr>
        <w:pStyle w:val="ListParagraph"/>
        <w:numPr>
          <w:ilvl w:val="0"/>
          <w:numId w:val="29"/>
        </w:numPr>
        <w:spacing w:after="0" w:line="240" w:lineRule="auto"/>
        <w:jc w:val="center"/>
        <w:rPr>
          <w:rFonts w:ascii="Times New Roman" w:hAnsi="Times New Roman"/>
          <w:szCs w:val="24"/>
        </w:rPr>
      </w:pPr>
      <w:r w:rsidRPr="00A423E8">
        <w:rPr>
          <w:rFonts w:ascii="Times New Roman" w:hAnsi="Times New Roman"/>
          <w:szCs w:val="24"/>
        </w:rPr>
        <w:t>Daily hours at work</w:t>
      </w:r>
    </w:p>
    <w:tbl>
      <w:tblPr>
        <w:tblW w:w="7260" w:type="dxa"/>
        <w:jc w:val="center"/>
        <w:tblLook w:val="04A0" w:firstRow="1" w:lastRow="0" w:firstColumn="1" w:lastColumn="0" w:noHBand="0" w:noVBand="1"/>
      </w:tblPr>
      <w:tblGrid>
        <w:gridCol w:w="1560"/>
        <w:gridCol w:w="1420"/>
        <w:gridCol w:w="1420"/>
        <w:gridCol w:w="1260"/>
        <w:gridCol w:w="1600"/>
      </w:tblGrid>
      <w:tr w:rsidR="00803256" w:rsidRPr="00A423E8" w14:paraId="3C8697A3" w14:textId="77777777" w:rsidTr="005E2E61">
        <w:trPr>
          <w:trHeight w:val="315"/>
          <w:jc w:val="center"/>
        </w:trPr>
        <w:tc>
          <w:tcPr>
            <w:tcW w:w="1560" w:type="dxa"/>
            <w:tcBorders>
              <w:top w:val="single" w:sz="4" w:space="0" w:color="auto"/>
              <w:left w:val="nil"/>
              <w:bottom w:val="nil"/>
              <w:right w:val="nil"/>
            </w:tcBorders>
            <w:shd w:val="clear" w:color="auto" w:fill="DEEAF6" w:themeFill="accent5" w:themeFillTint="33"/>
            <w:noWrap/>
            <w:vAlign w:val="bottom"/>
            <w:hideMark/>
          </w:tcPr>
          <w:p w14:paraId="155093D1" w14:textId="77777777" w:rsidR="00803256" w:rsidRPr="00A423E8" w:rsidRDefault="00803256" w:rsidP="005E2E61">
            <w:pPr>
              <w:spacing w:after="0" w:line="240" w:lineRule="auto"/>
              <w:rPr>
                <w:rFonts w:ascii="Times New Roman" w:eastAsia="Times New Roman" w:hAnsi="Times New Roman"/>
                <w:szCs w:val="24"/>
                <w:lang w:eastAsia="en-GB"/>
              </w:rPr>
            </w:pPr>
          </w:p>
        </w:tc>
        <w:tc>
          <w:tcPr>
            <w:tcW w:w="2840" w:type="dxa"/>
            <w:gridSpan w:val="2"/>
            <w:tcBorders>
              <w:top w:val="single" w:sz="4" w:space="0" w:color="auto"/>
              <w:left w:val="nil"/>
              <w:bottom w:val="single" w:sz="4" w:space="0" w:color="auto"/>
              <w:right w:val="nil"/>
            </w:tcBorders>
            <w:shd w:val="clear" w:color="auto" w:fill="DEEAF6" w:themeFill="accent5" w:themeFillTint="33"/>
            <w:noWrap/>
            <w:vAlign w:val="bottom"/>
            <w:hideMark/>
          </w:tcPr>
          <w:p w14:paraId="4F437145"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Typical weekday</w:t>
            </w:r>
          </w:p>
        </w:tc>
        <w:tc>
          <w:tcPr>
            <w:tcW w:w="2860" w:type="dxa"/>
            <w:gridSpan w:val="2"/>
            <w:tcBorders>
              <w:top w:val="single" w:sz="4" w:space="0" w:color="auto"/>
              <w:left w:val="nil"/>
              <w:bottom w:val="single" w:sz="4" w:space="0" w:color="auto"/>
              <w:right w:val="nil"/>
            </w:tcBorders>
            <w:shd w:val="clear" w:color="auto" w:fill="DEEAF6" w:themeFill="accent5" w:themeFillTint="33"/>
            <w:noWrap/>
            <w:vAlign w:val="bottom"/>
            <w:hideMark/>
          </w:tcPr>
          <w:p w14:paraId="695D54AE"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Typical Saturday/Sunday</w:t>
            </w:r>
          </w:p>
        </w:tc>
      </w:tr>
      <w:tr w:rsidR="00803256" w:rsidRPr="00A423E8" w14:paraId="0353F1CE" w14:textId="77777777" w:rsidTr="005E2E61">
        <w:trPr>
          <w:trHeight w:val="315"/>
          <w:jc w:val="center"/>
        </w:trPr>
        <w:tc>
          <w:tcPr>
            <w:tcW w:w="1560" w:type="dxa"/>
            <w:tcBorders>
              <w:top w:val="single" w:sz="4" w:space="0" w:color="auto"/>
              <w:left w:val="nil"/>
              <w:bottom w:val="single" w:sz="4" w:space="0" w:color="auto"/>
              <w:right w:val="nil"/>
            </w:tcBorders>
            <w:shd w:val="clear" w:color="auto" w:fill="DEEAF6" w:themeFill="accent5" w:themeFillTint="33"/>
            <w:noWrap/>
            <w:vAlign w:val="bottom"/>
            <w:hideMark/>
          </w:tcPr>
          <w:p w14:paraId="12742ECB" w14:textId="77777777" w:rsidR="00803256" w:rsidRPr="00A423E8" w:rsidRDefault="00803256" w:rsidP="005E2E61">
            <w:pPr>
              <w:spacing w:after="0" w:line="240" w:lineRule="auto"/>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 </w:t>
            </w:r>
          </w:p>
        </w:tc>
        <w:tc>
          <w:tcPr>
            <w:tcW w:w="1420" w:type="dxa"/>
            <w:tcBorders>
              <w:top w:val="nil"/>
              <w:left w:val="nil"/>
              <w:bottom w:val="single" w:sz="4" w:space="0" w:color="auto"/>
              <w:right w:val="nil"/>
            </w:tcBorders>
            <w:shd w:val="clear" w:color="auto" w:fill="DEEAF6" w:themeFill="accent5" w:themeFillTint="33"/>
            <w:vAlign w:val="bottom"/>
            <w:hideMark/>
          </w:tcPr>
          <w:p w14:paraId="0E33EEC7"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2000/01</w:t>
            </w:r>
          </w:p>
        </w:tc>
        <w:tc>
          <w:tcPr>
            <w:tcW w:w="1420" w:type="dxa"/>
            <w:tcBorders>
              <w:top w:val="nil"/>
              <w:left w:val="nil"/>
              <w:bottom w:val="single" w:sz="4" w:space="0" w:color="auto"/>
              <w:right w:val="nil"/>
            </w:tcBorders>
            <w:shd w:val="clear" w:color="auto" w:fill="DEEAF6" w:themeFill="accent5" w:themeFillTint="33"/>
            <w:vAlign w:val="bottom"/>
            <w:hideMark/>
          </w:tcPr>
          <w:p w14:paraId="795BF147"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2014/15</w:t>
            </w:r>
          </w:p>
        </w:tc>
        <w:tc>
          <w:tcPr>
            <w:tcW w:w="1260" w:type="dxa"/>
            <w:tcBorders>
              <w:top w:val="nil"/>
              <w:left w:val="nil"/>
              <w:bottom w:val="single" w:sz="4" w:space="0" w:color="auto"/>
              <w:right w:val="nil"/>
            </w:tcBorders>
            <w:shd w:val="clear" w:color="auto" w:fill="DEEAF6" w:themeFill="accent5" w:themeFillTint="33"/>
            <w:vAlign w:val="bottom"/>
            <w:hideMark/>
          </w:tcPr>
          <w:p w14:paraId="57441858"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2000/01</w:t>
            </w:r>
          </w:p>
        </w:tc>
        <w:tc>
          <w:tcPr>
            <w:tcW w:w="1600" w:type="dxa"/>
            <w:tcBorders>
              <w:top w:val="nil"/>
              <w:left w:val="nil"/>
              <w:bottom w:val="single" w:sz="4" w:space="0" w:color="auto"/>
              <w:right w:val="nil"/>
            </w:tcBorders>
            <w:shd w:val="clear" w:color="auto" w:fill="DEEAF6" w:themeFill="accent5" w:themeFillTint="33"/>
            <w:vAlign w:val="bottom"/>
            <w:hideMark/>
          </w:tcPr>
          <w:p w14:paraId="6A66C301"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2014/15</w:t>
            </w:r>
          </w:p>
        </w:tc>
      </w:tr>
      <w:tr w:rsidR="00803256" w:rsidRPr="00A423E8" w14:paraId="7E2BF167" w14:textId="77777777" w:rsidTr="005E2E61">
        <w:trPr>
          <w:trHeight w:val="315"/>
          <w:jc w:val="center"/>
        </w:trPr>
        <w:tc>
          <w:tcPr>
            <w:tcW w:w="1560" w:type="dxa"/>
            <w:tcBorders>
              <w:top w:val="nil"/>
              <w:left w:val="nil"/>
              <w:bottom w:val="nil"/>
              <w:right w:val="nil"/>
            </w:tcBorders>
            <w:shd w:val="clear" w:color="auto" w:fill="auto"/>
            <w:noWrap/>
            <w:vAlign w:val="bottom"/>
            <w:hideMark/>
          </w:tcPr>
          <w:p w14:paraId="467029A7"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P10</w:t>
            </w:r>
          </w:p>
        </w:tc>
        <w:tc>
          <w:tcPr>
            <w:tcW w:w="1420" w:type="dxa"/>
            <w:tcBorders>
              <w:top w:val="nil"/>
              <w:left w:val="nil"/>
              <w:bottom w:val="nil"/>
              <w:right w:val="nil"/>
            </w:tcBorders>
            <w:shd w:val="clear" w:color="auto" w:fill="auto"/>
            <w:noWrap/>
            <w:vAlign w:val="bottom"/>
            <w:hideMark/>
          </w:tcPr>
          <w:p w14:paraId="57FABFE3"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7.8</w:t>
            </w:r>
          </w:p>
        </w:tc>
        <w:tc>
          <w:tcPr>
            <w:tcW w:w="1420" w:type="dxa"/>
            <w:tcBorders>
              <w:top w:val="nil"/>
              <w:left w:val="nil"/>
              <w:bottom w:val="nil"/>
              <w:right w:val="nil"/>
            </w:tcBorders>
            <w:shd w:val="clear" w:color="auto" w:fill="auto"/>
            <w:noWrap/>
            <w:vAlign w:val="bottom"/>
            <w:hideMark/>
          </w:tcPr>
          <w:p w14:paraId="49A05E9A"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7.2</w:t>
            </w:r>
          </w:p>
        </w:tc>
        <w:tc>
          <w:tcPr>
            <w:tcW w:w="1260" w:type="dxa"/>
            <w:tcBorders>
              <w:top w:val="nil"/>
              <w:left w:val="nil"/>
              <w:bottom w:val="nil"/>
              <w:right w:val="nil"/>
            </w:tcBorders>
            <w:shd w:val="clear" w:color="auto" w:fill="auto"/>
            <w:noWrap/>
            <w:vAlign w:val="bottom"/>
            <w:hideMark/>
          </w:tcPr>
          <w:p w14:paraId="285A0C71"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w:t>
            </w:r>
          </w:p>
        </w:tc>
        <w:tc>
          <w:tcPr>
            <w:tcW w:w="1600" w:type="dxa"/>
            <w:tcBorders>
              <w:top w:val="nil"/>
              <w:left w:val="nil"/>
              <w:bottom w:val="nil"/>
              <w:right w:val="nil"/>
            </w:tcBorders>
            <w:shd w:val="clear" w:color="auto" w:fill="auto"/>
            <w:noWrap/>
            <w:vAlign w:val="bottom"/>
            <w:hideMark/>
          </w:tcPr>
          <w:p w14:paraId="219C245E"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w:t>
            </w:r>
          </w:p>
        </w:tc>
      </w:tr>
      <w:tr w:rsidR="00803256" w:rsidRPr="00A423E8" w14:paraId="32883EA1" w14:textId="77777777" w:rsidTr="005E2E61">
        <w:trPr>
          <w:trHeight w:val="315"/>
          <w:jc w:val="center"/>
        </w:trPr>
        <w:tc>
          <w:tcPr>
            <w:tcW w:w="1560" w:type="dxa"/>
            <w:tcBorders>
              <w:top w:val="nil"/>
              <w:left w:val="nil"/>
              <w:bottom w:val="nil"/>
              <w:right w:val="nil"/>
            </w:tcBorders>
            <w:shd w:val="clear" w:color="auto" w:fill="auto"/>
            <w:noWrap/>
            <w:vAlign w:val="bottom"/>
            <w:hideMark/>
          </w:tcPr>
          <w:p w14:paraId="76D8F2A7"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P25</w:t>
            </w:r>
          </w:p>
        </w:tc>
        <w:tc>
          <w:tcPr>
            <w:tcW w:w="1420" w:type="dxa"/>
            <w:tcBorders>
              <w:top w:val="nil"/>
              <w:left w:val="nil"/>
              <w:bottom w:val="nil"/>
              <w:right w:val="nil"/>
            </w:tcBorders>
            <w:shd w:val="clear" w:color="auto" w:fill="auto"/>
            <w:noWrap/>
            <w:vAlign w:val="bottom"/>
            <w:hideMark/>
          </w:tcPr>
          <w:p w14:paraId="7BE1E2C8"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8.5</w:t>
            </w:r>
          </w:p>
        </w:tc>
        <w:tc>
          <w:tcPr>
            <w:tcW w:w="1420" w:type="dxa"/>
            <w:tcBorders>
              <w:top w:val="nil"/>
              <w:left w:val="nil"/>
              <w:bottom w:val="nil"/>
              <w:right w:val="nil"/>
            </w:tcBorders>
            <w:shd w:val="clear" w:color="auto" w:fill="auto"/>
            <w:noWrap/>
            <w:vAlign w:val="bottom"/>
            <w:hideMark/>
          </w:tcPr>
          <w:p w14:paraId="23C60513"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8.2</w:t>
            </w:r>
          </w:p>
        </w:tc>
        <w:tc>
          <w:tcPr>
            <w:tcW w:w="1260" w:type="dxa"/>
            <w:tcBorders>
              <w:top w:val="nil"/>
              <w:left w:val="nil"/>
              <w:bottom w:val="nil"/>
              <w:right w:val="nil"/>
            </w:tcBorders>
            <w:shd w:val="clear" w:color="auto" w:fill="auto"/>
            <w:noWrap/>
            <w:vAlign w:val="bottom"/>
            <w:hideMark/>
          </w:tcPr>
          <w:p w14:paraId="7EBD6B76"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w:t>
            </w:r>
          </w:p>
        </w:tc>
        <w:tc>
          <w:tcPr>
            <w:tcW w:w="1600" w:type="dxa"/>
            <w:tcBorders>
              <w:top w:val="nil"/>
              <w:left w:val="nil"/>
              <w:bottom w:val="nil"/>
              <w:right w:val="nil"/>
            </w:tcBorders>
            <w:shd w:val="clear" w:color="auto" w:fill="auto"/>
            <w:noWrap/>
            <w:vAlign w:val="bottom"/>
            <w:hideMark/>
          </w:tcPr>
          <w:p w14:paraId="43D08B99"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w:t>
            </w:r>
          </w:p>
        </w:tc>
      </w:tr>
      <w:tr w:rsidR="00803256" w:rsidRPr="00A423E8" w14:paraId="7A0798BA" w14:textId="77777777" w:rsidTr="005E2E61">
        <w:trPr>
          <w:trHeight w:val="315"/>
          <w:jc w:val="center"/>
        </w:trPr>
        <w:tc>
          <w:tcPr>
            <w:tcW w:w="1560" w:type="dxa"/>
            <w:tcBorders>
              <w:top w:val="nil"/>
              <w:left w:val="nil"/>
              <w:bottom w:val="nil"/>
              <w:right w:val="nil"/>
            </w:tcBorders>
            <w:shd w:val="clear" w:color="auto" w:fill="auto"/>
            <w:noWrap/>
            <w:vAlign w:val="bottom"/>
            <w:hideMark/>
          </w:tcPr>
          <w:p w14:paraId="2FD77C5B"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P50</w:t>
            </w:r>
          </w:p>
        </w:tc>
        <w:tc>
          <w:tcPr>
            <w:tcW w:w="1420" w:type="dxa"/>
            <w:tcBorders>
              <w:top w:val="nil"/>
              <w:left w:val="nil"/>
              <w:bottom w:val="nil"/>
              <w:right w:val="nil"/>
            </w:tcBorders>
            <w:shd w:val="clear" w:color="auto" w:fill="auto"/>
            <w:noWrap/>
            <w:vAlign w:val="bottom"/>
            <w:hideMark/>
          </w:tcPr>
          <w:p w14:paraId="78CA8F0A"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9.7</w:t>
            </w:r>
          </w:p>
        </w:tc>
        <w:tc>
          <w:tcPr>
            <w:tcW w:w="1420" w:type="dxa"/>
            <w:tcBorders>
              <w:top w:val="nil"/>
              <w:left w:val="nil"/>
              <w:bottom w:val="nil"/>
              <w:right w:val="nil"/>
            </w:tcBorders>
            <w:shd w:val="clear" w:color="auto" w:fill="auto"/>
            <w:noWrap/>
            <w:vAlign w:val="bottom"/>
            <w:hideMark/>
          </w:tcPr>
          <w:p w14:paraId="0DDE66A0"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9.3</w:t>
            </w:r>
          </w:p>
        </w:tc>
        <w:tc>
          <w:tcPr>
            <w:tcW w:w="1260" w:type="dxa"/>
            <w:tcBorders>
              <w:top w:val="nil"/>
              <w:left w:val="nil"/>
              <w:bottom w:val="nil"/>
              <w:right w:val="nil"/>
            </w:tcBorders>
            <w:shd w:val="clear" w:color="auto" w:fill="auto"/>
            <w:noWrap/>
            <w:vAlign w:val="bottom"/>
            <w:hideMark/>
          </w:tcPr>
          <w:p w14:paraId="2813C27F"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w:t>
            </w:r>
          </w:p>
        </w:tc>
        <w:tc>
          <w:tcPr>
            <w:tcW w:w="1600" w:type="dxa"/>
            <w:tcBorders>
              <w:top w:val="nil"/>
              <w:left w:val="nil"/>
              <w:bottom w:val="nil"/>
              <w:right w:val="nil"/>
            </w:tcBorders>
            <w:shd w:val="clear" w:color="auto" w:fill="auto"/>
            <w:noWrap/>
            <w:vAlign w:val="bottom"/>
            <w:hideMark/>
          </w:tcPr>
          <w:p w14:paraId="191948B9"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w:t>
            </w:r>
          </w:p>
        </w:tc>
      </w:tr>
      <w:tr w:rsidR="00803256" w:rsidRPr="00A423E8" w14:paraId="68AA45AD" w14:textId="77777777" w:rsidTr="005E2E61">
        <w:trPr>
          <w:trHeight w:val="315"/>
          <w:jc w:val="center"/>
        </w:trPr>
        <w:tc>
          <w:tcPr>
            <w:tcW w:w="1560" w:type="dxa"/>
            <w:tcBorders>
              <w:top w:val="nil"/>
              <w:left w:val="nil"/>
              <w:bottom w:val="nil"/>
              <w:right w:val="nil"/>
            </w:tcBorders>
            <w:shd w:val="clear" w:color="auto" w:fill="auto"/>
            <w:noWrap/>
            <w:vAlign w:val="bottom"/>
            <w:hideMark/>
          </w:tcPr>
          <w:p w14:paraId="107B0844"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P75</w:t>
            </w:r>
          </w:p>
        </w:tc>
        <w:tc>
          <w:tcPr>
            <w:tcW w:w="1420" w:type="dxa"/>
            <w:tcBorders>
              <w:top w:val="nil"/>
              <w:left w:val="nil"/>
              <w:bottom w:val="nil"/>
              <w:right w:val="nil"/>
            </w:tcBorders>
            <w:shd w:val="clear" w:color="auto" w:fill="auto"/>
            <w:noWrap/>
            <w:vAlign w:val="bottom"/>
            <w:hideMark/>
          </w:tcPr>
          <w:p w14:paraId="5AF8D35F"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11.0</w:t>
            </w:r>
          </w:p>
        </w:tc>
        <w:tc>
          <w:tcPr>
            <w:tcW w:w="1420" w:type="dxa"/>
            <w:tcBorders>
              <w:top w:val="nil"/>
              <w:left w:val="nil"/>
              <w:bottom w:val="nil"/>
              <w:right w:val="nil"/>
            </w:tcBorders>
            <w:shd w:val="clear" w:color="auto" w:fill="auto"/>
            <w:noWrap/>
            <w:vAlign w:val="bottom"/>
            <w:hideMark/>
          </w:tcPr>
          <w:p w14:paraId="16D1C5F8"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10.3</w:t>
            </w:r>
          </w:p>
        </w:tc>
        <w:tc>
          <w:tcPr>
            <w:tcW w:w="1260" w:type="dxa"/>
            <w:tcBorders>
              <w:top w:val="nil"/>
              <w:left w:val="nil"/>
              <w:bottom w:val="nil"/>
              <w:right w:val="nil"/>
            </w:tcBorders>
            <w:shd w:val="clear" w:color="auto" w:fill="auto"/>
            <w:noWrap/>
            <w:vAlign w:val="bottom"/>
            <w:hideMark/>
          </w:tcPr>
          <w:p w14:paraId="08A48880"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1.5</w:t>
            </w:r>
          </w:p>
        </w:tc>
        <w:tc>
          <w:tcPr>
            <w:tcW w:w="1600" w:type="dxa"/>
            <w:tcBorders>
              <w:top w:val="nil"/>
              <w:left w:val="nil"/>
              <w:bottom w:val="nil"/>
              <w:right w:val="nil"/>
            </w:tcBorders>
            <w:shd w:val="clear" w:color="auto" w:fill="auto"/>
            <w:noWrap/>
            <w:vAlign w:val="bottom"/>
            <w:hideMark/>
          </w:tcPr>
          <w:p w14:paraId="2B153BF7"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3</w:t>
            </w:r>
          </w:p>
        </w:tc>
      </w:tr>
      <w:tr w:rsidR="00803256" w:rsidRPr="00A423E8" w14:paraId="2710144C" w14:textId="77777777" w:rsidTr="005E2E61">
        <w:trPr>
          <w:trHeight w:val="315"/>
          <w:jc w:val="center"/>
        </w:trPr>
        <w:tc>
          <w:tcPr>
            <w:tcW w:w="1560" w:type="dxa"/>
            <w:tcBorders>
              <w:top w:val="nil"/>
              <w:left w:val="nil"/>
              <w:bottom w:val="nil"/>
              <w:right w:val="nil"/>
            </w:tcBorders>
            <w:shd w:val="clear" w:color="auto" w:fill="auto"/>
            <w:noWrap/>
            <w:vAlign w:val="bottom"/>
            <w:hideMark/>
          </w:tcPr>
          <w:p w14:paraId="673FDA9B"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P90</w:t>
            </w:r>
          </w:p>
        </w:tc>
        <w:tc>
          <w:tcPr>
            <w:tcW w:w="1420" w:type="dxa"/>
            <w:tcBorders>
              <w:top w:val="nil"/>
              <w:left w:val="nil"/>
              <w:bottom w:val="nil"/>
              <w:right w:val="nil"/>
            </w:tcBorders>
            <w:shd w:val="clear" w:color="auto" w:fill="auto"/>
            <w:noWrap/>
            <w:vAlign w:val="bottom"/>
            <w:hideMark/>
          </w:tcPr>
          <w:p w14:paraId="17B26792"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12.3</w:t>
            </w:r>
          </w:p>
        </w:tc>
        <w:tc>
          <w:tcPr>
            <w:tcW w:w="1420" w:type="dxa"/>
            <w:tcBorders>
              <w:top w:val="nil"/>
              <w:left w:val="nil"/>
              <w:bottom w:val="nil"/>
              <w:right w:val="nil"/>
            </w:tcBorders>
            <w:shd w:val="clear" w:color="auto" w:fill="auto"/>
            <w:noWrap/>
            <w:vAlign w:val="bottom"/>
            <w:hideMark/>
          </w:tcPr>
          <w:p w14:paraId="323BF7CC"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11.3</w:t>
            </w:r>
          </w:p>
        </w:tc>
        <w:tc>
          <w:tcPr>
            <w:tcW w:w="1260" w:type="dxa"/>
            <w:tcBorders>
              <w:top w:val="nil"/>
              <w:left w:val="nil"/>
              <w:bottom w:val="nil"/>
              <w:right w:val="nil"/>
            </w:tcBorders>
            <w:shd w:val="clear" w:color="auto" w:fill="auto"/>
            <w:noWrap/>
            <w:vAlign w:val="bottom"/>
            <w:hideMark/>
          </w:tcPr>
          <w:p w14:paraId="419E29F2"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3.5</w:t>
            </w:r>
          </w:p>
        </w:tc>
        <w:tc>
          <w:tcPr>
            <w:tcW w:w="1600" w:type="dxa"/>
            <w:tcBorders>
              <w:top w:val="nil"/>
              <w:left w:val="nil"/>
              <w:bottom w:val="nil"/>
              <w:right w:val="nil"/>
            </w:tcBorders>
            <w:shd w:val="clear" w:color="auto" w:fill="auto"/>
            <w:noWrap/>
            <w:vAlign w:val="bottom"/>
            <w:hideMark/>
          </w:tcPr>
          <w:p w14:paraId="6BBC04C6"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5.3</w:t>
            </w:r>
          </w:p>
        </w:tc>
      </w:tr>
      <w:tr w:rsidR="00803256" w:rsidRPr="00A423E8" w14:paraId="2009DFF6" w14:textId="77777777" w:rsidTr="005E2E61">
        <w:trPr>
          <w:trHeight w:val="315"/>
          <w:jc w:val="center"/>
        </w:trPr>
        <w:tc>
          <w:tcPr>
            <w:tcW w:w="1560" w:type="dxa"/>
            <w:tcBorders>
              <w:top w:val="single" w:sz="4" w:space="0" w:color="auto"/>
              <w:left w:val="nil"/>
              <w:bottom w:val="nil"/>
              <w:right w:val="nil"/>
            </w:tcBorders>
            <w:shd w:val="clear" w:color="auto" w:fill="auto"/>
            <w:noWrap/>
            <w:vAlign w:val="bottom"/>
            <w:hideMark/>
          </w:tcPr>
          <w:p w14:paraId="2EE75E88"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Mean</w:t>
            </w:r>
          </w:p>
        </w:tc>
        <w:tc>
          <w:tcPr>
            <w:tcW w:w="1420" w:type="dxa"/>
            <w:tcBorders>
              <w:top w:val="single" w:sz="4" w:space="0" w:color="auto"/>
              <w:left w:val="nil"/>
              <w:bottom w:val="nil"/>
              <w:right w:val="nil"/>
            </w:tcBorders>
            <w:shd w:val="clear" w:color="auto" w:fill="auto"/>
            <w:noWrap/>
            <w:vAlign w:val="bottom"/>
            <w:hideMark/>
          </w:tcPr>
          <w:p w14:paraId="7D2266B6"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9.7</w:t>
            </w:r>
          </w:p>
        </w:tc>
        <w:tc>
          <w:tcPr>
            <w:tcW w:w="1420" w:type="dxa"/>
            <w:tcBorders>
              <w:top w:val="single" w:sz="4" w:space="0" w:color="auto"/>
              <w:left w:val="nil"/>
              <w:bottom w:val="nil"/>
              <w:right w:val="nil"/>
            </w:tcBorders>
            <w:shd w:val="clear" w:color="auto" w:fill="auto"/>
            <w:noWrap/>
            <w:vAlign w:val="bottom"/>
            <w:hideMark/>
          </w:tcPr>
          <w:p w14:paraId="2BCB561F"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9.3</w:t>
            </w:r>
          </w:p>
        </w:tc>
        <w:tc>
          <w:tcPr>
            <w:tcW w:w="1260" w:type="dxa"/>
            <w:tcBorders>
              <w:top w:val="single" w:sz="4" w:space="0" w:color="auto"/>
              <w:left w:val="nil"/>
              <w:bottom w:val="nil"/>
              <w:right w:val="nil"/>
            </w:tcBorders>
            <w:shd w:val="clear" w:color="auto" w:fill="auto"/>
            <w:noWrap/>
            <w:vAlign w:val="bottom"/>
            <w:hideMark/>
          </w:tcPr>
          <w:p w14:paraId="32B39C6F"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0.9</w:t>
            </w:r>
          </w:p>
        </w:tc>
        <w:tc>
          <w:tcPr>
            <w:tcW w:w="1600" w:type="dxa"/>
            <w:tcBorders>
              <w:top w:val="single" w:sz="4" w:space="0" w:color="auto"/>
              <w:left w:val="nil"/>
              <w:bottom w:val="nil"/>
              <w:right w:val="nil"/>
            </w:tcBorders>
            <w:shd w:val="clear" w:color="auto" w:fill="auto"/>
            <w:noWrap/>
            <w:vAlign w:val="bottom"/>
            <w:hideMark/>
          </w:tcPr>
          <w:p w14:paraId="2F851881"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1.7</w:t>
            </w:r>
          </w:p>
        </w:tc>
      </w:tr>
      <w:tr w:rsidR="00803256" w:rsidRPr="00A423E8" w14:paraId="5E7541EC" w14:textId="77777777" w:rsidTr="005E2E61">
        <w:trPr>
          <w:trHeight w:val="315"/>
          <w:jc w:val="center"/>
        </w:trPr>
        <w:tc>
          <w:tcPr>
            <w:tcW w:w="1560" w:type="dxa"/>
            <w:tcBorders>
              <w:top w:val="nil"/>
              <w:left w:val="nil"/>
              <w:bottom w:val="nil"/>
              <w:right w:val="nil"/>
            </w:tcBorders>
            <w:shd w:val="clear" w:color="auto" w:fill="auto"/>
            <w:noWrap/>
            <w:vAlign w:val="bottom"/>
            <w:hideMark/>
          </w:tcPr>
          <w:p w14:paraId="35E1A4B4"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P90 - P10</w:t>
            </w:r>
          </w:p>
        </w:tc>
        <w:tc>
          <w:tcPr>
            <w:tcW w:w="1420" w:type="dxa"/>
            <w:tcBorders>
              <w:top w:val="nil"/>
              <w:left w:val="nil"/>
              <w:bottom w:val="nil"/>
              <w:right w:val="nil"/>
            </w:tcBorders>
            <w:shd w:val="clear" w:color="auto" w:fill="auto"/>
            <w:noWrap/>
            <w:vAlign w:val="bottom"/>
            <w:hideMark/>
          </w:tcPr>
          <w:p w14:paraId="2C785A0B"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4.5</w:t>
            </w:r>
          </w:p>
        </w:tc>
        <w:tc>
          <w:tcPr>
            <w:tcW w:w="1420" w:type="dxa"/>
            <w:tcBorders>
              <w:top w:val="nil"/>
              <w:left w:val="nil"/>
              <w:bottom w:val="nil"/>
              <w:right w:val="nil"/>
            </w:tcBorders>
            <w:shd w:val="clear" w:color="auto" w:fill="auto"/>
            <w:noWrap/>
            <w:vAlign w:val="bottom"/>
            <w:hideMark/>
          </w:tcPr>
          <w:p w14:paraId="20232ADE"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4.2</w:t>
            </w:r>
          </w:p>
        </w:tc>
        <w:tc>
          <w:tcPr>
            <w:tcW w:w="1260" w:type="dxa"/>
            <w:tcBorders>
              <w:top w:val="nil"/>
              <w:left w:val="nil"/>
              <w:bottom w:val="nil"/>
              <w:right w:val="nil"/>
            </w:tcBorders>
            <w:shd w:val="clear" w:color="auto" w:fill="auto"/>
            <w:noWrap/>
            <w:vAlign w:val="bottom"/>
            <w:hideMark/>
          </w:tcPr>
          <w:p w14:paraId="00305C72"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3.5</w:t>
            </w:r>
          </w:p>
        </w:tc>
        <w:tc>
          <w:tcPr>
            <w:tcW w:w="1600" w:type="dxa"/>
            <w:tcBorders>
              <w:top w:val="nil"/>
              <w:left w:val="nil"/>
              <w:bottom w:val="nil"/>
              <w:right w:val="nil"/>
            </w:tcBorders>
            <w:shd w:val="clear" w:color="auto" w:fill="auto"/>
            <w:noWrap/>
            <w:vAlign w:val="bottom"/>
            <w:hideMark/>
          </w:tcPr>
          <w:p w14:paraId="5A573410"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5.3</w:t>
            </w:r>
          </w:p>
        </w:tc>
      </w:tr>
      <w:tr w:rsidR="00803256" w:rsidRPr="00A423E8" w14:paraId="356F9FFE" w14:textId="77777777" w:rsidTr="005E2E61">
        <w:trPr>
          <w:trHeight w:val="315"/>
          <w:jc w:val="center"/>
        </w:trPr>
        <w:tc>
          <w:tcPr>
            <w:tcW w:w="1560" w:type="dxa"/>
            <w:tcBorders>
              <w:top w:val="single" w:sz="4" w:space="0" w:color="auto"/>
              <w:left w:val="nil"/>
              <w:bottom w:val="single" w:sz="4" w:space="0" w:color="auto"/>
              <w:right w:val="nil"/>
            </w:tcBorders>
            <w:shd w:val="clear" w:color="auto" w:fill="auto"/>
            <w:noWrap/>
            <w:vAlign w:val="bottom"/>
            <w:hideMark/>
          </w:tcPr>
          <w:p w14:paraId="536EE97A" w14:textId="77777777" w:rsidR="00803256" w:rsidRPr="00A423E8" w:rsidRDefault="00803256" w:rsidP="005E2E61">
            <w:pPr>
              <w:spacing w:after="0" w:line="240" w:lineRule="auto"/>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n</w:t>
            </w:r>
          </w:p>
        </w:tc>
        <w:tc>
          <w:tcPr>
            <w:tcW w:w="1420" w:type="dxa"/>
            <w:tcBorders>
              <w:top w:val="single" w:sz="4" w:space="0" w:color="auto"/>
              <w:left w:val="nil"/>
              <w:bottom w:val="single" w:sz="4" w:space="0" w:color="auto"/>
              <w:right w:val="nil"/>
            </w:tcBorders>
            <w:shd w:val="clear" w:color="auto" w:fill="auto"/>
            <w:noWrap/>
            <w:vAlign w:val="bottom"/>
            <w:hideMark/>
          </w:tcPr>
          <w:p w14:paraId="60FFD8FE"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90</w:t>
            </w:r>
          </w:p>
        </w:tc>
        <w:tc>
          <w:tcPr>
            <w:tcW w:w="1420" w:type="dxa"/>
            <w:tcBorders>
              <w:top w:val="single" w:sz="4" w:space="0" w:color="auto"/>
              <w:left w:val="nil"/>
              <w:bottom w:val="single" w:sz="4" w:space="0" w:color="auto"/>
              <w:right w:val="nil"/>
            </w:tcBorders>
            <w:shd w:val="clear" w:color="auto" w:fill="auto"/>
            <w:noWrap/>
            <w:vAlign w:val="bottom"/>
            <w:hideMark/>
          </w:tcPr>
          <w:p w14:paraId="523462C9"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89</w:t>
            </w:r>
          </w:p>
        </w:tc>
        <w:tc>
          <w:tcPr>
            <w:tcW w:w="1260" w:type="dxa"/>
            <w:tcBorders>
              <w:top w:val="single" w:sz="4" w:space="0" w:color="auto"/>
              <w:left w:val="nil"/>
              <w:bottom w:val="single" w:sz="4" w:space="0" w:color="auto"/>
              <w:right w:val="nil"/>
            </w:tcBorders>
            <w:shd w:val="clear" w:color="auto" w:fill="auto"/>
            <w:noWrap/>
            <w:vAlign w:val="bottom"/>
            <w:hideMark/>
          </w:tcPr>
          <w:p w14:paraId="3EBEA30B"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119</w:t>
            </w:r>
          </w:p>
        </w:tc>
        <w:tc>
          <w:tcPr>
            <w:tcW w:w="1600" w:type="dxa"/>
            <w:tcBorders>
              <w:top w:val="single" w:sz="4" w:space="0" w:color="auto"/>
              <w:left w:val="nil"/>
              <w:bottom w:val="single" w:sz="4" w:space="0" w:color="auto"/>
              <w:right w:val="nil"/>
            </w:tcBorders>
            <w:shd w:val="clear" w:color="auto" w:fill="auto"/>
            <w:noWrap/>
            <w:vAlign w:val="bottom"/>
            <w:hideMark/>
          </w:tcPr>
          <w:p w14:paraId="3281B7A9"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60</w:t>
            </w:r>
          </w:p>
        </w:tc>
      </w:tr>
    </w:tbl>
    <w:p w14:paraId="1659A5B3" w14:textId="77777777" w:rsidR="00803256" w:rsidRPr="00B86FBF" w:rsidRDefault="00803256" w:rsidP="00803256">
      <w:pPr>
        <w:spacing w:after="0"/>
        <w:rPr>
          <w:rFonts w:ascii="Times New Roman" w:hAnsi="Times New Roman"/>
          <w:szCs w:val="24"/>
        </w:rPr>
      </w:pPr>
    </w:p>
    <w:p w14:paraId="08367004" w14:textId="77777777" w:rsidR="00803256" w:rsidRPr="00A423E8" w:rsidRDefault="00803256" w:rsidP="00697230">
      <w:pPr>
        <w:pStyle w:val="ListParagraph"/>
        <w:numPr>
          <w:ilvl w:val="0"/>
          <w:numId w:val="29"/>
        </w:numPr>
        <w:spacing w:after="0" w:line="360" w:lineRule="auto"/>
        <w:jc w:val="center"/>
        <w:rPr>
          <w:rFonts w:ascii="Times New Roman" w:hAnsi="Times New Roman"/>
          <w:szCs w:val="24"/>
        </w:rPr>
      </w:pPr>
      <w:r w:rsidRPr="00A423E8">
        <w:rPr>
          <w:rFonts w:ascii="Times New Roman" w:hAnsi="Times New Roman"/>
          <w:szCs w:val="24"/>
        </w:rPr>
        <w:t>Daily hours in selected other activities</w:t>
      </w:r>
    </w:p>
    <w:tbl>
      <w:tblPr>
        <w:tblW w:w="10403" w:type="dxa"/>
        <w:tblInd w:w="-685" w:type="dxa"/>
        <w:tblLook w:val="04A0" w:firstRow="1" w:lastRow="0" w:firstColumn="1" w:lastColumn="0" w:noHBand="0" w:noVBand="1"/>
      </w:tblPr>
      <w:tblGrid>
        <w:gridCol w:w="1420"/>
        <w:gridCol w:w="1200"/>
        <w:gridCol w:w="1180"/>
        <w:gridCol w:w="1200"/>
        <w:gridCol w:w="1200"/>
        <w:gridCol w:w="1080"/>
        <w:gridCol w:w="1080"/>
        <w:gridCol w:w="1003"/>
        <w:gridCol w:w="1040"/>
      </w:tblGrid>
      <w:tr w:rsidR="00803256" w:rsidRPr="00A423E8" w14:paraId="0827748D" w14:textId="77777777" w:rsidTr="005E2E61">
        <w:trPr>
          <w:trHeight w:val="315"/>
        </w:trPr>
        <w:tc>
          <w:tcPr>
            <w:tcW w:w="1420" w:type="dxa"/>
            <w:tcBorders>
              <w:top w:val="single" w:sz="4" w:space="0" w:color="auto"/>
              <w:left w:val="nil"/>
              <w:bottom w:val="nil"/>
              <w:right w:val="nil"/>
            </w:tcBorders>
            <w:shd w:val="clear" w:color="auto" w:fill="DEEAF6" w:themeFill="accent5" w:themeFillTint="33"/>
            <w:noWrap/>
            <w:vAlign w:val="bottom"/>
            <w:hideMark/>
          </w:tcPr>
          <w:p w14:paraId="2B73EE78" w14:textId="77777777" w:rsidR="00803256" w:rsidRPr="00A423E8" w:rsidRDefault="00803256" w:rsidP="005E2E61">
            <w:pPr>
              <w:spacing w:after="0" w:line="240" w:lineRule="auto"/>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 </w:t>
            </w:r>
          </w:p>
        </w:tc>
        <w:tc>
          <w:tcPr>
            <w:tcW w:w="2380" w:type="dxa"/>
            <w:gridSpan w:val="2"/>
            <w:tcBorders>
              <w:top w:val="single" w:sz="4" w:space="0" w:color="auto"/>
              <w:left w:val="nil"/>
              <w:bottom w:val="nil"/>
              <w:right w:val="nil"/>
            </w:tcBorders>
            <w:shd w:val="clear" w:color="auto" w:fill="DEEAF6" w:themeFill="accent5" w:themeFillTint="33"/>
            <w:vAlign w:val="bottom"/>
            <w:hideMark/>
          </w:tcPr>
          <w:p w14:paraId="19904118"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Travel to/from work</w:t>
            </w:r>
          </w:p>
        </w:tc>
        <w:tc>
          <w:tcPr>
            <w:tcW w:w="2400" w:type="dxa"/>
            <w:gridSpan w:val="2"/>
            <w:tcBorders>
              <w:top w:val="single" w:sz="4" w:space="0" w:color="auto"/>
              <w:left w:val="nil"/>
              <w:bottom w:val="nil"/>
              <w:right w:val="nil"/>
            </w:tcBorders>
            <w:shd w:val="clear" w:color="auto" w:fill="DEEAF6" w:themeFill="accent5" w:themeFillTint="33"/>
            <w:vAlign w:val="bottom"/>
            <w:hideMark/>
          </w:tcPr>
          <w:p w14:paraId="4E1E04D8"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Home chores</w:t>
            </w:r>
          </w:p>
        </w:tc>
        <w:tc>
          <w:tcPr>
            <w:tcW w:w="2160" w:type="dxa"/>
            <w:gridSpan w:val="2"/>
            <w:tcBorders>
              <w:top w:val="single" w:sz="4" w:space="0" w:color="auto"/>
              <w:left w:val="nil"/>
              <w:bottom w:val="nil"/>
              <w:right w:val="nil"/>
            </w:tcBorders>
            <w:shd w:val="clear" w:color="auto" w:fill="DEEAF6" w:themeFill="accent5" w:themeFillTint="33"/>
            <w:vAlign w:val="bottom"/>
            <w:hideMark/>
          </w:tcPr>
          <w:p w14:paraId="70ACA51D"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Family care</w:t>
            </w:r>
          </w:p>
        </w:tc>
        <w:tc>
          <w:tcPr>
            <w:tcW w:w="2043" w:type="dxa"/>
            <w:gridSpan w:val="2"/>
            <w:tcBorders>
              <w:top w:val="single" w:sz="4" w:space="0" w:color="auto"/>
              <w:left w:val="nil"/>
              <w:bottom w:val="nil"/>
              <w:right w:val="nil"/>
            </w:tcBorders>
            <w:shd w:val="clear" w:color="auto" w:fill="DEEAF6" w:themeFill="accent5" w:themeFillTint="33"/>
            <w:vAlign w:val="bottom"/>
            <w:hideMark/>
          </w:tcPr>
          <w:p w14:paraId="2A4730CA"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Voluntary work</w:t>
            </w:r>
          </w:p>
        </w:tc>
      </w:tr>
      <w:tr w:rsidR="00803256" w:rsidRPr="00A423E8" w14:paraId="52500AF4" w14:textId="77777777" w:rsidTr="005E2E61">
        <w:trPr>
          <w:trHeight w:val="315"/>
        </w:trPr>
        <w:tc>
          <w:tcPr>
            <w:tcW w:w="1420" w:type="dxa"/>
            <w:tcBorders>
              <w:top w:val="nil"/>
              <w:left w:val="nil"/>
              <w:bottom w:val="single" w:sz="4" w:space="0" w:color="auto"/>
              <w:right w:val="nil"/>
            </w:tcBorders>
            <w:shd w:val="clear" w:color="auto" w:fill="DEEAF6" w:themeFill="accent5" w:themeFillTint="33"/>
            <w:noWrap/>
            <w:vAlign w:val="bottom"/>
            <w:hideMark/>
          </w:tcPr>
          <w:p w14:paraId="6CAEFD6B" w14:textId="77777777" w:rsidR="00803256" w:rsidRPr="00A423E8" w:rsidRDefault="00803256" w:rsidP="005E2E61">
            <w:pPr>
              <w:spacing w:after="0" w:line="240" w:lineRule="auto"/>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 </w:t>
            </w:r>
          </w:p>
        </w:tc>
        <w:tc>
          <w:tcPr>
            <w:tcW w:w="1200" w:type="dxa"/>
            <w:tcBorders>
              <w:top w:val="nil"/>
              <w:left w:val="nil"/>
              <w:bottom w:val="single" w:sz="4" w:space="0" w:color="auto"/>
              <w:right w:val="nil"/>
            </w:tcBorders>
            <w:shd w:val="clear" w:color="auto" w:fill="DEEAF6" w:themeFill="accent5" w:themeFillTint="33"/>
            <w:vAlign w:val="bottom"/>
            <w:hideMark/>
          </w:tcPr>
          <w:p w14:paraId="103CD48E"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2000/01</w:t>
            </w:r>
          </w:p>
        </w:tc>
        <w:tc>
          <w:tcPr>
            <w:tcW w:w="1180" w:type="dxa"/>
            <w:tcBorders>
              <w:top w:val="nil"/>
              <w:left w:val="nil"/>
              <w:bottom w:val="single" w:sz="4" w:space="0" w:color="auto"/>
              <w:right w:val="nil"/>
            </w:tcBorders>
            <w:shd w:val="clear" w:color="auto" w:fill="DEEAF6" w:themeFill="accent5" w:themeFillTint="33"/>
            <w:vAlign w:val="bottom"/>
            <w:hideMark/>
          </w:tcPr>
          <w:p w14:paraId="08B3079B"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2014/15</w:t>
            </w:r>
          </w:p>
        </w:tc>
        <w:tc>
          <w:tcPr>
            <w:tcW w:w="1200" w:type="dxa"/>
            <w:tcBorders>
              <w:top w:val="nil"/>
              <w:left w:val="nil"/>
              <w:bottom w:val="single" w:sz="4" w:space="0" w:color="auto"/>
              <w:right w:val="nil"/>
            </w:tcBorders>
            <w:shd w:val="clear" w:color="auto" w:fill="DEEAF6" w:themeFill="accent5" w:themeFillTint="33"/>
            <w:vAlign w:val="bottom"/>
            <w:hideMark/>
          </w:tcPr>
          <w:p w14:paraId="57378BBD"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2000/01</w:t>
            </w:r>
          </w:p>
        </w:tc>
        <w:tc>
          <w:tcPr>
            <w:tcW w:w="1200" w:type="dxa"/>
            <w:tcBorders>
              <w:top w:val="nil"/>
              <w:left w:val="nil"/>
              <w:bottom w:val="single" w:sz="4" w:space="0" w:color="auto"/>
              <w:right w:val="nil"/>
            </w:tcBorders>
            <w:shd w:val="clear" w:color="auto" w:fill="DEEAF6" w:themeFill="accent5" w:themeFillTint="33"/>
            <w:vAlign w:val="bottom"/>
            <w:hideMark/>
          </w:tcPr>
          <w:p w14:paraId="08F8C7FA"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2014/15</w:t>
            </w:r>
          </w:p>
        </w:tc>
        <w:tc>
          <w:tcPr>
            <w:tcW w:w="1080" w:type="dxa"/>
            <w:tcBorders>
              <w:top w:val="nil"/>
              <w:left w:val="nil"/>
              <w:bottom w:val="single" w:sz="4" w:space="0" w:color="auto"/>
              <w:right w:val="nil"/>
            </w:tcBorders>
            <w:shd w:val="clear" w:color="auto" w:fill="DEEAF6" w:themeFill="accent5" w:themeFillTint="33"/>
            <w:vAlign w:val="bottom"/>
            <w:hideMark/>
          </w:tcPr>
          <w:p w14:paraId="4B1C6E07"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2000/01</w:t>
            </w:r>
          </w:p>
        </w:tc>
        <w:tc>
          <w:tcPr>
            <w:tcW w:w="1080" w:type="dxa"/>
            <w:tcBorders>
              <w:top w:val="nil"/>
              <w:left w:val="nil"/>
              <w:bottom w:val="single" w:sz="4" w:space="0" w:color="auto"/>
              <w:right w:val="nil"/>
            </w:tcBorders>
            <w:shd w:val="clear" w:color="auto" w:fill="DEEAF6" w:themeFill="accent5" w:themeFillTint="33"/>
            <w:vAlign w:val="bottom"/>
            <w:hideMark/>
          </w:tcPr>
          <w:p w14:paraId="1CB5E2D4"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2014/15</w:t>
            </w:r>
          </w:p>
        </w:tc>
        <w:tc>
          <w:tcPr>
            <w:tcW w:w="1003" w:type="dxa"/>
            <w:tcBorders>
              <w:top w:val="nil"/>
              <w:left w:val="nil"/>
              <w:bottom w:val="single" w:sz="4" w:space="0" w:color="auto"/>
              <w:right w:val="nil"/>
            </w:tcBorders>
            <w:shd w:val="clear" w:color="auto" w:fill="DEEAF6" w:themeFill="accent5" w:themeFillTint="33"/>
            <w:vAlign w:val="bottom"/>
            <w:hideMark/>
          </w:tcPr>
          <w:p w14:paraId="08CBA228"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2000/01</w:t>
            </w:r>
          </w:p>
        </w:tc>
        <w:tc>
          <w:tcPr>
            <w:tcW w:w="1040" w:type="dxa"/>
            <w:tcBorders>
              <w:top w:val="nil"/>
              <w:left w:val="nil"/>
              <w:bottom w:val="single" w:sz="4" w:space="0" w:color="auto"/>
              <w:right w:val="nil"/>
            </w:tcBorders>
            <w:shd w:val="clear" w:color="auto" w:fill="DEEAF6" w:themeFill="accent5" w:themeFillTint="33"/>
            <w:vAlign w:val="bottom"/>
            <w:hideMark/>
          </w:tcPr>
          <w:p w14:paraId="0718826C"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2014/15</w:t>
            </w:r>
          </w:p>
        </w:tc>
      </w:tr>
      <w:tr w:rsidR="00803256" w:rsidRPr="00A423E8" w14:paraId="0E9CDBED" w14:textId="77777777" w:rsidTr="005E2E61">
        <w:trPr>
          <w:trHeight w:val="315"/>
        </w:trPr>
        <w:tc>
          <w:tcPr>
            <w:tcW w:w="1420" w:type="dxa"/>
            <w:tcBorders>
              <w:top w:val="nil"/>
              <w:left w:val="nil"/>
              <w:bottom w:val="nil"/>
              <w:right w:val="nil"/>
            </w:tcBorders>
            <w:shd w:val="clear" w:color="auto" w:fill="auto"/>
            <w:noWrap/>
            <w:vAlign w:val="bottom"/>
            <w:hideMark/>
          </w:tcPr>
          <w:p w14:paraId="63C10270"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P10</w:t>
            </w:r>
          </w:p>
        </w:tc>
        <w:tc>
          <w:tcPr>
            <w:tcW w:w="1200" w:type="dxa"/>
            <w:tcBorders>
              <w:top w:val="nil"/>
              <w:left w:val="nil"/>
              <w:bottom w:val="nil"/>
              <w:right w:val="nil"/>
            </w:tcBorders>
            <w:shd w:val="clear" w:color="auto" w:fill="auto"/>
            <w:noWrap/>
            <w:vAlign w:val="bottom"/>
            <w:hideMark/>
          </w:tcPr>
          <w:p w14:paraId="7E876DAE"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0.3</w:t>
            </w:r>
          </w:p>
        </w:tc>
        <w:tc>
          <w:tcPr>
            <w:tcW w:w="1180" w:type="dxa"/>
            <w:tcBorders>
              <w:top w:val="nil"/>
              <w:left w:val="nil"/>
              <w:bottom w:val="nil"/>
              <w:right w:val="nil"/>
            </w:tcBorders>
            <w:shd w:val="clear" w:color="auto" w:fill="auto"/>
            <w:noWrap/>
            <w:vAlign w:val="bottom"/>
            <w:hideMark/>
          </w:tcPr>
          <w:p w14:paraId="2C87BB1A"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0.3</w:t>
            </w:r>
          </w:p>
        </w:tc>
        <w:tc>
          <w:tcPr>
            <w:tcW w:w="1200" w:type="dxa"/>
            <w:tcBorders>
              <w:top w:val="nil"/>
              <w:left w:val="nil"/>
              <w:bottom w:val="nil"/>
              <w:right w:val="nil"/>
            </w:tcBorders>
            <w:shd w:val="clear" w:color="auto" w:fill="auto"/>
            <w:noWrap/>
            <w:vAlign w:val="bottom"/>
            <w:hideMark/>
          </w:tcPr>
          <w:p w14:paraId="6E2196E7"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0.2</w:t>
            </w:r>
          </w:p>
        </w:tc>
        <w:tc>
          <w:tcPr>
            <w:tcW w:w="1200" w:type="dxa"/>
            <w:tcBorders>
              <w:top w:val="nil"/>
              <w:left w:val="nil"/>
              <w:bottom w:val="nil"/>
              <w:right w:val="nil"/>
            </w:tcBorders>
            <w:shd w:val="clear" w:color="auto" w:fill="auto"/>
            <w:noWrap/>
            <w:vAlign w:val="bottom"/>
            <w:hideMark/>
          </w:tcPr>
          <w:p w14:paraId="19A7208B"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0.2</w:t>
            </w:r>
          </w:p>
        </w:tc>
        <w:tc>
          <w:tcPr>
            <w:tcW w:w="1080" w:type="dxa"/>
            <w:tcBorders>
              <w:top w:val="nil"/>
              <w:left w:val="nil"/>
              <w:bottom w:val="nil"/>
              <w:right w:val="nil"/>
            </w:tcBorders>
            <w:shd w:val="clear" w:color="auto" w:fill="auto"/>
            <w:noWrap/>
            <w:vAlign w:val="bottom"/>
            <w:hideMark/>
          </w:tcPr>
          <w:p w14:paraId="3B983B74"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80" w:type="dxa"/>
            <w:tcBorders>
              <w:top w:val="nil"/>
              <w:left w:val="nil"/>
              <w:bottom w:val="nil"/>
              <w:right w:val="nil"/>
            </w:tcBorders>
            <w:shd w:val="clear" w:color="auto" w:fill="auto"/>
            <w:noWrap/>
            <w:vAlign w:val="bottom"/>
            <w:hideMark/>
          </w:tcPr>
          <w:p w14:paraId="5A2DAB81"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03" w:type="dxa"/>
            <w:tcBorders>
              <w:top w:val="nil"/>
              <w:left w:val="nil"/>
              <w:bottom w:val="nil"/>
              <w:right w:val="nil"/>
            </w:tcBorders>
            <w:shd w:val="clear" w:color="auto" w:fill="auto"/>
            <w:noWrap/>
            <w:vAlign w:val="bottom"/>
            <w:hideMark/>
          </w:tcPr>
          <w:p w14:paraId="25194FF4"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40" w:type="dxa"/>
            <w:tcBorders>
              <w:top w:val="nil"/>
              <w:left w:val="nil"/>
              <w:bottom w:val="nil"/>
              <w:right w:val="nil"/>
            </w:tcBorders>
            <w:shd w:val="clear" w:color="auto" w:fill="auto"/>
            <w:noWrap/>
            <w:vAlign w:val="bottom"/>
            <w:hideMark/>
          </w:tcPr>
          <w:p w14:paraId="571D002E"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r>
      <w:tr w:rsidR="00803256" w:rsidRPr="00A423E8" w14:paraId="1925943B" w14:textId="77777777" w:rsidTr="005E2E61">
        <w:trPr>
          <w:trHeight w:val="315"/>
        </w:trPr>
        <w:tc>
          <w:tcPr>
            <w:tcW w:w="1420" w:type="dxa"/>
            <w:tcBorders>
              <w:top w:val="nil"/>
              <w:left w:val="nil"/>
              <w:bottom w:val="nil"/>
              <w:right w:val="nil"/>
            </w:tcBorders>
            <w:shd w:val="clear" w:color="auto" w:fill="auto"/>
            <w:noWrap/>
            <w:vAlign w:val="bottom"/>
            <w:hideMark/>
          </w:tcPr>
          <w:p w14:paraId="32ADC633"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P25</w:t>
            </w:r>
          </w:p>
        </w:tc>
        <w:tc>
          <w:tcPr>
            <w:tcW w:w="1200" w:type="dxa"/>
            <w:tcBorders>
              <w:top w:val="nil"/>
              <w:left w:val="nil"/>
              <w:bottom w:val="nil"/>
              <w:right w:val="nil"/>
            </w:tcBorders>
            <w:shd w:val="clear" w:color="auto" w:fill="auto"/>
            <w:noWrap/>
            <w:vAlign w:val="bottom"/>
            <w:hideMark/>
          </w:tcPr>
          <w:p w14:paraId="4F9967B8"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0.3</w:t>
            </w:r>
          </w:p>
        </w:tc>
        <w:tc>
          <w:tcPr>
            <w:tcW w:w="1180" w:type="dxa"/>
            <w:tcBorders>
              <w:top w:val="nil"/>
              <w:left w:val="nil"/>
              <w:bottom w:val="nil"/>
              <w:right w:val="nil"/>
            </w:tcBorders>
            <w:shd w:val="clear" w:color="auto" w:fill="auto"/>
            <w:noWrap/>
            <w:vAlign w:val="bottom"/>
            <w:hideMark/>
          </w:tcPr>
          <w:p w14:paraId="4B2CEBD7"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0.5</w:t>
            </w:r>
          </w:p>
        </w:tc>
        <w:tc>
          <w:tcPr>
            <w:tcW w:w="1200" w:type="dxa"/>
            <w:tcBorders>
              <w:top w:val="nil"/>
              <w:left w:val="nil"/>
              <w:bottom w:val="nil"/>
              <w:right w:val="nil"/>
            </w:tcBorders>
            <w:shd w:val="clear" w:color="auto" w:fill="auto"/>
            <w:noWrap/>
            <w:vAlign w:val="bottom"/>
            <w:hideMark/>
          </w:tcPr>
          <w:p w14:paraId="15606376"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0.7</w:t>
            </w:r>
          </w:p>
        </w:tc>
        <w:tc>
          <w:tcPr>
            <w:tcW w:w="1200" w:type="dxa"/>
            <w:tcBorders>
              <w:top w:val="nil"/>
              <w:left w:val="nil"/>
              <w:bottom w:val="nil"/>
              <w:right w:val="nil"/>
            </w:tcBorders>
            <w:shd w:val="clear" w:color="auto" w:fill="auto"/>
            <w:noWrap/>
            <w:vAlign w:val="bottom"/>
            <w:hideMark/>
          </w:tcPr>
          <w:p w14:paraId="2DD45CDE"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0.5</w:t>
            </w:r>
          </w:p>
        </w:tc>
        <w:tc>
          <w:tcPr>
            <w:tcW w:w="1080" w:type="dxa"/>
            <w:tcBorders>
              <w:top w:val="nil"/>
              <w:left w:val="nil"/>
              <w:bottom w:val="nil"/>
              <w:right w:val="nil"/>
            </w:tcBorders>
            <w:shd w:val="clear" w:color="auto" w:fill="auto"/>
            <w:noWrap/>
            <w:vAlign w:val="bottom"/>
            <w:hideMark/>
          </w:tcPr>
          <w:p w14:paraId="46FB7090"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80" w:type="dxa"/>
            <w:tcBorders>
              <w:top w:val="nil"/>
              <w:left w:val="nil"/>
              <w:bottom w:val="nil"/>
              <w:right w:val="nil"/>
            </w:tcBorders>
            <w:shd w:val="clear" w:color="auto" w:fill="auto"/>
            <w:noWrap/>
            <w:vAlign w:val="bottom"/>
            <w:hideMark/>
          </w:tcPr>
          <w:p w14:paraId="371A1BD4"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03" w:type="dxa"/>
            <w:tcBorders>
              <w:top w:val="nil"/>
              <w:left w:val="nil"/>
              <w:bottom w:val="nil"/>
              <w:right w:val="nil"/>
            </w:tcBorders>
            <w:shd w:val="clear" w:color="auto" w:fill="auto"/>
            <w:noWrap/>
            <w:vAlign w:val="bottom"/>
            <w:hideMark/>
          </w:tcPr>
          <w:p w14:paraId="7FAA73D8"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40" w:type="dxa"/>
            <w:tcBorders>
              <w:top w:val="nil"/>
              <w:left w:val="nil"/>
              <w:bottom w:val="nil"/>
              <w:right w:val="nil"/>
            </w:tcBorders>
            <w:shd w:val="clear" w:color="auto" w:fill="auto"/>
            <w:noWrap/>
            <w:vAlign w:val="bottom"/>
            <w:hideMark/>
          </w:tcPr>
          <w:p w14:paraId="492B31E2"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r>
      <w:tr w:rsidR="00803256" w:rsidRPr="00A423E8" w14:paraId="4086D224" w14:textId="77777777" w:rsidTr="005E2E61">
        <w:trPr>
          <w:trHeight w:val="315"/>
        </w:trPr>
        <w:tc>
          <w:tcPr>
            <w:tcW w:w="1420" w:type="dxa"/>
            <w:tcBorders>
              <w:top w:val="nil"/>
              <w:left w:val="nil"/>
              <w:bottom w:val="nil"/>
              <w:right w:val="nil"/>
            </w:tcBorders>
            <w:shd w:val="clear" w:color="auto" w:fill="auto"/>
            <w:noWrap/>
            <w:vAlign w:val="bottom"/>
            <w:hideMark/>
          </w:tcPr>
          <w:p w14:paraId="51B448D7"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P50</w:t>
            </w:r>
          </w:p>
        </w:tc>
        <w:tc>
          <w:tcPr>
            <w:tcW w:w="1200" w:type="dxa"/>
            <w:tcBorders>
              <w:top w:val="nil"/>
              <w:left w:val="nil"/>
              <w:bottom w:val="nil"/>
              <w:right w:val="nil"/>
            </w:tcBorders>
            <w:shd w:val="clear" w:color="auto" w:fill="auto"/>
            <w:noWrap/>
            <w:vAlign w:val="bottom"/>
            <w:hideMark/>
          </w:tcPr>
          <w:p w14:paraId="0C5B3CCC"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0.5</w:t>
            </w:r>
          </w:p>
        </w:tc>
        <w:tc>
          <w:tcPr>
            <w:tcW w:w="1180" w:type="dxa"/>
            <w:tcBorders>
              <w:top w:val="nil"/>
              <w:left w:val="nil"/>
              <w:bottom w:val="nil"/>
              <w:right w:val="nil"/>
            </w:tcBorders>
            <w:shd w:val="clear" w:color="auto" w:fill="auto"/>
            <w:noWrap/>
            <w:vAlign w:val="bottom"/>
            <w:hideMark/>
          </w:tcPr>
          <w:p w14:paraId="233805AC"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0.8</w:t>
            </w:r>
          </w:p>
        </w:tc>
        <w:tc>
          <w:tcPr>
            <w:tcW w:w="1200" w:type="dxa"/>
            <w:tcBorders>
              <w:top w:val="nil"/>
              <w:left w:val="nil"/>
              <w:bottom w:val="nil"/>
              <w:right w:val="nil"/>
            </w:tcBorders>
            <w:shd w:val="clear" w:color="auto" w:fill="auto"/>
            <w:noWrap/>
            <w:vAlign w:val="bottom"/>
            <w:hideMark/>
          </w:tcPr>
          <w:p w14:paraId="373E6DBA"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1.2</w:t>
            </w:r>
          </w:p>
        </w:tc>
        <w:tc>
          <w:tcPr>
            <w:tcW w:w="1200" w:type="dxa"/>
            <w:tcBorders>
              <w:top w:val="nil"/>
              <w:left w:val="nil"/>
              <w:bottom w:val="nil"/>
              <w:right w:val="nil"/>
            </w:tcBorders>
            <w:shd w:val="clear" w:color="auto" w:fill="auto"/>
            <w:noWrap/>
            <w:vAlign w:val="bottom"/>
            <w:hideMark/>
          </w:tcPr>
          <w:p w14:paraId="71045507"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1.2</w:t>
            </w:r>
          </w:p>
        </w:tc>
        <w:tc>
          <w:tcPr>
            <w:tcW w:w="1080" w:type="dxa"/>
            <w:tcBorders>
              <w:top w:val="nil"/>
              <w:left w:val="nil"/>
              <w:bottom w:val="nil"/>
              <w:right w:val="nil"/>
            </w:tcBorders>
            <w:shd w:val="clear" w:color="auto" w:fill="auto"/>
            <w:noWrap/>
            <w:vAlign w:val="bottom"/>
            <w:hideMark/>
          </w:tcPr>
          <w:p w14:paraId="4E3EF34A"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80" w:type="dxa"/>
            <w:tcBorders>
              <w:top w:val="nil"/>
              <w:left w:val="nil"/>
              <w:bottom w:val="nil"/>
              <w:right w:val="nil"/>
            </w:tcBorders>
            <w:shd w:val="clear" w:color="auto" w:fill="auto"/>
            <w:noWrap/>
            <w:vAlign w:val="bottom"/>
            <w:hideMark/>
          </w:tcPr>
          <w:p w14:paraId="60084090"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03" w:type="dxa"/>
            <w:tcBorders>
              <w:top w:val="nil"/>
              <w:left w:val="nil"/>
              <w:bottom w:val="nil"/>
              <w:right w:val="nil"/>
            </w:tcBorders>
            <w:shd w:val="clear" w:color="auto" w:fill="auto"/>
            <w:noWrap/>
            <w:vAlign w:val="bottom"/>
            <w:hideMark/>
          </w:tcPr>
          <w:p w14:paraId="37A1B69F"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40" w:type="dxa"/>
            <w:tcBorders>
              <w:top w:val="nil"/>
              <w:left w:val="nil"/>
              <w:bottom w:val="nil"/>
              <w:right w:val="nil"/>
            </w:tcBorders>
            <w:shd w:val="clear" w:color="auto" w:fill="auto"/>
            <w:noWrap/>
            <w:vAlign w:val="bottom"/>
            <w:hideMark/>
          </w:tcPr>
          <w:p w14:paraId="51E7B13A"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r>
      <w:tr w:rsidR="00803256" w:rsidRPr="00A423E8" w14:paraId="49CFFEAC" w14:textId="77777777" w:rsidTr="005E2E61">
        <w:trPr>
          <w:trHeight w:val="315"/>
        </w:trPr>
        <w:tc>
          <w:tcPr>
            <w:tcW w:w="1420" w:type="dxa"/>
            <w:tcBorders>
              <w:top w:val="nil"/>
              <w:left w:val="nil"/>
              <w:bottom w:val="nil"/>
              <w:right w:val="nil"/>
            </w:tcBorders>
            <w:shd w:val="clear" w:color="auto" w:fill="auto"/>
            <w:noWrap/>
            <w:vAlign w:val="bottom"/>
            <w:hideMark/>
          </w:tcPr>
          <w:p w14:paraId="0F388147"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P75</w:t>
            </w:r>
          </w:p>
        </w:tc>
        <w:tc>
          <w:tcPr>
            <w:tcW w:w="1200" w:type="dxa"/>
            <w:tcBorders>
              <w:top w:val="nil"/>
              <w:left w:val="nil"/>
              <w:bottom w:val="nil"/>
              <w:right w:val="nil"/>
            </w:tcBorders>
            <w:shd w:val="clear" w:color="auto" w:fill="auto"/>
            <w:noWrap/>
            <w:vAlign w:val="bottom"/>
            <w:hideMark/>
          </w:tcPr>
          <w:p w14:paraId="05C43E3D"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1.0</w:t>
            </w:r>
          </w:p>
        </w:tc>
        <w:tc>
          <w:tcPr>
            <w:tcW w:w="1180" w:type="dxa"/>
            <w:tcBorders>
              <w:top w:val="nil"/>
              <w:left w:val="nil"/>
              <w:bottom w:val="nil"/>
              <w:right w:val="nil"/>
            </w:tcBorders>
            <w:shd w:val="clear" w:color="auto" w:fill="auto"/>
            <w:noWrap/>
            <w:vAlign w:val="bottom"/>
            <w:hideMark/>
          </w:tcPr>
          <w:p w14:paraId="54945B89"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1.2</w:t>
            </w:r>
          </w:p>
        </w:tc>
        <w:tc>
          <w:tcPr>
            <w:tcW w:w="1200" w:type="dxa"/>
            <w:tcBorders>
              <w:top w:val="nil"/>
              <w:left w:val="nil"/>
              <w:bottom w:val="nil"/>
              <w:right w:val="nil"/>
            </w:tcBorders>
            <w:shd w:val="clear" w:color="auto" w:fill="auto"/>
            <w:noWrap/>
            <w:vAlign w:val="bottom"/>
            <w:hideMark/>
          </w:tcPr>
          <w:p w14:paraId="5A888B82"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2.0</w:t>
            </w:r>
          </w:p>
        </w:tc>
        <w:tc>
          <w:tcPr>
            <w:tcW w:w="1200" w:type="dxa"/>
            <w:tcBorders>
              <w:top w:val="nil"/>
              <w:left w:val="nil"/>
              <w:bottom w:val="nil"/>
              <w:right w:val="nil"/>
            </w:tcBorders>
            <w:shd w:val="clear" w:color="auto" w:fill="auto"/>
            <w:noWrap/>
            <w:vAlign w:val="bottom"/>
            <w:hideMark/>
          </w:tcPr>
          <w:p w14:paraId="435CD3EA"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1.8</w:t>
            </w:r>
          </w:p>
        </w:tc>
        <w:tc>
          <w:tcPr>
            <w:tcW w:w="1080" w:type="dxa"/>
            <w:tcBorders>
              <w:top w:val="nil"/>
              <w:left w:val="nil"/>
              <w:bottom w:val="nil"/>
              <w:right w:val="nil"/>
            </w:tcBorders>
            <w:shd w:val="clear" w:color="auto" w:fill="auto"/>
            <w:noWrap/>
            <w:vAlign w:val="bottom"/>
            <w:hideMark/>
          </w:tcPr>
          <w:p w14:paraId="5B3AA21B"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80" w:type="dxa"/>
            <w:tcBorders>
              <w:top w:val="nil"/>
              <w:left w:val="nil"/>
              <w:bottom w:val="nil"/>
              <w:right w:val="nil"/>
            </w:tcBorders>
            <w:shd w:val="clear" w:color="auto" w:fill="auto"/>
            <w:noWrap/>
            <w:vAlign w:val="bottom"/>
            <w:hideMark/>
          </w:tcPr>
          <w:p w14:paraId="7369C770"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03" w:type="dxa"/>
            <w:tcBorders>
              <w:top w:val="nil"/>
              <w:left w:val="nil"/>
              <w:bottom w:val="nil"/>
              <w:right w:val="nil"/>
            </w:tcBorders>
            <w:shd w:val="clear" w:color="auto" w:fill="auto"/>
            <w:noWrap/>
            <w:vAlign w:val="bottom"/>
            <w:hideMark/>
          </w:tcPr>
          <w:p w14:paraId="3C150787"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40" w:type="dxa"/>
            <w:tcBorders>
              <w:top w:val="nil"/>
              <w:left w:val="nil"/>
              <w:bottom w:val="nil"/>
              <w:right w:val="nil"/>
            </w:tcBorders>
            <w:shd w:val="clear" w:color="auto" w:fill="auto"/>
            <w:noWrap/>
            <w:vAlign w:val="bottom"/>
            <w:hideMark/>
          </w:tcPr>
          <w:p w14:paraId="0DCE98FE"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r>
      <w:tr w:rsidR="00803256" w:rsidRPr="00A423E8" w14:paraId="485C3332" w14:textId="77777777" w:rsidTr="005E2E61">
        <w:trPr>
          <w:trHeight w:val="315"/>
        </w:trPr>
        <w:tc>
          <w:tcPr>
            <w:tcW w:w="1420" w:type="dxa"/>
            <w:tcBorders>
              <w:top w:val="nil"/>
              <w:left w:val="nil"/>
              <w:bottom w:val="nil"/>
              <w:right w:val="nil"/>
            </w:tcBorders>
            <w:shd w:val="clear" w:color="auto" w:fill="auto"/>
            <w:noWrap/>
            <w:vAlign w:val="bottom"/>
            <w:hideMark/>
          </w:tcPr>
          <w:p w14:paraId="4B69E161"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P90</w:t>
            </w:r>
          </w:p>
        </w:tc>
        <w:tc>
          <w:tcPr>
            <w:tcW w:w="1200" w:type="dxa"/>
            <w:tcBorders>
              <w:top w:val="nil"/>
              <w:left w:val="nil"/>
              <w:bottom w:val="nil"/>
              <w:right w:val="nil"/>
            </w:tcBorders>
            <w:shd w:val="clear" w:color="auto" w:fill="auto"/>
            <w:noWrap/>
            <w:vAlign w:val="bottom"/>
            <w:hideMark/>
          </w:tcPr>
          <w:p w14:paraId="37F8185C"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1.5</w:t>
            </w:r>
          </w:p>
        </w:tc>
        <w:tc>
          <w:tcPr>
            <w:tcW w:w="1180" w:type="dxa"/>
            <w:tcBorders>
              <w:top w:val="nil"/>
              <w:left w:val="nil"/>
              <w:bottom w:val="nil"/>
              <w:right w:val="nil"/>
            </w:tcBorders>
            <w:shd w:val="clear" w:color="auto" w:fill="auto"/>
            <w:noWrap/>
            <w:vAlign w:val="bottom"/>
            <w:hideMark/>
          </w:tcPr>
          <w:p w14:paraId="43CB5E42"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1.7</w:t>
            </w:r>
          </w:p>
        </w:tc>
        <w:tc>
          <w:tcPr>
            <w:tcW w:w="1200" w:type="dxa"/>
            <w:tcBorders>
              <w:top w:val="nil"/>
              <w:left w:val="nil"/>
              <w:bottom w:val="nil"/>
              <w:right w:val="nil"/>
            </w:tcBorders>
            <w:shd w:val="clear" w:color="auto" w:fill="auto"/>
            <w:noWrap/>
            <w:vAlign w:val="bottom"/>
            <w:hideMark/>
          </w:tcPr>
          <w:p w14:paraId="6BEBE5D6"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3.2</w:t>
            </w:r>
          </w:p>
        </w:tc>
        <w:tc>
          <w:tcPr>
            <w:tcW w:w="1200" w:type="dxa"/>
            <w:tcBorders>
              <w:top w:val="nil"/>
              <w:left w:val="nil"/>
              <w:bottom w:val="nil"/>
              <w:right w:val="nil"/>
            </w:tcBorders>
            <w:shd w:val="clear" w:color="auto" w:fill="auto"/>
            <w:noWrap/>
            <w:vAlign w:val="bottom"/>
            <w:hideMark/>
          </w:tcPr>
          <w:p w14:paraId="53DD371B"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2.5</w:t>
            </w:r>
          </w:p>
        </w:tc>
        <w:tc>
          <w:tcPr>
            <w:tcW w:w="1080" w:type="dxa"/>
            <w:tcBorders>
              <w:top w:val="nil"/>
              <w:left w:val="nil"/>
              <w:bottom w:val="nil"/>
              <w:right w:val="nil"/>
            </w:tcBorders>
            <w:shd w:val="clear" w:color="auto" w:fill="auto"/>
            <w:noWrap/>
            <w:vAlign w:val="bottom"/>
            <w:hideMark/>
          </w:tcPr>
          <w:p w14:paraId="6897E418"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0.7</w:t>
            </w:r>
          </w:p>
        </w:tc>
        <w:tc>
          <w:tcPr>
            <w:tcW w:w="1080" w:type="dxa"/>
            <w:tcBorders>
              <w:top w:val="nil"/>
              <w:left w:val="nil"/>
              <w:bottom w:val="nil"/>
              <w:right w:val="nil"/>
            </w:tcBorders>
            <w:shd w:val="clear" w:color="auto" w:fill="auto"/>
            <w:noWrap/>
            <w:vAlign w:val="bottom"/>
            <w:hideMark/>
          </w:tcPr>
          <w:p w14:paraId="26164C08"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1.7</w:t>
            </w:r>
          </w:p>
        </w:tc>
        <w:tc>
          <w:tcPr>
            <w:tcW w:w="1003" w:type="dxa"/>
            <w:tcBorders>
              <w:top w:val="nil"/>
              <w:left w:val="nil"/>
              <w:bottom w:val="nil"/>
              <w:right w:val="nil"/>
            </w:tcBorders>
            <w:shd w:val="clear" w:color="auto" w:fill="auto"/>
            <w:noWrap/>
            <w:vAlign w:val="bottom"/>
            <w:hideMark/>
          </w:tcPr>
          <w:p w14:paraId="406F842E"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40" w:type="dxa"/>
            <w:tcBorders>
              <w:top w:val="nil"/>
              <w:left w:val="nil"/>
              <w:bottom w:val="nil"/>
              <w:right w:val="nil"/>
            </w:tcBorders>
            <w:shd w:val="clear" w:color="auto" w:fill="auto"/>
            <w:noWrap/>
            <w:vAlign w:val="bottom"/>
            <w:hideMark/>
          </w:tcPr>
          <w:p w14:paraId="112EB82C"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1.0</w:t>
            </w:r>
          </w:p>
        </w:tc>
      </w:tr>
      <w:tr w:rsidR="00803256" w:rsidRPr="00A423E8" w14:paraId="1397EB79" w14:textId="77777777" w:rsidTr="005E2E61">
        <w:trPr>
          <w:trHeight w:val="315"/>
        </w:trPr>
        <w:tc>
          <w:tcPr>
            <w:tcW w:w="1420" w:type="dxa"/>
            <w:tcBorders>
              <w:top w:val="single" w:sz="4" w:space="0" w:color="auto"/>
              <w:left w:val="nil"/>
              <w:bottom w:val="nil"/>
              <w:right w:val="nil"/>
            </w:tcBorders>
            <w:shd w:val="clear" w:color="auto" w:fill="auto"/>
            <w:noWrap/>
            <w:vAlign w:val="bottom"/>
            <w:hideMark/>
          </w:tcPr>
          <w:p w14:paraId="1424DC62"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Mean</w:t>
            </w:r>
          </w:p>
        </w:tc>
        <w:tc>
          <w:tcPr>
            <w:tcW w:w="1200" w:type="dxa"/>
            <w:tcBorders>
              <w:top w:val="single" w:sz="4" w:space="0" w:color="auto"/>
              <w:left w:val="nil"/>
              <w:bottom w:val="nil"/>
              <w:right w:val="nil"/>
            </w:tcBorders>
            <w:shd w:val="clear" w:color="auto" w:fill="auto"/>
            <w:noWrap/>
            <w:vAlign w:val="bottom"/>
            <w:hideMark/>
          </w:tcPr>
          <w:p w14:paraId="65275F8F"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0.7</w:t>
            </w:r>
          </w:p>
        </w:tc>
        <w:tc>
          <w:tcPr>
            <w:tcW w:w="1180" w:type="dxa"/>
            <w:tcBorders>
              <w:top w:val="single" w:sz="4" w:space="0" w:color="auto"/>
              <w:left w:val="nil"/>
              <w:bottom w:val="nil"/>
              <w:right w:val="nil"/>
            </w:tcBorders>
            <w:shd w:val="clear" w:color="auto" w:fill="auto"/>
            <w:noWrap/>
            <w:vAlign w:val="bottom"/>
            <w:hideMark/>
          </w:tcPr>
          <w:p w14:paraId="3289E77D"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0.9</w:t>
            </w:r>
          </w:p>
        </w:tc>
        <w:tc>
          <w:tcPr>
            <w:tcW w:w="1200" w:type="dxa"/>
            <w:tcBorders>
              <w:top w:val="single" w:sz="4" w:space="0" w:color="auto"/>
              <w:left w:val="nil"/>
              <w:bottom w:val="nil"/>
              <w:right w:val="nil"/>
            </w:tcBorders>
            <w:shd w:val="clear" w:color="auto" w:fill="auto"/>
            <w:noWrap/>
            <w:vAlign w:val="bottom"/>
            <w:hideMark/>
          </w:tcPr>
          <w:p w14:paraId="6F826785"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1.5</w:t>
            </w:r>
          </w:p>
        </w:tc>
        <w:tc>
          <w:tcPr>
            <w:tcW w:w="1200" w:type="dxa"/>
            <w:tcBorders>
              <w:top w:val="single" w:sz="4" w:space="0" w:color="auto"/>
              <w:left w:val="nil"/>
              <w:bottom w:val="nil"/>
              <w:right w:val="nil"/>
            </w:tcBorders>
            <w:shd w:val="clear" w:color="auto" w:fill="auto"/>
            <w:noWrap/>
            <w:vAlign w:val="bottom"/>
            <w:hideMark/>
          </w:tcPr>
          <w:p w14:paraId="78CA5399"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1.2</w:t>
            </w:r>
          </w:p>
        </w:tc>
        <w:tc>
          <w:tcPr>
            <w:tcW w:w="1080" w:type="dxa"/>
            <w:tcBorders>
              <w:top w:val="single" w:sz="4" w:space="0" w:color="auto"/>
              <w:left w:val="nil"/>
              <w:bottom w:val="nil"/>
              <w:right w:val="nil"/>
            </w:tcBorders>
            <w:shd w:val="clear" w:color="auto" w:fill="auto"/>
            <w:noWrap/>
            <w:vAlign w:val="bottom"/>
            <w:hideMark/>
          </w:tcPr>
          <w:p w14:paraId="04F5FF35"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0.2</w:t>
            </w:r>
          </w:p>
        </w:tc>
        <w:tc>
          <w:tcPr>
            <w:tcW w:w="1080" w:type="dxa"/>
            <w:tcBorders>
              <w:top w:val="single" w:sz="4" w:space="0" w:color="auto"/>
              <w:left w:val="nil"/>
              <w:bottom w:val="nil"/>
              <w:right w:val="nil"/>
            </w:tcBorders>
            <w:shd w:val="clear" w:color="auto" w:fill="auto"/>
            <w:noWrap/>
            <w:vAlign w:val="bottom"/>
            <w:hideMark/>
          </w:tcPr>
          <w:p w14:paraId="6C4C5A03"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0.4</w:t>
            </w:r>
          </w:p>
        </w:tc>
        <w:tc>
          <w:tcPr>
            <w:tcW w:w="1003" w:type="dxa"/>
            <w:tcBorders>
              <w:top w:val="single" w:sz="4" w:space="0" w:color="auto"/>
              <w:left w:val="nil"/>
              <w:bottom w:val="nil"/>
              <w:right w:val="nil"/>
            </w:tcBorders>
            <w:shd w:val="clear" w:color="auto" w:fill="auto"/>
            <w:noWrap/>
            <w:vAlign w:val="bottom"/>
            <w:hideMark/>
          </w:tcPr>
          <w:p w14:paraId="4826030D"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40" w:type="dxa"/>
            <w:tcBorders>
              <w:top w:val="single" w:sz="4" w:space="0" w:color="auto"/>
              <w:left w:val="nil"/>
              <w:bottom w:val="nil"/>
              <w:right w:val="nil"/>
            </w:tcBorders>
            <w:shd w:val="clear" w:color="auto" w:fill="auto"/>
            <w:noWrap/>
            <w:vAlign w:val="bottom"/>
            <w:hideMark/>
          </w:tcPr>
          <w:p w14:paraId="754FDB2B"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0.2</w:t>
            </w:r>
          </w:p>
        </w:tc>
      </w:tr>
      <w:tr w:rsidR="00803256" w:rsidRPr="00A423E8" w14:paraId="24996C95" w14:textId="77777777" w:rsidTr="005E2E61">
        <w:trPr>
          <w:trHeight w:val="315"/>
        </w:trPr>
        <w:tc>
          <w:tcPr>
            <w:tcW w:w="1420" w:type="dxa"/>
            <w:tcBorders>
              <w:top w:val="nil"/>
              <w:left w:val="nil"/>
              <w:bottom w:val="nil"/>
              <w:right w:val="nil"/>
            </w:tcBorders>
            <w:shd w:val="clear" w:color="auto" w:fill="auto"/>
            <w:noWrap/>
            <w:vAlign w:val="bottom"/>
            <w:hideMark/>
          </w:tcPr>
          <w:p w14:paraId="46313555" w14:textId="77777777" w:rsidR="00803256" w:rsidRPr="00A423E8" w:rsidRDefault="00803256" w:rsidP="005E2E61">
            <w:pPr>
              <w:spacing w:after="0" w:line="240" w:lineRule="auto"/>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P90-P10</w:t>
            </w:r>
          </w:p>
        </w:tc>
        <w:tc>
          <w:tcPr>
            <w:tcW w:w="1200" w:type="dxa"/>
            <w:tcBorders>
              <w:top w:val="nil"/>
              <w:left w:val="nil"/>
              <w:bottom w:val="nil"/>
              <w:right w:val="nil"/>
            </w:tcBorders>
            <w:shd w:val="clear" w:color="auto" w:fill="auto"/>
            <w:noWrap/>
            <w:vAlign w:val="bottom"/>
            <w:hideMark/>
          </w:tcPr>
          <w:p w14:paraId="68D7D671"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1.2</w:t>
            </w:r>
          </w:p>
        </w:tc>
        <w:tc>
          <w:tcPr>
            <w:tcW w:w="1180" w:type="dxa"/>
            <w:tcBorders>
              <w:top w:val="nil"/>
              <w:left w:val="nil"/>
              <w:bottom w:val="nil"/>
              <w:right w:val="nil"/>
            </w:tcBorders>
            <w:shd w:val="clear" w:color="auto" w:fill="auto"/>
            <w:noWrap/>
            <w:vAlign w:val="bottom"/>
            <w:hideMark/>
          </w:tcPr>
          <w:p w14:paraId="3B4AA1B7"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1.3</w:t>
            </w:r>
          </w:p>
        </w:tc>
        <w:tc>
          <w:tcPr>
            <w:tcW w:w="1200" w:type="dxa"/>
            <w:tcBorders>
              <w:top w:val="nil"/>
              <w:left w:val="nil"/>
              <w:bottom w:val="nil"/>
              <w:right w:val="nil"/>
            </w:tcBorders>
            <w:shd w:val="clear" w:color="auto" w:fill="auto"/>
            <w:noWrap/>
            <w:vAlign w:val="bottom"/>
            <w:hideMark/>
          </w:tcPr>
          <w:p w14:paraId="392ABC34"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3.0</w:t>
            </w:r>
          </w:p>
        </w:tc>
        <w:tc>
          <w:tcPr>
            <w:tcW w:w="1200" w:type="dxa"/>
            <w:tcBorders>
              <w:top w:val="nil"/>
              <w:left w:val="nil"/>
              <w:bottom w:val="nil"/>
              <w:right w:val="nil"/>
            </w:tcBorders>
            <w:shd w:val="clear" w:color="auto" w:fill="auto"/>
            <w:noWrap/>
            <w:vAlign w:val="bottom"/>
            <w:hideMark/>
          </w:tcPr>
          <w:p w14:paraId="3782DEBF"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2.3</w:t>
            </w:r>
          </w:p>
        </w:tc>
        <w:tc>
          <w:tcPr>
            <w:tcW w:w="1080" w:type="dxa"/>
            <w:tcBorders>
              <w:top w:val="nil"/>
              <w:left w:val="nil"/>
              <w:bottom w:val="nil"/>
              <w:right w:val="nil"/>
            </w:tcBorders>
            <w:shd w:val="clear" w:color="auto" w:fill="auto"/>
            <w:noWrap/>
            <w:vAlign w:val="bottom"/>
            <w:hideMark/>
          </w:tcPr>
          <w:p w14:paraId="32A826A5"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0.7</w:t>
            </w:r>
          </w:p>
        </w:tc>
        <w:tc>
          <w:tcPr>
            <w:tcW w:w="1080" w:type="dxa"/>
            <w:tcBorders>
              <w:top w:val="nil"/>
              <w:left w:val="nil"/>
              <w:bottom w:val="nil"/>
              <w:right w:val="nil"/>
            </w:tcBorders>
            <w:shd w:val="clear" w:color="auto" w:fill="auto"/>
            <w:noWrap/>
            <w:vAlign w:val="bottom"/>
            <w:hideMark/>
          </w:tcPr>
          <w:p w14:paraId="77DF58F0"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1.7</w:t>
            </w:r>
          </w:p>
        </w:tc>
        <w:tc>
          <w:tcPr>
            <w:tcW w:w="1003" w:type="dxa"/>
            <w:tcBorders>
              <w:top w:val="nil"/>
              <w:left w:val="nil"/>
              <w:bottom w:val="nil"/>
              <w:right w:val="nil"/>
            </w:tcBorders>
            <w:shd w:val="clear" w:color="auto" w:fill="auto"/>
            <w:noWrap/>
            <w:vAlign w:val="bottom"/>
            <w:hideMark/>
          </w:tcPr>
          <w:p w14:paraId="4E63D697"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0.0</w:t>
            </w:r>
          </w:p>
        </w:tc>
        <w:tc>
          <w:tcPr>
            <w:tcW w:w="1040" w:type="dxa"/>
            <w:tcBorders>
              <w:top w:val="nil"/>
              <w:left w:val="nil"/>
              <w:bottom w:val="nil"/>
              <w:right w:val="nil"/>
            </w:tcBorders>
            <w:shd w:val="clear" w:color="auto" w:fill="auto"/>
            <w:noWrap/>
            <w:vAlign w:val="bottom"/>
            <w:hideMark/>
          </w:tcPr>
          <w:p w14:paraId="672C2BCE" w14:textId="77777777" w:rsidR="00803256" w:rsidRPr="00A423E8" w:rsidRDefault="00803256" w:rsidP="005E2E61">
            <w:pPr>
              <w:spacing w:after="0" w:line="240" w:lineRule="auto"/>
              <w:jc w:val="center"/>
              <w:rPr>
                <w:rFonts w:ascii="Times New Roman" w:eastAsia="Times New Roman" w:hAnsi="Times New Roman"/>
                <w:color w:val="000000"/>
                <w:szCs w:val="24"/>
                <w:lang w:eastAsia="en-GB"/>
              </w:rPr>
            </w:pPr>
            <w:r w:rsidRPr="00A423E8">
              <w:rPr>
                <w:rFonts w:ascii="Times New Roman" w:eastAsia="Times New Roman" w:hAnsi="Times New Roman"/>
                <w:color w:val="000000"/>
                <w:szCs w:val="24"/>
                <w:lang w:eastAsia="en-GB"/>
              </w:rPr>
              <w:t>1.0</w:t>
            </w:r>
          </w:p>
        </w:tc>
      </w:tr>
      <w:tr w:rsidR="00803256" w:rsidRPr="00A423E8" w14:paraId="67104FE0" w14:textId="77777777" w:rsidTr="005E2E61">
        <w:trPr>
          <w:trHeight w:val="315"/>
        </w:trPr>
        <w:tc>
          <w:tcPr>
            <w:tcW w:w="1420" w:type="dxa"/>
            <w:tcBorders>
              <w:top w:val="single" w:sz="4" w:space="0" w:color="auto"/>
              <w:left w:val="nil"/>
              <w:bottom w:val="single" w:sz="4" w:space="0" w:color="auto"/>
              <w:right w:val="nil"/>
            </w:tcBorders>
            <w:shd w:val="clear" w:color="auto" w:fill="auto"/>
            <w:noWrap/>
            <w:vAlign w:val="bottom"/>
            <w:hideMark/>
          </w:tcPr>
          <w:p w14:paraId="2CE75570" w14:textId="77777777" w:rsidR="00803256" w:rsidRPr="00A423E8" w:rsidRDefault="00803256" w:rsidP="005E2E61">
            <w:pPr>
              <w:spacing w:after="0" w:line="240" w:lineRule="auto"/>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N</w:t>
            </w:r>
          </w:p>
        </w:tc>
        <w:tc>
          <w:tcPr>
            <w:tcW w:w="1200" w:type="dxa"/>
            <w:tcBorders>
              <w:top w:val="single" w:sz="4" w:space="0" w:color="auto"/>
              <w:left w:val="nil"/>
              <w:bottom w:val="single" w:sz="4" w:space="0" w:color="auto"/>
              <w:right w:val="nil"/>
            </w:tcBorders>
            <w:shd w:val="clear" w:color="auto" w:fill="auto"/>
            <w:noWrap/>
            <w:vAlign w:val="bottom"/>
            <w:hideMark/>
          </w:tcPr>
          <w:p w14:paraId="41C58433"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90</w:t>
            </w:r>
          </w:p>
        </w:tc>
        <w:tc>
          <w:tcPr>
            <w:tcW w:w="1180" w:type="dxa"/>
            <w:tcBorders>
              <w:top w:val="single" w:sz="4" w:space="0" w:color="auto"/>
              <w:left w:val="nil"/>
              <w:bottom w:val="single" w:sz="4" w:space="0" w:color="auto"/>
              <w:right w:val="nil"/>
            </w:tcBorders>
            <w:shd w:val="clear" w:color="auto" w:fill="auto"/>
            <w:noWrap/>
            <w:vAlign w:val="bottom"/>
            <w:hideMark/>
          </w:tcPr>
          <w:p w14:paraId="516D828D"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89</w:t>
            </w:r>
          </w:p>
        </w:tc>
        <w:tc>
          <w:tcPr>
            <w:tcW w:w="1200" w:type="dxa"/>
            <w:tcBorders>
              <w:top w:val="single" w:sz="4" w:space="0" w:color="auto"/>
              <w:left w:val="nil"/>
              <w:bottom w:val="single" w:sz="4" w:space="0" w:color="auto"/>
              <w:right w:val="nil"/>
            </w:tcBorders>
            <w:shd w:val="clear" w:color="auto" w:fill="auto"/>
            <w:noWrap/>
            <w:vAlign w:val="bottom"/>
            <w:hideMark/>
          </w:tcPr>
          <w:p w14:paraId="713635E2"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90</w:t>
            </w:r>
          </w:p>
        </w:tc>
        <w:tc>
          <w:tcPr>
            <w:tcW w:w="1200" w:type="dxa"/>
            <w:tcBorders>
              <w:top w:val="single" w:sz="4" w:space="0" w:color="auto"/>
              <w:left w:val="nil"/>
              <w:bottom w:val="single" w:sz="4" w:space="0" w:color="auto"/>
              <w:right w:val="nil"/>
            </w:tcBorders>
            <w:shd w:val="clear" w:color="auto" w:fill="auto"/>
            <w:noWrap/>
            <w:vAlign w:val="bottom"/>
            <w:hideMark/>
          </w:tcPr>
          <w:p w14:paraId="47BE1710"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89</w:t>
            </w:r>
          </w:p>
        </w:tc>
        <w:tc>
          <w:tcPr>
            <w:tcW w:w="1080" w:type="dxa"/>
            <w:tcBorders>
              <w:top w:val="single" w:sz="4" w:space="0" w:color="auto"/>
              <w:left w:val="nil"/>
              <w:bottom w:val="single" w:sz="4" w:space="0" w:color="auto"/>
              <w:right w:val="nil"/>
            </w:tcBorders>
            <w:shd w:val="clear" w:color="auto" w:fill="auto"/>
            <w:noWrap/>
            <w:vAlign w:val="bottom"/>
            <w:hideMark/>
          </w:tcPr>
          <w:p w14:paraId="6287934F"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90</w:t>
            </w:r>
          </w:p>
        </w:tc>
        <w:tc>
          <w:tcPr>
            <w:tcW w:w="1080" w:type="dxa"/>
            <w:tcBorders>
              <w:top w:val="single" w:sz="4" w:space="0" w:color="auto"/>
              <w:left w:val="nil"/>
              <w:bottom w:val="single" w:sz="4" w:space="0" w:color="auto"/>
              <w:right w:val="nil"/>
            </w:tcBorders>
            <w:shd w:val="clear" w:color="auto" w:fill="auto"/>
            <w:noWrap/>
            <w:vAlign w:val="bottom"/>
            <w:hideMark/>
          </w:tcPr>
          <w:p w14:paraId="062B1705"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89</w:t>
            </w:r>
          </w:p>
        </w:tc>
        <w:tc>
          <w:tcPr>
            <w:tcW w:w="1003" w:type="dxa"/>
            <w:tcBorders>
              <w:top w:val="single" w:sz="4" w:space="0" w:color="auto"/>
              <w:left w:val="nil"/>
              <w:bottom w:val="single" w:sz="4" w:space="0" w:color="auto"/>
              <w:right w:val="nil"/>
            </w:tcBorders>
            <w:shd w:val="clear" w:color="auto" w:fill="auto"/>
            <w:noWrap/>
            <w:vAlign w:val="bottom"/>
            <w:hideMark/>
          </w:tcPr>
          <w:p w14:paraId="3E1EBBB6"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90</w:t>
            </w:r>
          </w:p>
        </w:tc>
        <w:tc>
          <w:tcPr>
            <w:tcW w:w="1040" w:type="dxa"/>
            <w:tcBorders>
              <w:top w:val="single" w:sz="4" w:space="0" w:color="auto"/>
              <w:left w:val="nil"/>
              <w:bottom w:val="single" w:sz="4" w:space="0" w:color="auto"/>
              <w:right w:val="nil"/>
            </w:tcBorders>
            <w:shd w:val="clear" w:color="auto" w:fill="auto"/>
            <w:noWrap/>
            <w:vAlign w:val="bottom"/>
            <w:hideMark/>
          </w:tcPr>
          <w:p w14:paraId="3C1404FE" w14:textId="77777777" w:rsidR="00803256" w:rsidRPr="00A423E8" w:rsidRDefault="00803256" w:rsidP="005E2E61">
            <w:pPr>
              <w:spacing w:after="0" w:line="240" w:lineRule="auto"/>
              <w:jc w:val="center"/>
              <w:rPr>
                <w:rFonts w:ascii="Times New Roman" w:eastAsia="Times New Roman" w:hAnsi="Times New Roman"/>
                <w:b/>
                <w:bCs/>
                <w:color w:val="000000"/>
                <w:szCs w:val="24"/>
                <w:lang w:eastAsia="en-GB"/>
              </w:rPr>
            </w:pPr>
            <w:r w:rsidRPr="00A423E8">
              <w:rPr>
                <w:rFonts w:ascii="Times New Roman" w:eastAsia="Times New Roman" w:hAnsi="Times New Roman"/>
                <w:b/>
                <w:bCs/>
                <w:color w:val="000000"/>
                <w:szCs w:val="24"/>
                <w:lang w:eastAsia="en-GB"/>
              </w:rPr>
              <w:t>89</w:t>
            </w:r>
          </w:p>
        </w:tc>
      </w:tr>
    </w:tbl>
    <w:p w14:paraId="77D528C7" w14:textId="5F0E256F" w:rsidR="00803256" w:rsidRPr="00C7471F" w:rsidRDefault="00803256" w:rsidP="00803256">
      <w:pPr>
        <w:spacing w:line="240" w:lineRule="auto"/>
        <w:jc w:val="both"/>
        <w:rPr>
          <w:rFonts w:ascii="Times New Roman" w:hAnsi="Times New Roman"/>
          <w:sz w:val="20"/>
          <w:szCs w:val="20"/>
        </w:rPr>
      </w:pPr>
      <w:r w:rsidRPr="00A423E8">
        <w:rPr>
          <w:rFonts w:ascii="Times New Roman" w:hAnsi="Times New Roman"/>
          <w:sz w:val="20"/>
          <w:szCs w:val="20"/>
        </w:rPr>
        <w:t xml:space="preserve">Notes: Hours at work includes hours in either main or secondary activity. Hours relate to full-time teachers who were not on holiday/sick leave, who reported that it represented a </w:t>
      </w:r>
      <w:r w:rsidR="000139FD">
        <w:rPr>
          <w:rFonts w:ascii="Times New Roman" w:hAnsi="Times New Roman"/>
          <w:sz w:val="20"/>
          <w:szCs w:val="20"/>
        </w:rPr>
        <w:t>‘</w:t>
      </w:r>
      <w:r w:rsidRPr="00A423E8">
        <w:rPr>
          <w:rFonts w:ascii="Times New Roman" w:hAnsi="Times New Roman"/>
          <w:sz w:val="20"/>
          <w:szCs w:val="20"/>
        </w:rPr>
        <w:t>typical</w:t>
      </w:r>
      <w:r w:rsidR="000139FD">
        <w:rPr>
          <w:rFonts w:ascii="Times New Roman" w:hAnsi="Times New Roman"/>
          <w:sz w:val="20"/>
          <w:szCs w:val="20"/>
        </w:rPr>
        <w:t>’</w:t>
      </w:r>
      <w:r w:rsidRPr="00A423E8">
        <w:rPr>
          <w:rFonts w:ascii="Times New Roman" w:hAnsi="Times New Roman"/>
          <w:sz w:val="20"/>
          <w:szCs w:val="20"/>
        </w:rPr>
        <w:t xml:space="preserve"> day and who reported working at some point during that day. Weekend hours based upon term</w:t>
      </w:r>
      <w:r w:rsidR="000139FD">
        <w:rPr>
          <w:rFonts w:ascii="Times New Roman" w:hAnsi="Times New Roman"/>
          <w:sz w:val="20"/>
          <w:szCs w:val="20"/>
        </w:rPr>
        <w:t xml:space="preserve"> </w:t>
      </w:r>
      <w:r w:rsidRPr="00A423E8">
        <w:rPr>
          <w:rFonts w:ascii="Times New Roman" w:hAnsi="Times New Roman"/>
          <w:sz w:val="20"/>
          <w:szCs w:val="20"/>
        </w:rPr>
        <w:t xml:space="preserve">time weeks only. Figures in panel (a) do not include breaks or time spent travelling to work. </w:t>
      </w:r>
      <w:r w:rsidR="00875EB6" w:rsidRPr="00A423E8">
        <w:rPr>
          <w:rFonts w:ascii="Times New Roman" w:hAnsi="Times New Roman"/>
          <w:sz w:val="20"/>
          <w:szCs w:val="20"/>
        </w:rPr>
        <w:t xml:space="preserve">Source = </w:t>
      </w:r>
      <w:r w:rsidR="00875EB6">
        <w:rPr>
          <w:rFonts w:ascii="Times New Roman" w:hAnsi="Times New Roman"/>
          <w:sz w:val="20"/>
          <w:szCs w:val="20"/>
        </w:rPr>
        <w:t>UK Time</w:t>
      </w:r>
      <w:r w:rsidR="000139FD">
        <w:rPr>
          <w:rFonts w:ascii="Times New Roman" w:hAnsi="Times New Roman"/>
          <w:sz w:val="20"/>
          <w:szCs w:val="20"/>
        </w:rPr>
        <w:t xml:space="preserve"> </w:t>
      </w:r>
      <w:r w:rsidR="00875EB6">
        <w:rPr>
          <w:rFonts w:ascii="Times New Roman" w:hAnsi="Times New Roman"/>
          <w:sz w:val="20"/>
          <w:szCs w:val="20"/>
        </w:rPr>
        <w:t>Use Surveys</w:t>
      </w:r>
      <w:r w:rsidR="00875EB6" w:rsidRPr="00A423E8">
        <w:rPr>
          <w:rFonts w:ascii="Times New Roman" w:hAnsi="Times New Roman"/>
          <w:sz w:val="20"/>
          <w:szCs w:val="20"/>
        </w:rPr>
        <w:t>.</w:t>
      </w:r>
    </w:p>
    <w:p w14:paraId="478A436B" w14:textId="3CBEFE53" w:rsidR="00803256" w:rsidRPr="00803256" w:rsidRDefault="00803256" w:rsidP="00803256">
      <w:pPr>
        <w:spacing w:line="360" w:lineRule="auto"/>
        <w:jc w:val="both"/>
        <w:rPr>
          <w:rFonts w:ascii="Times New Roman" w:hAnsi="Times New Roman"/>
          <w:color w:val="000000"/>
          <w:sz w:val="24"/>
          <w:szCs w:val="24"/>
        </w:rPr>
      </w:pPr>
      <w:r w:rsidRPr="00803256">
        <w:rPr>
          <w:rFonts w:ascii="Times New Roman" w:hAnsi="Times New Roman"/>
          <w:color w:val="000000"/>
          <w:sz w:val="24"/>
          <w:szCs w:val="24"/>
        </w:rPr>
        <w:lastRenderedPageBreak/>
        <w:t>Panel (b) provides further details on other types of work (e.g. commuting time, family responsibilities) that may also put time pressure upon teachers’ lives. Again, these results seem to reveal little change over time. The average time teachers spend upon travelling to work, home chores, family care and voluntary work in 2014/</w:t>
      </w:r>
      <w:r w:rsidR="000139FD">
        <w:rPr>
          <w:rFonts w:ascii="Times New Roman" w:hAnsi="Times New Roman"/>
          <w:color w:val="000000"/>
          <w:sz w:val="24"/>
          <w:szCs w:val="24"/>
        </w:rPr>
        <w:t>20</w:t>
      </w:r>
      <w:r w:rsidRPr="00803256">
        <w:rPr>
          <w:rFonts w:ascii="Times New Roman" w:hAnsi="Times New Roman"/>
          <w:color w:val="000000"/>
          <w:sz w:val="24"/>
          <w:szCs w:val="24"/>
        </w:rPr>
        <w:t>15 is similar to in 2000/</w:t>
      </w:r>
      <w:r w:rsidR="000139FD">
        <w:rPr>
          <w:rFonts w:ascii="Times New Roman" w:hAnsi="Times New Roman"/>
          <w:color w:val="000000"/>
          <w:sz w:val="24"/>
          <w:szCs w:val="24"/>
        </w:rPr>
        <w:t>20</w:t>
      </w:r>
      <w:r w:rsidRPr="00803256">
        <w:rPr>
          <w:rFonts w:ascii="Times New Roman" w:hAnsi="Times New Roman"/>
          <w:color w:val="000000"/>
          <w:sz w:val="24"/>
          <w:szCs w:val="24"/>
        </w:rPr>
        <w:t xml:space="preserve">01 (values have typically moved </w:t>
      </w:r>
      <w:r w:rsidR="000139FD">
        <w:rPr>
          <w:rFonts w:ascii="Times New Roman" w:hAnsi="Times New Roman"/>
          <w:color w:val="000000"/>
          <w:sz w:val="24"/>
          <w:szCs w:val="24"/>
        </w:rPr>
        <w:t>ten</w:t>
      </w:r>
      <w:r w:rsidR="000139FD" w:rsidRPr="00803256">
        <w:rPr>
          <w:rFonts w:ascii="Times New Roman" w:hAnsi="Times New Roman"/>
          <w:color w:val="000000"/>
          <w:sz w:val="24"/>
          <w:szCs w:val="24"/>
        </w:rPr>
        <w:t xml:space="preserve"> </w:t>
      </w:r>
      <w:r w:rsidRPr="00803256">
        <w:rPr>
          <w:rFonts w:ascii="Times New Roman" w:hAnsi="Times New Roman"/>
          <w:color w:val="000000"/>
          <w:sz w:val="24"/>
          <w:szCs w:val="24"/>
        </w:rPr>
        <w:t>to 15 minutes in either direction). These differences are not large or statistically significant and hence provide further evidence of a broadly stable picture over time.</w:t>
      </w:r>
    </w:p>
    <w:p w14:paraId="4101D6DE" w14:textId="10CDE6BE" w:rsidR="006B2A3E" w:rsidRPr="006B2A3E" w:rsidRDefault="00803256" w:rsidP="008B4E20">
      <w:pPr>
        <w:pStyle w:val="Heading2"/>
        <w:spacing w:line="360" w:lineRule="auto"/>
        <w:rPr>
          <w:rFonts w:ascii="Times New Roman" w:hAnsi="Times New Roman" w:cs="Times New Roman"/>
          <w:b/>
          <w:color w:val="000000" w:themeColor="text1"/>
          <w:sz w:val="24"/>
          <w:szCs w:val="24"/>
        </w:rPr>
      </w:pPr>
      <w:bookmarkStart w:id="21" w:name="_Toc67406014"/>
      <w:r w:rsidRPr="00803256">
        <w:rPr>
          <w:rFonts w:ascii="Times New Roman" w:hAnsi="Times New Roman" w:cs="Times New Roman"/>
          <w:b/>
          <w:color w:val="000000" w:themeColor="text1"/>
          <w:sz w:val="24"/>
          <w:szCs w:val="24"/>
        </w:rPr>
        <w:t>9.4 Trends in time devoted to different tasks. 2013 to 2018</w:t>
      </w:r>
      <w:bookmarkEnd w:id="21"/>
    </w:p>
    <w:p w14:paraId="0D16B8C5" w14:textId="77777777" w:rsidR="00803256" w:rsidRPr="00803256" w:rsidRDefault="00803256" w:rsidP="00803256">
      <w:pPr>
        <w:spacing w:line="360" w:lineRule="auto"/>
        <w:jc w:val="both"/>
        <w:rPr>
          <w:rFonts w:ascii="Times New Roman" w:hAnsi="Times New Roman"/>
          <w:color w:val="000000" w:themeColor="text1"/>
          <w:sz w:val="24"/>
          <w:szCs w:val="24"/>
        </w:rPr>
      </w:pPr>
      <w:r w:rsidRPr="00803256">
        <w:rPr>
          <w:rFonts w:ascii="Times New Roman" w:hAnsi="Times New Roman"/>
          <w:color w:val="000000" w:themeColor="text1"/>
          <w:sz w:val="24"/>
          <w:szCs w:val="24"/>
        </w:rPr>
        <w:t>Using the TALIS 2013 and 2018 datasets for England, we can also explore the average time that lower secondary teachers spend upon different tasks. Although data are only available over a short five-year time horizon, and relate only to lower-secondary teachers, it is important that we document whether any change has emerged in specific areas e.g. marking, planning, administration.</w:t>
      </w:r>
    </w:p>
    <w:p w14:paraId="3BBB06DA" w14:textId="062F7851" w:rsidR="00803256" w:rsidRDefault="00803256" w:rsidP="00803256">
      <w:pPr>
        <w:spacing w:after="0" w:line="240" w:lineRule="auto"/>
        <w:jc w:val="center"/>
        <w:rPr>
          <w:rFonts w:ascii="Times New Roman" w:hAnsi="Times New Roman"/>
          <w:b/>
          <w:sz w:val="24"/>
          <w:szCs w:val="24"/>
        </w:rPr>
      </w:pPr>
      <w:r w:rsidRPr="00803256">
        <w:rPr>
          <w:rFonts w:ascii="Times New Roman" w:hAnsi="Times New Roman"/>
          <w:b/>
          <w:sz w:val="24"/>
          <w:szCs w:val="24"/>
        </w:rPr>
        <w:t>Table 9.2 Change in the average amount of time full-time lower-secondary teachers in England spend upon different tasks between 2013 and 2018</w:t>
      </w:r>
    </w:p>
    <w:p w14:paraId="77B65796" w14:textId="77777777" w:rsidR="00CB6F13" w:rsidRPr="00803256" w:rsidRDefault="00CB6F13" w:rsidP="00803256">
      <w:pPr>
        <w:spacing w:after="0" w:line="240" w:lineRule="auto"/>
        <w:jc w:val="center"/>
        <w:rPr>
          <w:rFonts w:ascii="Times New Roman" w:hAnsi="Times New Roman"/>
          <w:b/>
          <w:sz w:val="24"/>
          <w:szCs w:val="24"/>
        </w:rPr>
      </w:pPr>
    </w:p>
    <w:tbl>
      <w:tblPr>
        <w:tblW w:w="6300" w:type="dxa"/>
        <w:jc w:val="center"/>
        <w:tblLook w:val="04A0" w:firstRow="1" w:lastRow="0" w:firstColumn="1" w:lastColumn="0" w:noHBand="0" w:noVBand="1"/>
      </w:tblPr>
      <w:tblGrid>
        <w:gridCol w:w="3400"/>
        <w:gridCol w:w="1450"/>
        <w:gridCol w:w="1450"/>
      </w:tblGrid>
      <w:tr w:rsidR="00803256" w:rsidRPr="00A423E8" w14:paraId="51563B7F" w14:textId="77777777" w:rsidTr="005E2E61">
        <w:trPr>
          <w:trHeight w:val="315"/>
          <w:jc w:val="center"/>
        </w:trPr>
        <w:tc>
          <w:tcPr>
            <w:tcW w:w="3400" w:type="dxa"/>
            <w:tcBorders>
              <w:top w:val="single" w:sz="4" w:space="0" w:color="auto"/>
              <w:left w:val="single" w:sz="4" w:space="0" w:color="auto"/>
              <w:bottom w:val="single" w:sz="4" w:space="0" w:color="auto"/>
              <w:right w:val="single" w:sz="4" w:space="0" w:color="auto"/>
            </w:tcBorders>
            <w:shd w:val="clear" w:color="000000" w:fill="9FB9C8"/>
            <w:noWrap/>
            <w:vAlign w:val="center"/>
            <w:hideMark/>
          </w:tcPr>
          <w:p w14:paraId="1102B642" w14:textId="77777777" w:rsidR="00803256" w:rsidRPr="00A423E8" w:rsidRDefault="00803256" w:rsidP="005E2E61">
            <w:pPr>
              <w:spacing w:after="0" w:line="240" w:lineRule="auto"/>
              <w:rPr>
                <w:rFonts w:ascii="Times New Roman" w:eastAsia="Times New Roman" w:hAnsi="Times New Roman" w:cs="Times New Roman"/>
                <w:b/>
                <w:bCs/>
                <w:color w:val="000000"/>
                <w:szCs w:val="24"/>
                <w:lang w:eastAsia="en-GB"/>
              </w:rPr>
            </w:pPr>
          </w:p>
        </w:tc>
        <w:tc>
          <w:tcPr>
            <w:tcW w:w="1450" w:type="dxa"/>
            <w:tcBorders>
              <w:top w:val="single" w:sz="4" w:space="0" w:color="auto"/>
              <w:left w:val="nil"/>
              <w:bottom w:val="single" w:sz="4" w:space="0" w:color="auto"/>
              <w:right w:val="single" w:sz="4" w:space="0" w:color="auto"/>
            </w:tcBorders>
            <w:shd w:val="clear" w:color="000000" w:fill="9FB9C8"/>
            <w:noWrap/>
            <w:vAlign w:val="center"/>
            <w:hideMark/>
          </w:tcPr>
          <w:p w14:paraId="3016CC62" w14:textId="77777777" w:rsidR="00803256" w:rsidRPr="00A423E8" w:rsidRDefault="00803256" w:rsidP="005E2E61">
            <w:pPr>
              <w:spacing w:after="0" w:line="240" w:lineRule="auto"/>
              <w:jc w:val="center"/>
              <w:rPr>
                <w:rFonts w:ascii="Times New Roman" w:eastAsia="Times New Roman" w:hAnsi="Times New Roman" w:cs="Times New Roman"/>
                <w:b/>
                <w:bCs/>
                <w:color w:val="000000"/>
                <w:szCs w:val="24"/>
                <w:lang w:eastAsia="en-GB"/>
              </w:rPr>
            </w:pPr>
            <w:r w:rsidRPr="00A423E8">
              <w:rPr>
                <w:rFonts w:ascii="Times New Roman" w:eastAsia="Times New Roman" w:hAnsi="Times New Roman" w:cs="Times New Roman"/>
                <w:b/>
                <w:bCs/>
                <w:color w:val="000000"/>
                <w:szCs w:val="24"/>
                <w:lang w:eastAsia="en-GB"/>
              </w:rPr>
              <w:t>2013</w:t>
            </w:r>
          </w:p>
        </w:tc>
        <w:tc>
          <w:tcPr>
            <w:tcW w:w="1450" w:type="dxa"/>
            <w:tcBorders>
              <w:top w:val="single" w:sz="4" w:space="0" w:color="auto"/>
              <w:left w:val="nil"/>
              <w:bottom w:val="single" w:sz="4" w:space="0" w:color="auto"/>
              <w:right w:val="single" w:sz="4" w:space="0" w:color="auto"/>
            </w:tcBorders>
            <w:shd w:val="clear" w:color="000000" w:fill="9FB9C8"/>
            <w:noWrap/>
            <w:vAlign w:val="center"/>
            <w:hideMark/>
          </w:tcPr>
          <w:p w14:paraId="75AB8D3C" w14:textId="77777777" w:rsidR="00803256" w:rsidRPr="00A423E8" w:rsidRDefault="00803256" w:rsidP="005E2E61">
            <w:pPr>
              <w:spacing w:after="0" w:line="240" w:lineRule="auto"/>
              <w:jc w:val="center"/>
              <w:rPr>
                <w:rFonts w:ascii="Times New Roman" w:eastAsia="Times New Roman" w:hAnsi="Times New Roman" w:cs="Times New Roman"/>
                <w:b/>
                <w:bCs/>
                <w:color w:val="000000"/>
                <w:szCs w:val="24"/>
                <w:lang w:eastAsia="en-GB"/>
              </w:rPr>
            </w:pPr>
            <w:r w:rsidRPr="00A423E8">
              <w:rPr>
                <w:rFonts w:ascii="Times New Roman" w:eastAsia="Times New Roman" w:hAnsi="Times New Roman" w:cs="Times New Roman"/>
                <w:b/>
                <w:bCs/>
                <w:color w:val="000000"/>
                <w:szCs w:val="24"/>
                <w:lang w:eastAsia="en-GB"/>
              </w:rPr>
              <w:t>2018</w:t>
            </w:r>
          </w:p>
        </w:tc>
      </w:tr>
      <w:tr w:rsidR="00803256" w:rsidRPr="00A423E8" w14:paraId="28DCBFC9" w14:textId="77777777" w:rsidTr="005E2E61">
        <w:trPr>
          <w:trHeight w:val="315"/>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743544FC" w14:textId="77777777" w:rsidR="00803256" w:rsidRPr="00A423E8" w:rsidRDefault="00803256" w:rsidP="005E2E61">
            <w:pPr>
              <w:spacing w:after="0" w:line="240" w:lineRule="auto"/>
              <w:rPr>
                <w:rFonts w:ascii="Times New Roman" w:eastAsia="Times New Roman" w:hAnsi="Times New Roman" w:cs="Times New Roman"/>
                <w:bCs/>
                <w:color w:val="000000"/>
                <w:szCs w:val="24"/>
                <w:lang w:eastAsia="en-GB"/>
              </w:rPr>
            </w:pPr>
            <w:r w:rsidRPr="00A423E8">
              <w:rPr>
                <w:rFonts w:ascii="Times New Roman" w:eastAsia="Times New Roman" w:hAnsi="Times New Roman" w:cs="Times New Roman"/>
                <w:bCs/>
                <w:color w:val="000000"/>
                <w:szCs w:val="24"/>
                <w:lang w:eastAsia="en-GB"/>
              </w:rPr>
              <w:t>Teaching</w:t>
            </w:r>
          </w:p>
        </w:tc>
        <w:tc>
          <w:tcPr>
            <w:tcW w:w="1450" w:type="dxa"/>
            <w:tcBorders>
              <w:top w:val="nil"/>
              <w:left w:val="nil"/>
              <w:bottom w:val="single" w:sz="4" w:space="0" w:color="auto"/>
              <w:right w:val="single" w:sz="4" w:space="0" w:color="auto"/>
            </w:tcBorders>
            <w:shd w:val="clear" w:color="auto" w:fill="auto"/>
            <w:noWrap/>
            <w:vAlign w:val="center"/>
            <w:hideMark/>
          </w:tcPr>
          <w:p w14:paraId="3AA46D2F" w14:textId="77777777" w:rsidR="00803256" w:rsidRPr="00A423E8" w:rsidRDefault="00803256" w:rsidP="005E2E61">
            <w:pPr>
              <w:spacing w:after="0" w:line="240" w:lineRule="auto"/>
              <w:jc w:val="center"/>
              <w:rPr>
                <w:rFonts w:ascii="Times New Roman" w:eastAsia="Times New Roman" w:hAnsi="Times New Roman" w:cs="Times New Roman"/>
                <w:bCs/>
                <w:color w:val="000000"/>
                <w:szCs w:val="24"/>
                <w:lang w:eastAsia="en-GB"/>
              </w:rPr>
            </w:pPr>
            <w:r w:rsidRPr="00A423E8">
              <w:rPr>
                <w:rFonts w:ascii="Times New Roman" w:eastAsia="Times New Roman" w:hAnsi="Times New Roman" w:cs="Times New Roman"/>
                <w:bCs/>
                <w:color w:val="000000"/>
                <w:szCs w:val="24"/>
                <w:lang w:eastAsia="en-GB"/>
              </w:rPr>
              <w:t>20.3</w:t>
            </w:r>
          </w:p>
        </w:tc>
        <w:tc>
          <w:tcPr>
            <w:tcW w:w="1450" w:type="dxa"/>
            <w:tcBorders>
              <w:top w:val="nil"/>
              <w:left w:val="nil"/>
              <w:bottom w:val="single" w:sz="4" w:space="0" w:color="auto"/>
              <w:right w:val="single" w:sz="4" w:space="0" w:color="auto"/>
            </w:tcBorders>
            <w:shd w:val="clear" w:color="auto" w:fill="auto"/>
            <w:noWrap/>
            <w:vAlign w:val="center"/>
            <w:hideMark/>
          </w:tcPr>
          <w:p w14:paraId="50FD84CE" w14:textId="77777777" w:rsidR="00803256" w:rsidRPr="00A423E8" w:rsidRDefault="00803256" w:rsidP="005E2E61">
            <w:pPr>
              <w:spacing w:after="0" w:line="240" w:lineRule="auto"/>
              <w:jc w:val="center"/>
              <w:rPr>
                <w:rFonts w:ascii="Times New Roman" w:eastAsia="Times New Roman" w:hAnsi="Times New Roman" w:cs="Times New Roman"/>
                <w:bCs/>
                <w:color w:val="000000"/>
                <w:szCs w:val="24"/>
                <w:lang w:eastAsia="en-GB"/>
              </w:rPr>
            </w:pPr>
            <w:r w:rsidRPr="00A423E8">
              <w:rPr>
                <w:rFonts w:ascii="Times New Roman" w:eastAsia="Times New Roman" w:hAnsi="Times New Roman" w:cs="Times New Roman"/>
                <w:bCs/>
                <w:color w:val="000000"/>
                <w:szCs w:val="24"/>
                <w:lang w:eastAsia="en-GB"/>
              </w:rPr>
              <w:t>20.5</w:t>
            </w:r>
          </w:p>
        </w:tc>
      </w:tr>
      <w:tr w:rsidR="00803256" w:rsidRPr="00A423E8" w14:paraId="044D6A09" w14:textId="77777777" w:rsidTr="005E2E61">
        <w:trPr>
          <w:trHeight w:val="300"/>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37B6398B"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Planning /preparation</w:t>
            </w:r>
          </w:p>
        </w:tc>
        <w:tc>
          <w:tcPr>
            <w:tcW w:w="1450" w:type="dxa"/>
            <w:tcBorders>
              <w:top w:val="nil"/>
              <w:left w:val="nil"/>
              <w:bottom w:val="single" w:sz="4" w:space="0" w:color="auto"/>
              <w:right w:val="single" w:sz="4" w:space="0" w:color="auto"/>
            </w:tcBorders>
            <w:shd w:val="clear" w:color="auto" w:fill="auto"/>
            <w:noWrap/>
            <w:vAlign w:val="center"/>
            <w:hideMark/>
          </w:tcPr>
          <w:p w14:paraId="64CA53D3"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8.0</w:t>
            </w:r>
          </w:p>
        </w:tc>
        <w:tc>
          <w:tcPr>
            <w:tcW w:w="1450" w:type="dxa"/>
            <w:tcBorders>
              <w:top w:val="nil"/>
              <w:left w:val="nil"/>
              <w:bottom w:val="single" w:sz="4" w:space="0" w:color="auto"/>
              <w:right w:val="single" w:sz="4" w:space="0" w:color="auto"/>
            </w:tcBorders>
            <w:shd w:val="clear" w:color="auto" w:fill="auto"/>
            <w:noWrap/>
            <w:vAlign w:val="center"/>
            <w:hideMark/>
          </w:tcPr>
          <w:p w14:paraId="40FEA6AF"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7.5</w:t>
            </w:r>
          </w:p>
        </w:tc>
      </w:tr>
      <w:tr w:rsidR="00803256" w:rsidRPr="00A423E8" w14:paraId="12333BAD" w14:textId="77777777" w:rsidTr="005E2E61">
        <w:trPr>
          <w:trHeight w:val="300"/>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28E9824F"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proofErr w:type="spellStart"/>
            <w:r w:rsidRPr="00A423E8">
              <w:rPr>
                <w:rFonts w:ascii="Times New Roman" w:eastAsia="Times New Roman" w:hAnsi="Times New Roman" w:cs="Times New Roman"/>
                <w:color w:val="000000"/>
                <w:szCs w:val="24"/>
                <w:lang w:eastAsia="en-GB"/>
              </w:rPr>
              <w:t>Teamworking</w:t>
            </w:r>
            <w:proofErr w:type="spellEnd"/>
          </w:p>
        </w:tc>
        <w:tc>
          <w:tcPr>
            <w:tcW w:w="1450" w:type="dxa"/>
            <w:tcBorders>
              <w:top w:val="nil"/>
              <w:left w:val="nil"/>
              <w:bottom w:val="single" w:sz="4" w:space="0" w:color="auto"/>
              <w:right w:val="single" w:sz="4" w:space="0" w:color="auto"/>
            </w:tcBorders>
            <w:shd w:val="clear" w:color="auto" w:fill="auto"/>
            <w:noWrap/>
            <w:vAlign w:val="center"/>
            <w:hideMark/>
          </w:tcPr>
          <w:p w14:paraId="2138DC87"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3.5</w:t>
            </w:r>
          </w:p>
        </w:tc>
        <w:tc>
          <w:tcPr>
            <w:tcW w:w="1450" w:type="dxa"/>
            <w:tcBorders>
              <w:top w:val="nil"/>
              <w:left w:val="nil"/>
              <w:bottom w:val="single" w:sz="4" w:space="0" w:color="auto"/>
              <w:right w:val="single" w:sz="4" w:space="0" w:color="auto"/>
            </w:tcBorders>
            <w:shd w:val="clear" w:color="auto" w:fill="auto"/>
            <w:noWrap/>
            <w:vAlign w:val="center"/>
            <w:hideMark/>
          </w:tcPr>
          <w:p w14:paraId="1D70F9FE"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3.2</w:t>
            </w:r>
          </w:p>
        </w:tc>
      </w:tr>
      <w:tr w:rsidR="00803256" w:rsidRPr="00A423E8" w14:paraId="127BB2D7" w14:textId="77777777" w:rsidTr="005E2E61">
        <w:trPr>
          <w:trHeight w:val="300"/>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52850A61"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Marking</w:t>
            </w:r>
          </w:p>
        </w:tc>
        <w:tc>
          <w:tcPr>
            <w:tcW w:w="1450" w:type="dxa"/>
            <w:tcBorders>
              <w:top w:val="nil"/>
              <w:left w:val="nil"/>
              <w:bottom w:val="single" w:sz="4" w:space="0" w:color="auto"/>
              <w:right w:val="single" w:sz="4" w:space="0" w:color="auto"/>
            </w:tcBorders>
            <w:shd w:val="clear" w:color="auto" w:fill="auto"/>
            <w:noWrap/>
            <w:vAlign w:val="center"/>
            <w:hideMark/>
          </w:tcPr>
          <w:p w14:paraId="54EBFD5C"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6.3</w:t>
            </w:r>
          </w:p>
        </w:tc>
        <w:tc>
          <w:tcPr>
            <w:tcW w:w="1450" w:type="dxa"/>
            <w:tcBorders>
              <w:top w:val="nil"/>
              <w:left w:val="nil"/>
              <w:bottom w:val="single" w:sz="4" w:space="0" w:color="auto"/>
              <w:right w:val="single" w:sz="4" w:space="0" w:color="auto"/>
            </w:tcBorders>
            <w:shd w:val="clear" w:color="auto" w:fill="auto"/>
            <w:noWrap/>
            <w:vAlign w:val="center"/>
            <w:hideMark/>
          </w:tcPr>
          <w:p w14:paraId="7C638F41"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6.3</w:t>
            </w:r>
          </w:p>
        </w:tc>
      </w:tr>
      <w:tr w:rsidR="00803256" w:rsidRPr="00A423E8" w14:paraId="4FA317B2" w14:textId="77777777" w:rsidTr="005E2E61">
        <w:trPr>
          <w:trHeight w:val="300"/>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2E88B042"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Pupil guidance/discipline</w:t>
            </w:r>
          </w:p>
        </w:tc>
        <w:tc>
          <w:tcPr>
            <w:tcW w:w="1450" w:type="dxa"/>
            <w:tcBorders>
              <w:top w:val="nil"/>
              <w:left w:val="nil"/>
              <w:bottom w:val="single" w:sz="4" w:space="0" w:color="auto"/>
              <w:right w:val="single" w:sz="4" w:space="0" w:color="auto"/>
            </w:tcBorders>
            <w:shd w:val="clear" w:color="auto" w:fill="auto"/>
            <w:noWrap/>
            <w:vAlign w:val="center"/>
            <w:hideMark/>
          </w:tcPr>
          <w:p w14:paraId="4CDE98C3"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1.8</w:t>
            </w:r>
          </w:p>
        </w:tc>
        <w:tc>
          <w:tcPr>
            <w:tcW w:w="1450" w:type="dxa"/>
            <w:tcBorders>
              <w:top w:val="nil"/>
              <w:left w:val="nil"/>
              <w:bottom w:val="single" w:sz="4" w:space="0" w:color="auto"/>
              <w:right w:val="single" w:sz="4" w:space="0" w:color="auto"/>
            </w:tcBorders>
            <w:shd w:val="clear" w:color="auto" w:fill="auto"/>
            <w:noWrap/>
            <w:vAlign w:val="center"/>
            <w:hideMark/>
          </w:tcPr>
          <w:p w14:paraId="129740F1"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2.7</w:t>
            </w:r>
          </w:p>
        </w:tc>
      </w:tr>
      <w:tr w:rsidR="00803256" w:rsidRPr="00A423E8" w14:paraId="5A99E654" w14:textId="77777777" w:rsidTr="005E2E61">
        <w:trPr>
          <w:trHeight w:val="300"/>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3ED0DFB5"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Management</w:t>
            </w:r>
          </w:p>
        </w:tc>
        <w:tc>
          <w:tcPr>
            <w:tcW w:w="1450" w:type="dxa"/>
            <w:tcBorders>
              <w:top w:val="nil"/>
              <w:left w:val="nil"/>
              <w:bottom w:val="single" w:sz="4" w:space="0" w:color="auto"/>
              <w:right w:val="single" w:sz="4" w:space="0" w:color="auto"/>
            </w:tcBorders>
            <w:shd w:val="clear" w:color="auto" w:fill="auto"/>
            <w:noWrap/>
            <w:vAlign w:val="center"/>
            <w:hideMark/>
          </w:tcPr>
          <w:p w14:paraId="6E22E6A3"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2.4</w:t>
            </w:r>
          </w:p>
        </w:tc>
        <w:tc>
          <w:tcPr>
            <w:tcW w:w="1450" w:type="dxa"/>
            <w:tcBorders>
              <w:top w:val="nil"/>
              <w:left w:val="nil"/>
              <w:bottom w:val="single" w:sz="4" w:space="0" w:color="auto"/>
              <w:right w:val="single" w:sz="4" w:space="0" w:color="auto"/>
            </w:tcBorders>
            <w:shd w:val="clear" w:color="auto" w:fill="auto"/>
            <w:noWrap/>
            <w:vAlign w:val="center"/>
            <w:hideMark/>
          </w:tcPr>
          <w:p w14:paraId="4BF6EAC8"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2.3</w:t>
            </w:r>
          </w:p>
        </w:tc>
      </w:tr>
      <w:tr w:rsidR="00803256" w:rsidRPr="00A423E8" w14:paraId="5D521D33" w14:textId="77777777" w:rsidTr="005E2E61">
        <w:trPr>
          <w:trHeight w:val="300"/>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5D25FF07"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Administration</w:t>
            </w:r>
          </w:p>
        </w:tc>
        <w:tc>
          <w:tcPr>
            <w:tcW w:w="1450" w:type="dxa"/>
            <w:tcBorders>
              <w:top w:val="nil"/>
              <w:left w:val="nil"/>
              <w:bottom w:val="single" w:sz="4" w:space="0" w:color="auto"/>
              <w:right w:val="single" w:sz="4" w:space="0" w:color="auto"/>
            </w:tcBorders>
            <w:shd w:val="clear" w:color="auto" w:fill="auto"/>
            <w:noWrap/>
            <w:vAlign w:val="center"/>
            <w:hideMark/>
          </w:tcPr>
          <w:p w14:paraId="15B59992"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4.2</w:t>
            </w:r>
          </w:p>
        </w:tc>
        <w:tc>
          <w:tcPr>
            <w:tcW w:w="1450" w:type="dxa"/>
            <w:tcBorders>
              <w:top w:val="nil"/>
              <w:left w:val="nil"/>
              <w:bottom w:val="single" w:sz="4" w:space="0" w:color="auto"/>
              <w:right w:val="single" w:sz="4" w:space="0" w:color="auto"/>
            </w:tcBorders>
            <w:shd w:val="clear" w:color="auto" w:fill="auto"/>
            <w:noWrap/>
            <w:vAlign w:val="center"/>
            <w:hideMark/>
          </w:tcPr>
          <w:p w14:paraId="72D12A56"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4.0</w:t>
            </w:r>
          </w:p>
        </w:tc>
      </w:tr>
      <w:tr w:rsidR="00803256" w:rsidRPr="00A423E8" w14:paraId="1EE58462" w14:textId="77777777" w:rsidTr="005E2E61">
        <w:trPr>
          <w:trHeight w:val="300"/>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32372663"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Talking to parents</w:t>
            </w:r>
          </w:p>
        </w:tc>
        <w:tc>
          <w:tcPr>
            <w:tcW w:w="1450" w:type="dxa"/>
            <w:tcBorders>
              <w:top w:val="nil"/>
              <w:left w:val="nil"/>
              <w:bottom w:val="single" w:sz="4" w:space="0" w:color="auto"/>
              <w:right w:val="single" w:sz="4" w:space="0" w:color="auto"/>
            </w:tcBorders>
            <w:shd w:val="clear" w:color="auto" w:fill="auto"/>
            <w:noWrap/>
            <w:vAlign w:val="center"/>
            <w:hideMark/>
          </w:tcPr>
          <w:p w14:paraId="08C87D48"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1.6</w:t>
            </w:r>
          </w:p>
        </w:tc>
        <w:tc>
          <w:tcPr>
            <w:tcW w:w="1450" w:type="dxa"/>
            <w:tcBorders>
              <w:top w:val="nil"/>
              <w:left w:val="nil"/>
              <w:bottom w:val="single" w:sz="4" w:space="0" w:color="auto"/>
              <w:right w:val="single" w:sz="4" w:space="0" w:color="auto"/>
            </w:tcBorders>
            <w:shd w:val="clear" w:color="auto" w:fill="auto"/>
            <w:noWrap/>
            <w:vAlign w:val="center"/>
            <w:hideMark/>
          </w:tcPr>
          <w:p w14:paraId="0E7AFA6B"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1.6</w:t>
            </w:r>
          </w:p>
        </w:tc>
      </w:tr>
      <w:tr w:rsidR="00803256" w:rsidRPr="00A423E8" w14:paraId="14137049" w14:textId="77777777" w:rsidTr="005E2E61">
        <w:trPr>
          <w:trHeight w:val="315"/>
          <w:jc w:val="center"/>
        </w:trPr>
        <w:tc>
          <w:tcPr>
            <w:tcW w:w="3400" w:type="dxa"/>
            <w:tcBorders>
              <w:top w:val="nil"/>
              <w:left w:val="single" w:sz="4" w:space="0" w:color="auto"/>
              <w:bottom w:val="single" w:sz="4" w:space="0" w:color="auto"/>
              <w:right w:val="single" w:sz="4" w:space="0" w:color="auto"/>
            </w:tcBorders>
            <w:shd w:val="clear" w:color="auto" w:fill="auto"/>
            <w:noWrap/>
            <w:vAlign w:val="bottom"/>
            <w:hideMark/>
          </w:tcPr>
          <w:p w14:paraId="66146F34"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 xml:space="preserve">Extracurricular activities </w:t>
            </w:r>
          </w:p>
        </w:tc>
        <w:tc>
          <w:tcPr>
            <w:tcW w:w="1450" w:type="dxa"/>
            <w:tcBorders>
              <w:top w:val="nil"/>
              <w:left w:val="nil"/>
              <w:bottom w:val="single" w:sz="4" w:space="0" w:color="auto"/>
              <w:right w:val="single" w:sz="4" w:space="0" w:color="auto"/>
            </w:tcBorders>
            <w:shd w:val="clear" w:color="auto" w:fill="auto"/>
            <w:noWrap/>
            <w:vAlign w:val="center"/>
            <w:hideMark/>
          </w:tcPr>
          <w:p w14:paraId="38FB024C"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2.2</w:t>
            </w:r>
          </w:p>
        </w:tc>
        <w:tc>
          <w:tcPr>
            <w:tcW w:w="1450" w:type="dxa"/>
            <w:tcBorders>
              <w:top w:val="nil"/>
              <w:left w:val="nil"/>
              <w:bottom w:val="single" w:sz="4" w:space="0" w:color="auto"/>
              <w:right w:val="single" w:sz="4" w:space="0" w:color="auto"/>
            </w:tcBorders>
            <w:shd w:val="clear" w:color="auto" w:fill="auto"/>
            <w:noWrap/>
            <w:vAlign w:val="center"/>
            <w:hideMark/>
          </w:tcPr>
          <w:p w14:paraId="1093E060"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1.7</w:t>
            </w:r>
          </w:p>
        </w:tc>
      </w:tr>
      <w:tr w:rsidR="00803256" w:rsidRPr="00A423E8" w14:paraId="2831FF4A" w14:textId="77777777" w:rsidTr="005E2E61">
        <w:trPr>
          <w:trHeight w:val="300"/>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48C756D8" w14:textId="77777777" w:rsidR="00803256" w:rsidRPr="00A423E8" w:rsidRDefault="00803256" w:rsidP="005E2E61">
            <w:pPr>
              <w:spacing w:after="0" w:line="240" w:lineRule="auto"/>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Other</w:t>
            </w:r>
          </w:p>
        </w:tc>
        <w:tc>
          <w:tcPr>
            <w:tcW w:w="1450" w:type="dxa"/>
            <w:tcBorders>
              <w:top w:val="nil"/>
              <w:left w:val="nil"/>
              <w:bottom w:val="single" w:sz="4" w:space="0" w:color="auto"/>
              <w:right w:val="single" w:sz="4" w:space="0" w:color="auto"/>
            </w:tcBorders>
            <w:shd w:val="clear" w:color="auto" w:fill="auto"/>
            <w:noWrap/>
            <w:vAlign w:val="center"/>
            <w:hideMark/>
          </w:tcPr>
          <w:p w14:paraId="225B6A65"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2.4</w:t>
            </w:r>
          </w:p>
        </w:tc>
        <w:tc>
          <w:tcPr>
            <w:tcW w:w="1450" w:type="dxa"/>
            <w:tcBorders>
              <w:top w:val="nil"/>
              <w:left w:val="nil"/>
              <w:bottom w:val="single" w:sz="4" w:space="0" w:color="auto"/>
              <w:right w:val="single" w:sz="4" w:space="0" w:color="auto"/>
            </w:tcBorders>
            <w:shd w:val="clear" w:color="auto" w:fill="auto"/>
            <w:noWrap/>
            <w:vAlign w:val="center"/>
            <w:hideMark/>
          </w:tcPr>
          <w:p w14:paraId="280D7AF0" w14:textId="77777777" w:rsidR="00803256" w:rsidRPr="00A423E8" w:rsidRDefault="00803256" w:rsidP="005E2E61">
            <w:pPr>
              <w:spacing w:after="0" w:line="240" w:lineRule="auto"/>
              <w:jc w:val="center"/>
              <w:rPr>
                <w:rFonts w:ascii="Times New Roman" w:eastAsia="Times New Roman" w:hAnsi="Times New Roman" w:cs="Times New Roman"/>
                <w:color w:val="000000"/>
                <w:szCs w:val="24"/>
                <w:lang w:eastAsia="en-GB"/>
              </w:rPr>
            </w:pPr>
            <w:r w:rsidRPr="00A423E8">
              <w:rPr>
                <w:rFonts w:ascii="Times New Roman" w:eastAsia="Times New Roman" w:hAnsi="Times New Roman" w:cs="Times New Roman"/>
                <w:color w:val="000000"/>
                <w:szCs w:val="24"/>
                <w:lang w:eastAsia="en-GB"/>
              </w:rPr>
              <w:t>3.4</w:t>
            </w:r>
          </w:p>
        </w:tc>
      </w:tr>
      <w:tr w:rsidR="00803256" w:rsidRPr="00A423E8" w14:paraId="50096D67" w14:textId="77777777" w:rsidTr="005E2E61">
        <w:trPr>
          <w:trHeight w:val="315"/>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211B72E8" w14:textId="77777777" w:rsidR="00803256" w:rsidRPr="00A423E8" w:rsidRDefault="00803256" w:rsidP="005E2E61">
            <w:pPr>
              <w:spacing w:after="0" w:line="240" w:lineRule="auto"/>
              <w:rPr>
                <w:rFonts w:ascii="Times New Roman" w:eastAsia="Times New Roman" w:hAnsi="Times New Roman" w:cs="Times New Roman"/>
                <w:b/>
                <w:bCs/>
                <w:color w:val="000000"/>
                <w:szCs w:val="24"/>
                <w:lang w:eastAsia="en-GB"/>
              </w:rPr>
            </w:pPr>
            <w:r w:rsidRPr="00A423E8">
              <w:rPr>
                <w:rFonts w:ascii="Times New Roman" w:eastAsia="Times New Roman" w:hAnsi="Times New Roman" w:cs="Times New Roman"/>
                <w:b/>
                <w:bCs/>
                <w:color w:val="000000"/>
                <w:szCs w:val="24"/>
                <w:lang w:eastAsia="en-GB"/>
              </w:rPr>
              <w:t>Total non-teaching tasks</w:t>
            </w:r>
          </w:p>
        </w:tc>
        <w:tc>
          <w:tcPr>
            <w:tcW w:w="1450" w:type="dxa"/>
            <w:tcBorders>
              <w:top w:val="nil"/>
              <w:left w:val="nil"/>
              <w:bottom w:val="single" w:sz="4" w:space="0" w:color="auto"/>
              <w:right w:val="single" w:sz="4" w:space="0" w:color="auto"/>
            </w:tcBorders>
            <w:shd w:val="clear" w:color="auto" w:fill="auto"/>
            <w:noWrap/>
            <w:vAlign w:val="bottom"/>
            <w:hideMark/>
          </w:tcPr>
          <w:p w14:paraId="3513EA86" w14:textId="77777777" w:rsidR="00803256" w:rsidRPr="00A423E8" w:rsidRDefault="00803256" w:rsidP="005E2E61">
            <w:pPr>
              <w:spacing w:after="0" w:line="240" w:lineRule="auto"/>
              <w:jc w:val="center"/>
              <w:rPr>
                <w:rFonts w:ascii="Times New Roman" w:eastAsia="Times New Roman" w:hAnsi="Times New Roman" w:cs="Times New Roman"/>
                <w:b/>
                <w:bCs/>
                <w:color w:val="000000"/>
                <w:szCs w:val="24"/>
                <w:lang w:eastAsia="en-GB"/>
              </w:rPr>
            </w:pPr>
            <w:r w:rsidRPr="00A423E8">
              <w:rPr>
                <w:rFonts w:ascii="Times New Roman" w:eastAsia="Times New Roman" w:hAnsi="Times New Roman" w:cs="Times New Roman"/>
                <w:b/>
                <w:bCs/>
                <w:color w:val="000000"/>
                <w:szCs w:val="24"/>
                <w:lang w:eastAsia="en-GB"/>
              </w:rPr>
              <w:t>32.5</w:t>
            </w:r>
          </w:p>
        </w:tc>
        <w:tc>
          <w:tcPr>
            <w:tcW w:w="1450" w:type="dxa"/>
            <w:tcBorders>
              <w:top w:val="nil"/>
              <w:left w:val="nil"/>
              <w:bottom w:val="single" w:sz="4" w:space="0" w:color="auto"/>
              <w:right w:val="single" w:sz="4" w:space="0" w:color="auto"/>
            </w:tcBorders>
            <w:shd w:val="clear" w:color="auto" w:fill="auto"/>
            <w:noWrap/>
            <w:vAlign w:val="bottom"/>
            <w:hideMark/>
          </w:tcPr>
          <w:p w14:paraId="5818F204" w14:textId="77777777" w:rsidR="00803256" w:rsidRPr="00A423E8" w:rsidRDefault="00803256" w:rsidP="005E2E61">
            <w:pPr>
              <w:spacing w:after="0" w:line="240" w:lineRule="auto"/>
              <w:jc w:val="center"/>
              <w:rPr>
                <w:rFonts w:ascii="Times New Roman" w:eastAsia="Times New Roman" w:hAnsi="Times New Roman" w:cs="Times New Roman"/>
                <w:b/>
                <w:bCs/>
                <w:color w:val="000000"/>
                <w:szCs w:val="24"/>
                <w:lang w:eastAsia="en-GB"/>
              </w:rPr>
            </w:pPr>
            <w:r w:rsidRPr="00A423E8">
              <w:rPr>
                <w:rFonts w:ascii="Times New Roman" w:eastAsia="Times New Roman" w:hAnsi="Times New Roman" w:cs="Times New Roman"/>
                <w:b/>
                <w:bCs/>
                <w:color w:val="000000"/>
                <w:szCs w:val="24"/>
                <w:lang w:eastAsia="en-GB"/>
              </w:rPr>
              <w:t>32.7</w:t>
            </w:r>
          </w:p>
        </w:tc>
      </w:tr>
      <w:tr w:rsidR="00803256" w:rsidRPr="00A423E8" w14:paraId="24778644" w14:textId="77777777" w:rsidTr="005E2E61">
        <w:trPr>
          <w:trHeight w:val="315"/>
          <w:jc w:val="center"/>
        </w:trPr>
        <w:tc>
          <w:tcPr>
            <w:tcW w:w="3400" w:type="dxa"/>
            <w:tcBorders>
              <w:top w:val="nil"/>
              <w:left w:val="single" w:sz="4" w:space="0" w:color="auto"/>
              <w:bottom w:val="single" w:sz="4" w:space="0" w:color="auto"/>
              <w:right w:val="single" w:sz="4" w:space="0" w:color="auto"/>
            </w:tcBorders>
            <w:shd w:val="clear" w:color="auto" w:fill="auto"/>
            <w:noWrap/>
            <w:vAlign w:val="center"/>
            <w:hideMark/>
          </w:tcPr>
          <w:p w14:paraId="14B6DC1E" w14:textId="77777777" w:rsidR="00803256" w:rsidRPr="00A423E8" w:rsidRDefault="00803256" w:rsidP="005E2E61">
            <w:pPr>
              <w:spacing w:after="0" w:line="240" w:lineRule="auto"/>
              <w:rPr>
                <w:rFonts w:ascii="Times New Roman" w:eastAsia="Times New Roman" w:hAnsi="Times New Roman" w:cs="Times New Roman"/>
                <w:b/>
                <w:bCs/>
                <w:color w:val="000000"/>
                <w:szCs w:val="24"/>
                <w:lang w:eastAsia="en-GB"/>
              </w:rPr>
            </w:pPr>
            <w:r w:rsidRPr="00A423E8">
              <w:rPr>
                <w:rFonts w:ascii="Times New Roman" w:eastAsia="Times New Roman" w:hAnsi="Times New Roman" w:cs="Times New Roman"/>
                <w:b/>
                <w:bCs/>
                <w:color w:val="000000"/>
                <w:szCs w:val="24"/>
                <w:lang w:eastAsia="en-GB"/>
              </w:rPr>
              <w:t xml:space="preserve">Ratio </w:t>
            </w:r>
            <w:proofErr w:type="spellStart"/>
            <w:r w:rsidRPr="00A423E8">
              <w:rPr>
                <w:rFonts w:ascii="Times New Roman" w:eastAsia="Times New Roman" w:hAnsi="Times New Roman" w:cs="Times New Roman"/>
                <w:b/>
                <w:bCs/>
                <w:color w:val="000000"/>
                <w:szCs w:val="24"/>
                <w:lang w:eastAsia="en-GB"/>
              </w:rPr>
              <w:t>teaching:non-teaching</w:t>
            </w:r>
            <w:proofErr w:type="spellEnd"/>
          </w:p>
        </w:tc>
        <w:tc>
          <w:tcPr>
            <w:tcW w:w="1450" w:type="dxa"/>
            <w:tcBorders>
              <w:top w:val="nil"/>
              <w:left w:val="nil"/>
              <w:bottom w:val="single" w:sz="4" w:space="0" w:color="auto"/>
              <w:right w:val="single" w:sz="4" w:space="0" w:color="auto"/>
            </w:tcBorders>
            <w:shd w:val="clear" w:color="auto" w:fill="auto"/>
            <w:noWrap/>
            <w:vAlign w:val="bottom"/>
            <w:hideMark/>
          </w:tcPr>
          <w:p w14:paraId="46271A41" w14:textId="77777777" w:rsidR="00803256" w:rsidRPr="00A423E8" w:rsidRDefault="00803256" w:rsidP="005E2E61">
            <w:pPr>
              <w:spacing w:after="0" w:line="240" w:lineRule="auto"/>
              <w:jc w:val="center"/>
              <w:rPr>
                <w:rFonts w:ascii="Times New Roman" w:eastAsia="Times New Roman" w:hAnsi="Times New Roman" w:cs="Times New Roman"/>
                <w:b/>
                <w:bCs/>
                <w:color w:val="000000"/>
                <w:szCs w:val="24"/>
                <w:lang w:eastAsia="en-GB"/>
              </w:rPr>
            </w:pPr>
            <w:r w:rsidRPr="00A423E8">
              <w:rPr>
                <w:rFonts w:ascii="Times New Roman" w:eastAsia="Times New Roman" w:hAnsi="Times New Roman" w:cs="Times New Roman"/>
                <w:b/>
                <w:bCs/>
                <w:color w:val="000000"/>
                <w:szCs w:val="24"/>
                <w:lang w:eastAsia="en-GB"/>
              </w:rPr>
              <w:t>0.62</w:t>
            </w:r>
          </w:p>
        </w:tc>
        <w:tc>
          <w:tcPr>
            <w:tcW w:w="1450" w:type="dxa"/>
            <w:tcBorders>
              <w:top w:val="nil"/>
              <w:left w:val="nil"/>
              <w:bottom w:val="single" w:sz="4" w:space="0" w:color="auto"/>
              <w:right w:val="single" w:sz="4" w:space="0" w:color="auto"/>
            </w:tcBorders>
            <w:shd w:val="clear" w:color="auto" w:fill="auto"/>
            <w:noWrap/>
            <w:vAlign w:val="bottom"/>
            <w:hideMark/>
          </w:tcPr>
          <w:p w14:paraId="652701A8" w14:textId="77777777" w:rsidR="00803256" w:rsidRPr="00A423E8" w:rsidRDefault="00803256" w:rsidP="005E2E61">
            <w:pPr>
              <w:spacing w:after="0" w:line="240" w:lineRule="auto"/>
              <w:jc w:val="center"/>
              <w:rPr>
                <w:rFonts w:ascii="Times New Roman" w:eastAsia="Times New Roman" w:hAnsi="Times New Roman" w:cs="Times New Roman"/>
                <w:b/>
                <w:bCs/>
                <w:color w:val="000000"/>
                <w:szCs w:val="24"/>
                <w:lang w:eastAsia="en-GB"/>
              </w:rPr>
            </w:pPr>
            <w:r w:rsidRPr="00A423E8">
              <w:rPr>
                <w:rFonts w:ascii="Times New Roman" w:eastAsia="Times New Roman" w:hAnsi="Times New Roman" w:cs="Times New Roman"/>
                <w:b/>
                <w:bCs/>
                <w:color w:val="000000"/>
                <w:szCs w:val="24"/>
                <w:lang w:eastAsia="en-GB"/>
              </w:rPr>
              <w:t>0.63</w:t>
            </w:r>
          </w:p>
        </w:tc>
      </w:tr>
    </w:tbl>
    <w:p w14:paraId="18669853" w14:textId="66277DCF" w:rsidR="00803256" w:rsidRPr="00A423E8" w:rsidRDefault="00803256" w:rsidP="008B4E20">
      <w:pPr>
        <w:spacing w:after="240" w:line="240" w:lineRule="auto"/>
        <w:rPr>
          <w:rFonts w:ascii="Times New Roman" w:hAnsi="Times New Roman"/>
          <w:sz w:val="20"/>
          <w:szCs w:val="20"/>
        </w:rPr>
      </w:pPr>
      <w:r w:rsidRPr="00A423E8">
        <w:rPr>
          <w:rFonts w:ascii="Times New Roman" w:hAnsi="Times New Roman"/>
          <w:sz w:val="20"/>
          <w:szCs w:val="20"/>
        </w:rPr>
        <w:t xml:space="preserve">Notes: </w:t>
      </w:r>
      <w:r w:rsidR="00875EB6">
        <w:rPr>
          <w:rFonts w:ascii="Times New Roman" w:hAnsi="Times New Roman"/>
          <w:sz w:val="20"/>
          <w:szCs w:val="20"/>
        </w:rPr>
        <w:t xml:space="preserve">Source: </w:t>
      </w:r>
      <w:r w:rsidRPr="00A423E8">
        <w:rPr>
          <w:rFonts w:ascii="Times New Roman" w:hAnsi="Times New Roman"/>
          <w:sz w:val="20"/>
          <w:szCs w:val="20"/>
        </w:rPr>
        <w:t>TALIS 2013 and 2018 databases. Figures refer to average working hours per week during term</w:t>
      </w:r>
      <w:r w:rsidR="00687C0C">
        <w:rPr>
          <w:rFonts w:ascii="Times New Roman" w:hAnsi="Times New Roman"/>
          <w:sz w:val="20"/>
          <w:szCs w:val="20"/>
        </w:rPr>
        <w:t xml:space="preserve"> </w:t>
      </w:r>
      <w:r w:rsidRPr="00A423E8">
        <w:rPr>
          <w:rFonts w:ascii="Times New Roman" w:hAnsi="Times New Roman"/>
          <w:sz w:val="20"/>
          <w:szCs w:val="20"/>
        </w:rPr>
        <w:t xml:space="preserve">time. </w:t>
      </w:r>
    </w:p>
    <w:p w14:paraId="32EE75C7" w14:textId="21C07B7D" w:rsidR="00803256" w:rsidRPr="00803256" w:rsidRDefault="00803256" w:rsidP="00803256">
      <w:pPr>
        <w:spacing w:line="360" w:lineRule="auto"/>
        <w:jc w:val="both"/>
        <w:rPr>
          <w:rFonts w:ascii="Times New Roman" w:hAnsi="Times New Roman"/>
          <w:sz w:val="24"/>
          <w:szCs w:val="24"/>
        </w:rPr>
      </w:pPr>
      <w:r w:rsidRPr="00803256">
        <w:rPr>
          <w:rFonts w:ascii="Times New Roman" w:hAnsi="Times New Roman"/>
          <w:sz w:val="24"/>
          <w:szCs w:val="24"/>
        </w:rPr>
        <w:t xml:space="preserve">Table 9.2 suggests that the working hours of lower-secondary teachers remained stable between 2013 and 2018. Average hours spent teaching (20.3 versus 20.5 hours) and time spent upon non-teaching tasks (32.5 versus 32.7 hours) were virtually unchanged. Critically, there was little sign of any substantial reduction in marking (6.3 hours per week in both 2013 and 2018) and administration (4.2 hours in 2013 and 4.0 hours in 2018). Moreover, any minor reductions observed for lesson planning/preparation and extracurricular activities (both half an hour lower </w:t>
      </w:r>
      <w:r w:rsidRPr="00803256">
        <w:rPr>
          <w:rFonts w:ascii="Times New Roman" w:hAnsi="Times New Roman"/>
          <w:sz w:val="24"/>
          <w:szCs w:val="24"/>
        </w:rPr>
        <w:lastRenderedPageBreak/>
        <w:t xml:space="preserve">per week in 2018 than in 2013) has been offset by increases in pupil guidance/discipline and </w:t>
      </w:r>
      <w:r w:rsidR="00F32F73">
        <w:rPr>
          <w:rFonts w:ascii="Times New Roman" w:hAnsi="Times New Roman"/>
          <w:sz w:val="24"/>
          <w:szCs w:val="24"/>
        </w:rPr>
        <w:t>‘</w:t>
      </w:r>
      <w:r w:rsidRPr="00803256">
        <w:rPr>
          <w:rFonts w:ascii="Times New Roman" w:hAnsi="Times New Roman"/>
          <w:sz w:val="24"/>
          <w:szCs w:val="24"/>
        </w:rPr>
        <w:t>other</w:t>
      </w:r>
      <w:r w:rsidR="00F32F73">
        <w:rPr>
          <w:rFonts w:ascii="Times New Roman" w:hAnsi="Times New Roman"/>
          <w:sz w:val="24"/>
          <w:szCs w:val="24"/>
        </w:rPr>
        <w:t>’</w:t>
      </w:r>
      <w:r w:rsidRPr="00803256">
        <w:rPr>
          <w:rFonts w:ascii="Times New Roman" w:hAnsi="Times New Roman"/>
          <w:sz w:val="24"/>
          <w:szCs w:val="24"/>
        </w:rPr>
        <w:t xml:space="preserve"> (undefined) tasks. </w:t>
      </w:r>
    </w:p>
    <w:p w14:paraId="01293408" w14:textId="77777777" w:rsidR="00803256" w:rsidRPr="00803256" w:rsidRDefault="00803256" w:rsidP="008B4E20">
      <w:pPr>
        <w:pStyle w:val="Heading2"/>
        <w:spacing w:line="360" w:lineRule="auto"/>
        <w:rPr>
          <w:rFonts w:ascii="Times New Roman" w:hAnsi="Times New Roman" w:cs="Times New Roman"/>
          <w:b/>
          <w:color w:val="000000" w:themeColor="text1"/>
          <w:sz w:val="24"/>
          <w:szCs w:val="24"/>
        </w:rPr>
      </w:pPr>
      <w:bookmarkStart w:id="22" w:name="_Toc67406015"/>
      <w:r w:rsidRPr="00803256">
        <w:rPr>
          <w:rFonts w:ascii="Times New Roman" w:hAnsi="Times New Roman" w:cs="Times New Roman"/>
          <w:b/>
          <w:color w:val="000000" w:themeColor="text1"/>
          <w:sz w:val="24"/>
          <w:szCs w:val="24"/>
        </w:rPr>
        <w:t>9.5 Variation during the academic year and working during holidays</w:t>
      </w:r>
      <w:bookmarkEnd w:id="22"/>
    </w:p>
    <w:p w14:paraId="24BDB721" w14:textId="77777777" w:rsidR="00803256" w:rsidRPr="00803256" w:rsidRDefault="00803256" w:rsidP="00803256">
      <w:pPr>
        <w:spacing w:after="0" w:line="360" w:lineRule="auto"/>
        <w:jc w:val="both"/>
        <w:rPr>
          <w:rFonts w:ascii="Times New Roman" w:hAnsi="Times New Roman"/>
          <w:color w:val="000000"/>
          <w:sz w:val="24"/>
          <w:szCs w:val="24"/>
        </w:rPr>
      </w:pPr>
      <w:r w:rsidRPr="00803256">
        <w:rPr>
          <w:rFonts w:ascii="Times New Roman" w:hAnsi="Times New Roman"/>
          <w:color w:val="000000"/>
          <w:sz w:val="24"/>
          <w:szCs w:val="24"/>
        </w:rPr>
        <w:t>The amount that teachers work per week could vary substantially over the academic year. Figure 9.2 provides, to our knowledge, the first evidence on this issue for England based upon the Labour Force Survey.</w:t>
      </w:r>
    </w:p>
    <w:p w14:paraId="1D272484" w14:textId="6F3B0DB4" w:rsidR="00803256" w:rsidRPr="00803256" w:rsidRDefault="00803256" w:rsidP="00803256">
      <w:pPr>
        <w:spacing w:after="0"/>
        <w:jc w:val="center"/>
        <w:rPr>
          <w:rFonts w:ascii="Times New Roman" w:hAnsi="Times New Roman"/>
          <w:b/>
          <w:sz w:val="24"/>
          <w:szCs w:val="24"/>
        </w:rPr>
      </w:pPr>
      <w:r w:rsidRPr="00803256">
        <w:rPr>
          <w:rFonts w:ascii="Times New Roman" w:hAnsi="Times New Roman"/>
          <w:b/>
          <w:sz w:val="24"/>
          <w:szCs w:val="24"/>
        </w:rPr>
        <w:t>Figure 9.2 Variation in teachers’ working hours over the year</w:t>
      </w:r>
    </w:p>
    <w:p w14:paraId="01B08B6D" w14:textId="77777777" w:rsidR="00803256" w:rsidRPr="00A423E8" w:rsidRDefault="00803256" w:rsidP="00803256">
      <w:pPr>
        <w:spacing w:after="0"/>
        <w:jc w:val="center"/>
        <w:rPr>
          <w:rFonts w:ascii="Times New Roman" w:hAnsi="Times New Roman"/>
          <w:b/>
          <w:szCs w:val="24"/>
        </w:rPr>
      </w:pPr>
      <w:r w:rsidRPr="00A423E8">
        <w:rPr>
          <w:noProof/>
          <w:lang w:eastAsia="en-GB"/>
        </w:rPr>
        <w:drawing>
          <wp:inline distT="0" distB="0" distL="0" distR="0" wp14:anchorId="2FDBB14F" wp14:editId="33A3990B">
            <wp:extent cx="6143625" cy="3305175"/>
            <wp:effectExtent l="0" t="0" r="0" b="0"/>
            <wp:docPr id="41" name="Chart 41">
              <a:extLst xmlns:a="http://schemas.openxmlformats.org/drawingml/2006/main">
                <a:ext uri="{FF2B5EF4-FFF2-40B4-BE49-F238E27FC236}">
                  <a16:creationId xmlns:a16="http://schemas.microsoft.com/office/drawing/2014/main" id="{5C6C5D7A-7946-4648-BF62-F9A8FD02220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20B43F18" w14:textId="038C34B9" w:rsidR="00803256" w:rsidRPr="00A423E8" w:rsidRDefault="00803256" w:rsidP="008B4E20">
      <w:pPr>
        <w:spacing w:after="240" w:line="240" w:lineRule="auto"/>
        <w:jc w:val="both"/>
        <w:rPr>
          <w:rFonts w:ascii="Times New Roman" w:hAnsi="Times New Roman"/>
          <w:b/>
          <w:color w:val="000000"/>
          <w:szCs w:val="24"/>
        </w:rPr>
      </w:pPr>
      <w:r w:rsidRPr="00A423E8">
        <w:rPr>
          <w:rFonts w:ascii="Times New Roman" w:hAnsi="Times New Roman"/>
          <w:sz w:val="20"/>
          <w:szCs w:val="20"/>
        </w:rPr>
        <w:t>Note</w:t>
      </w:r>
      <w:r w:rsidR="004D1DD9">
        <w:rPr>
          <w:rFonts w:ascii="Times New Roman" w:hAnsi="Times New Roman"/>
          <w:sz w:val="20"/>
          <w:szCs w:val="20"/>
        </w:rPr>
        <w:t>s</w:t>
      </w:r>
      <w:r w:rsidRPr="00A423E8">
        <w:rPr>
          <w:rFonts w:ascii="Times New Roman" w:hAnsi="Times New Roman"/>
          <w:sz w:val="20"/>
          <w:szCs w:val="20"/>
        </w:rPr>
        <w:t xml:space="preserve">: Figures refer to full-time teachers who were not proxy respondents, not on parental leave, not on a training course, not sick or injured during the survey week, </w:t>
      </w:r>
      <w:r w:rsidR="000E6BC8">
        <w:rPr>
          <w:rFonts w:ascii="Times New Roman" w:hAnsi="Times New Roman"/>
          <w:sz w:val="20"/>
          <w:szCs w:val="20"/>
        </w:rPr>
        <w:t xml:space="preserve">had </w:t>
      </w:r>
      <w:r w:rsidRPr="00A423E8">
        <w:rPr>
          <w:rFonts w:ascii="Times New Roman" w:hAnsi="Times New Roman"/>
          <w:sz w:val="20"/>
          <w:szCs w:val="20"/>
        </w:rPr>
        <w:t xml:space="preserve">not changed their job, </w:t>
      </w:r>
      <w:r w:rsidR="000E6BC8" w:rsidRPr="00A423E8">
        <w:rPr>
          <w:rFonts w:ascii="Times New Roman" w:hAnsi="Times New Roman"/>
          <w:sz w:val="20"/>
          <w:szCs w:val="20"/>
        </w:rPr>
        <w:t>w</w:t>
      </w:r>
      <w:r w:rsidR="000E6BC8">
        <w:rPr>
          <w:rFonts w:ascii="Times New Roman" w:hAnsi="Times New Roman"/>
          <w:sz w:val="20"/>
          <w:szCs w:val="20"/>
        </w:rPr>
        <w:t>ere</w:t>
      </w:r>
      <w:r w:rsidR="000E6BC8" w:rsidRPr="00A423E8">
        <w:rPr>
          <w:rFonts w:ascii="Times New Roman" w:hAnsi="Times New Roman"/>
          <w:sz w:val="20"/>
          <w:szCs w:val="20"/>
        </w:rPr>
        <w:t xml:space="preserve"> </w:t>
      </w:r>
      <w:r w:rsidRPr="00A423E8">
        <w:rPr>
          <w:rFonts w:ascii="Times New Roman" w:hAnsi="Times New Roman"/>
          <w:sz w:val="20"/>
          <w:szCs w:val="20"/>
        </w:rPr>
        <w:t xml:space="preserve">not affected by poor weather or labour dispute during the survey week. Includes primary, secondary, SEN and </w:t>
      </w:r>
      <w:proofErr w:type="spellStart"/>
      <w:r w:rsidRPr="00A423E8">
        <w:rPr>
          <w:rFonts w:ascii="Times New Roman" w:hAnsi="Times New Roman"/>
          <w:sz w:val="20"/>
          <w:szCs w:val="20"/>
        </w:rPr>
        <w:t>headteachers</w:t>
      </w:r>
      <w:proofErr w:type="spellEnd"/>
      <w:r w:rsidRPr="00A423E8">
        <w:rPr>
          <w:rFonts w:ascii="Times New Roman" w:hAnsi="Times New Roman"/>
          <w:sz w:val="20"/>
          <w:szCs w:val="20"/>
        </w:rPr>
        <w:t xml:space="preserve">. Sample also restricted to those teachers who reported not working abnormal hours due to being on leave/holiday and who worked for at least 20 hours in the reference week. Major school holiday weeks have been excluded. Source = Quarterly Labour Force Survey pooled between winter 1996 and winter 2018. </w:t>
      </w:r>
    </w:p>
    <w:p w14:paraId="3DE54D04" w14:textId="34CF4765" w:rsidR="00803256" w:rsidRPr="00803256" w:rsidRDefault="00803256" w:rsidP="00803256">
      <w:pPr>
        <w:spacing w:line="360" w:lineRule="auto"/>
        <w:jc w:val="both"/>
        <w:rPr>
          <w:rFonts w:ascii="Times New Roman" w:hAnsi="Times New Roman"/>
          <w:color w:val="000000"/>
          <w:sz w:val="24"/>
          <w:szCs w:val="24"/>
        </w:rPr>
      </w:pPr>
      <w:r w:rsidRPr="00803256">
        <w:rPr>
          <w:rFonts w:ascii="Times New Roman" w:hAnsi="Times New Roman"/>
          <w:color w:val="000000"/>
          <w:sz w:val="24"/>
          <w:szCs w:val="24"/>
        </w:rPr>
        <w:t xml:space="preserve">Interestingly, differences in average working hours of full-time teachers over the academic year do not seem to be particularly large. Indeed, within Figure 9.2 there is no particular period where they are notably above or below the average. Nevertheless, a couple of interesting features do stand out. First, the average starts at a comparatively high point during the autumn term (≈49 hours per week) before dipping to a low of ≈48 hours per week in the half-term following the Christmas break. Average working hours then increase steadily to reach almost 50 hours per week at the start of the second summer half-term (coincides with the timing of end-of-year testing and national examinations in England). However, we again stress the broadly stable nature of teachers’ self-reported working hours, keeping within a two-hour range throughout the academic year. The second feature of note from Figure 9.2 is that working hours </w:t>
      </w:r>
      <w:r w:rsidRPr="00803256">
        <w:rPr>
          <w:rFonts w:ascii="Times New Roman" w:hAnsi="Times New Roman"/>
          <w:color w:val="000000"/>
          <w:sz w:val="24"/>
          <w:szCs w:val="24"/>
        </w:rPr>
        <w:lastRenderedPageBreak/>
        <w:t>tend to drop</w:t>
      </w:r>
      <w:r w:rsidR="000F790C">
        <w:rPr>
          <w:rFonts w:ascii="Times New Roman" w:hAnsi="Times New Roman"/>
          <w:color w:val="000000"/>
          <w:sz w:val="24"/>
          <w:szCs w:val="24"/>
        </w:rPr>
        <w:t xml:space="preserve"> </w:t>
      </w:r>
      <w:r w:rsidRPr="00803256">
        <w:rPr>
          <w:rFonts w:ascii="Times New Roman" w:hAnsi="Times New Roman"/>
          <w:color w:val="000000"/>
          <w:sz w:val="24"/>
          <w:szCs w:val="24"/>
        </w:rPr>
        <w:t xml:space="preserve">off a little towards the end of each term. This is most apparent in the build-up to Christmas, with average hours at the start of the second </w:t>
      </w:r>
      <w:proofErr w:type="gramStart"/>
      <w:r w:rsidRPr="00803256">
        <w:rPr>
          <w:rFonts w:ascii="Times New Roman" w:hAnsi="Times New Roman"/>
          <w:color w:val="000000"/>
          <w:sz w:val="24"/>
          <w:szCs w:val="24"/>
        </w:rPr>
        <w:t>Autumn</w:t>
      </w:r>
      <w:proofErr w:type="gramEnd"/>
      <w:r w:rsidRPr="00803256">
        <w:rPr>
          <w:rFonts w:ascii="Times New Roman" w:hAnsi="Times New Roman"/>
          <w:color w:val="000000"/>
          <w:sz w:val="24"/>
          <w:szCs w:val="24"/>
        </w:rPr>
        <w:t xml:space="preserve"> term being around two hours higher than at the end of the term (49 versus 47 hours per week). A similar result emerges during the half-term preceding the summer holidays (the average is around 50 hours at the start of the second summer term compared to 48 hours at the end)</w:t>
      </w:r>
      <w:r w:rsidRPr="00803256">
        <w:rPr>
          <w:rStyle w:val="FootnoteReference"/>
          <w:rFonts w:ascii="Times New Roman" w:hAnsi="Times New Roman"/>
          <w:color w:val="000000"/>
          <w:sz w:val="24"/>
          <w:szCs w:val="24"/>
        </w:rPr>
        <w:footnoteReference w:id="24"/>
      </w:r>
      <w:r w:rsidRPr="00803256">
        <w:rPr>
          <w:rFonts w:ascii="Times New Roman" w:hAnsi="Times New Roman"/>
          <w:color w:val="000000"/>
          <w:sz w:val="24"/>
          <w:szCs w:val="24"/>
        </w:rPr>
        <w:t>.</w:t>
      </w:r>
    </w:p>
    <w:p w14:paraId="20C86F5E" w14:textId="77777777" w:rsidR="00803256" w:rsidRPr="00803256" w:rsidRDefault="00803256" w:rsidP="00803256">
      <w:pPr>
        <w:spacing w:line="360" w:lineRule="auto"/>
        <w:jc w:val="both"/>
        <w:rPr>
          <w:rFonts w:ascii="Times New Roman" w:hAnsi="Times New Roman"/>
          <w:color w:val="000000"/>
          <w:sz w:val="24"/>
          <w:szCs w:val="24"/>
        </w:rPr>
      </w:pPr>
      <w:r w:rsidRPr="00803256">
        <w:rPr>
          <w:rFonts w:ascii="Times New Roman" w:hAnsi="Times New Roman"/>
          <w:color w:val="000000"/>
          <w:sz w:val="24"/>
          <w:szCs w:val="24"/>
        </w:rPr>
        <w:t>The LFS data also allow us to explore how many hours teachers report working during the school holidays. This is important as most existing analyses of teachers’ working hours have only asked about hours worked during the term. Results are presented in Table 9.3.</w:t>
      </w:r>
    </w:p>
    <w:p w14:paraId="4465259E" w14:textId="0EF2AB49" w:rsidR="00803256" w:rsidRDefault="00803256" w:rsidP="00803256">
      <w:pPr>
        <w:spacing w:after="0" w:line="240" w:lineRule="auto"/>
        <w:jc w:val="center"/>
        <w:rPr>
          <w:rFonts w:ascii="Times New Roman" w:hAnsi="Times New Roman"/>
          <w:b/>
          <w:sz w:val="24"/>
          <w:szCs w:val="24"/>
        </w:rPr>
      </w:pPr>
      <w:r w:rsidRPr="00803256">
        <w:rPr>
          <w:rFonts w:ascii="Times New Roman" w:hAnsi="Times New Roman"/>
          <w:b/>
          <w:sz w:val="24"/>
          <w:szCs w:val="24"/>
        </w:rPr>
        <w:t xml:space="preserve">Table 9.3 </w:t>
      </w:r>
      <w:proofErr w:type="gramStart"/>
      <w:r w:rsidRPr="00803256">
        <w:rPr>
          <w:rFonts w:ascii="Times New Roman" w:hAnsi="Times New Roman"/>
          <w:b/>
          <w:sz w:val="24"/>
          <w:szCs w:val="24"/>
        </w:rPr>
        <w:t>The</w:t>
      </w:r>
      <w:proofErr w:type="gramEnd"/>
      <w:r w:rsidRPr="00803256">
        <w:rPr>
          <w:rFonts w:ascii="Times New Roman" w:hAnsi="Times New Roman"/>
          <w:b/>
          <w:sz w:val="24"/>
          <w:szCs w:val="24"/>
        </w:rPr>
        <w:t xml:space="preserve"> number of hours per week teachers report working during school holidays</w:t>
      </w:r>
    </w:p>
    <w:p w14:paraId="47BEA9DF" w14:textId="77777777" w:rsidR="00CB6F13" w:rsidRPr="00803256" w:rsidRDefault="00CB6F13" w:rsidP="00803256">
      <w:pPr>
        <w:spacing w:after="0" w:line="240" w:lineRule="auto"/>
        <w:jc w:val="center"/>
        <w:rPr>
          <w:rFonts w:ascii="Times New Roman" w:hAnsi="Times New Roman"/>
          <w:b/>
          <w:sz w:val="24"/>
          <w:szCs w:val="24"/>
        </w:rPr>
      </w:pPr>
    </w:p>
    <w:tbl>
      <w:tblPr>
        <w:tblW w:w="9540" w:type="dxa"/>
        <w:tblLook w:val="04A0" w:firstRow="1" w:lastRow="0" w:firstColumn="1" w:lastColumn="0" w:noHBand="0" w:noVBand="1"/>
      </w:tblPr>
      <w:tblGrid>
        <w:gridCol w:w="2040"/>
        <w:gridCol w:w="1280"/>
        <w:gridCol w:w="1194"/>
        <w:gridCol w:w="1540"/>
        <w:gridCol w:w="999"/>
        <w:gridCol w:w="1420"/>
        <w:gridCol w:w="1180"/>
      </w:tblGrid>
      <w:tr w:rsidR="00803256" w:rsidRPr="00A423E8" w14:paraId="495ABFB2" w14:textId="77777777" w:rsidTr="005E2E61">
        <w:trPr>
          <w:trHeight w:val="585"/>
        </w:trPr>
        <w:tc>
          <w:tcPr>
            <w:tcW w:w="2040" w:type="dxa"/>
            <w:tcBorders>
              <w:top w:val="single" w:sz="4" w:space="0" w:color="auto"/>
              <w:left w:val="nil"/>
              <w:bottom w:val="single" w:sz="4" w:space="0" w:color="auto"/>
              <w:right w:val="nil"/>
            </w:tcBorders>
            <w:shd w:val="clear" w:color="auto" w:fill="DEEAF6" w:themeFill="accent5" w:themeFillTint="33"/>
            <w:noWrap/>
            <w:vAlign w:val="bottom"/>
            <w:hideMark/>
          </w:tcPr>
          <w:p w14:paraId="7760E846" w14:textId="77777777" w:rsidR="00803256" w:rsidRPr="00A423E8" w:rsidRDefault="00803256" w:rsidP="005E2E61">
            <w:pPr>
              <w:spacing w:after="0" w:line="240" w:lineRule="auto"/>
              <w:rPr>
                <w:rFonts w:ascii="Times New Roman" w:eastAsia="Times New Roman" w:hAnsi="Times New Roman"/>
                <w:lang w:eastAsia="en-GB"/>
              </w:rPr>
            </w:pPr>
            <w:r w:rsidRPr="00A423E8">
              <w:rPr>
                <w:rFonts w:ascii="Times New Roman" w:eastAsia="Times New Roman" w:hAnsi="Times New Roman"/>
                <w:lang w:eastAsia="en-GB"/>
              </w:rPr>
              <w:t> </w:t>
            </w:r>
          </w:p>
        </w:tc>
        <w:tc>
          <w:tcPr>
            <w:tcW w:w="1280" w:type="dxa"/>
            <w:tcBorders>
              <w:top w:val="single" w:sz="4" w:space="0" w:color="auto"/>
              <w:left w:val="nil"/>
              <w:bottom w:val="single" w:sz="4" w:space="0" w:color="auto"/>
              <w:right w:val="nil"/>
            </w:tcBorders>
            <w:shd w:val="clear" w:color="auto" w:fill="DEEAF6" w:themeFill="accent5" w:themeFillTint="33"/>
            <w:vAlign w:val="bottom"/>
            <w:hideMark/>
          </w:tcPr>
          <w:p w14:paraId="5BBBC961" w14:textId="0EA1CED6"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October half</w:t>
            </w:r>
            <w:r w:rsidR="00F44F0F">
              <w:rPr>
                <w:rFonts w:ascii="Times New Roman" w:eastAsia="Times New Roman" w:hAnsi="Times New Roman"/>
                <w:b/>
                <w:bCs/>
                <w:lang w:eastAsia="en-GB"/>
              </w:rPr>
              <w:t>-</w:t>
            </w:r>
            <w:r w:rsidRPr="00A423E8">
              <w:rPr>
                <w:rFonts w:ascii="Times New Roman" w:eastAsia="Times New Roman" w:hAnsi="Times New Roman"/>
                <w:b/>
                <w:bCs/>
                <w:lang w:eastAsia="en-GB"/>
              </w:rPr>
              <w:t>term</w:t>
            </w:r>
          </w:p>
        </w:tc>
        <w:tc>
          <w:tcPr>
            <w:tcW w:w="1120" w:type="dxa"/>
            <w:tcBorders>
              <w:top w:val="single" w:sz="4" w:space="0" w:color="auto"/>
              <w:left w:val="nil"/>
              <w:bottom w:val="single" w:sz="4" w:space="0" w:color="auto"/>
              <w:right w:val="nil"/>
            </w:tcBorders>
            <w:shd w:val="clear" w:color="auto" w:fill="DEEAF6" w:themeFill="accent5" w:themeFillTint="33"/>
            <w:vAlign w:val="bottom"/>
            <w:hideMark/>
          </w:tcPr>
          <w:p w14:paraId="4E296322"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Christmas holidays</w:t>
            </w:r>
          </w:p>
        </w:tc>
        <w:tc>
          <w:tcPr>
            <w:tcW w:w="1540" w:type="dxa"/>
            <w:tcBorders>
              <w:top w:val="single" w:sz="4" w:space="0" w:color="auto"/>
              <w:left w:val="nil"/>
              <w:bottom w:val="single" w:sz="4" w:space="0" w:color="auto"/>
              <w:right w:val="nil"/>
            </w:tcBorders>
            <w:shd w:val="clear" w:color="auto" w:fill="DEEAF6" w:themeFill="accent5" w:themeFillTint="33"/>
            <w:vAlign w:val="bottom"/>
            <w:hideMark/>
          </w:tcPr>
          <w:p w14:paraId="24CCE17A" w14:textId="7088ADDF"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February half</w:t>
            </w:r>
            <w:r w:rsidR="00F44F0F">
              <w:rPr>
                <w:rFonts w:ascii="Times New Roman" w:eastAsia="Times New Roman" w:hAnsi="Times New Roman"/>
                <w:b/>
                <w:bCs/>
                <w:lang w:eastAsia="en-GB"/>
              </w:rPr>
              <w:t>-</w:t>
            </w:r>
            <w:r w:rsidRPr="00A423E8">
              <w:rPr>
                <w:rFonts w:ascii="Times New Roman" w:eastAsia="Times New Roman" w:hAnsi="Times New Roman"/>
                <w:b/>
                <w:bCs/>
                <w:lang w:eastAsia="en-GB"/>
              </w:rPr>
              <w:t>term</w:t>
            </w:r>
          </w:p>
        </w:tc>
        <w:tc>
          <w:tcPr>
            <w:tcW w:w="960" w:type="dxa"/>
            <w:tcBorders>
              <w:top w:val="single" w:sz="4" w:space="0" w:color="auto"/>
              <w:left w:val="nil"/>
              <w:bottom w:val="single" w:sz="4" w:space="0" w:color="auto"/>
              <w:right w:val="nil"/>
            </w:tcBorders>
            <w:shd w:val="clear" w:color="auto" w:fill="DEEAF6" w:themeFill="accent5" w:themeFillTint="33"/>
            <w:vAlign w:val="bottom"/>
            <w:hideMark/>
          </w:tcPr>
          <w:p w14:paraId="62F2BBCB"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Easter holidays</w:t>
            </w:r>
          </w:p>
        </w:tc>
        <w:tc>
          <w:tcPr>
            <w:tcW w:w="1420" w:type="dxa"/>
            <w:tcBorders>
              <w:top w:val="single" w:sz="4" w:space="0" w:color="auto"/>
              <w:left w:val="nil"/>
              <w:bottom w:val="single" w:sz="4" w:space="0" w:color="auto"/>
              <w:right w:val="nil"/>
            </w:tcBorders>
            <w:shd w:val="clear" w:color="auto" w:fill="DEEAF6" w:themeFill="accent5" w:themeFillTint="33"/>
            <w:vAlign w:val="bottom"/>
            <w:hideMark/>
          </w:tcPr>
          <w:p w14:paraId="151B369C" w14:textId="468344D0"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Summer half</w:t>
            </w:r>
            <w:r w:rsidR="00F44F0F">
              <w:rPr>
                <w:rFonts w:ascii="Times New Roman" w:eastAsia="Times New Roman" w:hAnsi="Times New Roman"/>
                <w:b/>
                <w:bCs/>
                <w:lang w:eastAsia="en-GB"/>
              </w:rPr>
              <w:t>-</w:t>
            </w:r>
            <w:r w:rsidRPr="00A423E8">
              <w:rPr>
                <w:rFonts w:ascii="Times New Roman" w:eastAsia="Times New Roman" w:hAnsi="Times New Roman"/>
                <w:b/>
                <w:bCs/>
                <w:lang w:eastAsia="en-GB"/>
              </w:rPr>
              <w:t>term</w:t>
            </w:r>
          </w:p>
        </w:tc>
        <w:tc>
          <w:tcPr>
            <w:tcW w:w="1180" w:type="dxa"/>
            <w:tcBorders>
              <w:top w:val="single" w:sz="4" w:space="0" w:color="auto"/>
              <w:left w:val="nil"/>
              <w:bottom w:val="single" w:sz="4" w:space="0" w:color="auto"/>
              <w:right w:val="nil"/>
            </w:tcBorders>
            <w:shd w:val="clear" w:color="auto" w:fill="DEEAF6" w:themeFill="accent5" w:themeFillTint="33"/>
            <w:vAlign w:val="bottom"/>
            <w:hideMark/>
          </w:tcPr>
          <w:p w14:paraId="500ACCAC"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Summer holidays</w:t>
            </w:r>
          </w:p>
        </w:tc>
      </w:tr>
      <w:tr w:rsidR="00803256" w:rsidRPr="00A423E8" w14:paraId="73D178E4" w14:textId="77777777" w:rsidTr="005E2E61">
        <w:trPr>
          <w:trHeight w:val="300"/>
        </w:trPr>
        <w:tc>
          <w:tcPr>
            <w:tcW w:w="2040" w:type="dxa"/>
            <w:tcBorders>
              <w:top w:val="nil"/>
              <w:left w:val="nil"/>
              <w:bottom w:val="nil"/>
              <w:right w:val="nil"/>
            </w:tcBorders>
            <w:shd w:val="clear" w:color="auto" w:fill="auto"/>
            <w:noWrap/>
            <w:vAlign w:val="bottom"/>
            <w:hideMark/>
          </w:tcPr>
          <w:p w14:paraId="3978E801" w14:textId="77777777" w:rsidR="00803256" w:rsidRPr="00A423E8" w:rsidRDefault="00803256" w:rsidP="005E2E61">
            <w:pPr>
              <w:spacing w:after="0" w:line="240" w:lineRule="auto"/>
              <w:rPr>
                <w:rFonts w:ascii="Times New Roman" w:eastAsia="Times New Roman" w:hAnsi="Times New Roman"/>
                <w:lang w:eastAsia="en-GB"/>
              </w:rPr>
            </w:pPr>
            <w:r w:rsidRPr="00A423E8">
              <w:rPr>
                <w:rFonts w:ascii="Times New Roman" w:eastAsia="Times New Roman" w:hAnsi="Times New Roman"/>
                <w:lang w:eastAsia="en-GB"/>
              </w:rPr>
              <w:t>10th percentile</w:t>
            </w:r>
          </w:p>
        </w:tc>
        <w:tc>
          <w:tcPr>
            <w:tcW w:w="1280" w:type="dxa"/>
            <w:tcBorders>
              <w:top w:val="nil"/>
              <w:left w:val="nil"/>
              <w:bottom w:val="nil"/>
              <w:right w:val="nil"/>
            </w:tcBorders>
            <w:shd w:val="clear" w:color="auto" w:fill="auto"/>
            <w:noWrap/>
            <w:vAlign w:val="bottom"/>
            <w:hideMark/>
          </w:tcPr>
          <w:p w14:paraId="6E694E1E"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120" w:type="dxa"/>
            <w:tcBorders>
              <w:top w:val="nil"/>
              <w:left w:val="nil"/>
              <w:bottom w:val="nil"/>
              <w:right w:val="nil"/>
            </w:tcBorders>
            <w:shd w:val="clear" w:color="auto" w:fill="auto"/>
            <w:noWrap/>
            <w:vAlign w:val="bottom"/>
            <w:hideMark/>
          </w:tcPr>
          <w:p w14:paraId="58E6DA58"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540" w:type="dxa"/>
            <w:tcBorders>
              <w:top w:val="nil"/>
              <w:left w:val="nil"/>
              <w:bottom w:val="nil"/>
              <w:right w:val="nil"/>
            </w:tcBorders>
            <w:shd w:val="clear" w:color="auto" w:fill="auto"/>
            <w:noWrap/>
            <w:vAlign w:val="bottom"/>
            <w:hideMark/>
          </w:tcPr>
          <w:p w14:paraId="2B534F24"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960" w:type="dxa"/>
            <w:tcBorders>
              <w:top w:val="nil"/>
              <w:left w:val="nil"/>
              <w:bottom w:val="nil"/>
              <w:right w:val="nil"/>
            </w:tcBorders>
            <w:shd w:val="clear" w:color="auto" w:fill="auto"/>
            <w:noWrap/>
            <w:vAlign w:val="bottom"/>
            <w:hideMark/>
          </w:tcPr>
          <w:p w14:paraId="360FE482"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420" w:type="dxa"/>
            <w:tcBorders>
              <w:top w:val="nil"/>
              <w:left w:val="nil"/>
              <w:bottom w:val="nil"/>
              <w:right w:val="nil"/>
            </w:tcBorders>
            <w:shd w:val="clear" w:color="auto" w:fill="auto"/>
            <w:noWrap/>
            <w:vAlign w:val="bottom"/>
            <w:hideMark/>
          </w:tcPr>
          <w:p w14:paraId="1ABE0D32"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180" w:type="dxa"/>
            <w:tcBorders>
              <w:top w:val="nil"/>
              <w:left w:val="nil"/>
              <w:bottom w:val="nil"/>
              <w:right w:val="nil"/>
            </w:tcBorders>
            <w:shd w:val="clear" w:color="auto" w:fill="auto"/>
            <w:noWrap/>
            <w:vAlign w:val="bottom"/>
            <w:hideMark/>
          </w:tcPr>
          <w:p w14:paraId="080CF2F6"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r>
      <w:tr w:rsidR="00803256" w:rsidRPr="00A423E8" w14:paraId="6817EF86" w14:textId="77777777" w:rsidTr="005E2E61">
        <w:trPr>
          <w:trHeight w:val="300"/>
        </w:trPr>
        <w:tc>
          <w:tcPr>
            <w:tcW w:w="2040" w:type="dxa"/>
            <w:tcBorders>
              <w:top w:val="nil"/>
              <w:left w:val="nil"/>
              <w:bottom w:val="nil"/>
              <w:right w:val="nil"/>
            </w:tcBorders>
            <w:shd w:val="clear" w:color="auto" w:fill="auto"/>
            <w:noWrap/>
            <w:vAlign w:val="bottom"/>
            <w:hideMark/>
          </w:tcPr>
          <w:p w14:paraId="4617C581" w14:textId="77777777" w:rsidR="00803256" w:rsidRPr="00A423E8" w:rsidRDefault="00803256" w:rsidP="005E2E61">
            <w:pPr>
              <w:spacing w:after="0" w:line="240" w:lineRule="auto"/>
              <w:rPr>
                <w:rFonts w:ascii="Times New Roman" w:eastAsia="Times New Roman" w:hAnsi="Times New Roman"/>
                <w:lang w:eastAsia="en-GB"/>
              </w:rPr>
            </w:pPr>
            <w:r w:rsidRPr="00A423E8">
              <w:rPr>
                <w:rFonts w:ascii="Times New Roman" w:eastAsia="Times New Roman" w:hAnsi="Times New Roman"/>
                <w:lang w:eastAsia="en-GB"/>
              </w:rPr>
              <w:t>25th percentile</w:t>
            </w:r>
          </w:p>
        </w:tc>
        <w:tc>
          <w:tcPr>
            <w:tcW w:w="1280" w:type="dxa"/>
            <w:tcBorders>
              <w:top w:val="nil"/>
              <w:left w:val="nil"/>
              <w:bottom w:val="nil"/>
              <w:right w:val="nil"/>
            </w:tcBorders>
            <w:shd w:val="clear" w:color="auto" w:fill="auto"/>
            <w:noWrap/>
            <w:vAlign w:val="bottom"/>
            <w:hideMark/>
          </w:tcPr>
          <w:p w14:paraId="1900B750"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120" w:type="dxa"/>
            <w:tcBorders>
              <w:top w:val="nil"/>
              <w:left w:val="nil"/>
              <w:bottom w:val="nil"/>
              <w:right w:val="nil"/>
            </w:tcBorders>
            <w:shd w:val="clear" w:color="auto" w:fill="auto"/>
            <w:noWrap/>
            <w:vAlign w:val="bottom"/>
            <w:hideMark/>
          </w:tcPr>
          <w:p w14:paraId="4B853C8C"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540" w:type="dxa"/>
            <w:tcBorders>
              <w:top w:val="nil"/>
              <w:left w:val="nil"/>
              <w:bottom w:val="nil"/>
              <w:right w:val="nil"/>
            </w:tcBorders>
            <w:shd w:val="clear" w:color="auto" w:fill="auto"/>
            <w:noWrap/>
            <w:vAlign w:val="bottom"/>
            <w:hideMark/>
          </w:tcPr>
          <w:p w14:paraId="5170A172"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960" w:type="dxa"/>
            <w:tcBorders>
              <w:top w:val="nil"/>
              <w:left w:val="nil"/>
              <w:bottom w:val="nil"/>
              <w:right w:val="nil"/>
            </w:tcBorders>
            <w:shd w:val="clear" w:color="auto" w:fill="auto"/>
            <w:noWrap/>
            <w:vAlign w:val="bottom"/>
            <w:hideMark/>
          </w:tcPr>
          <w:p w14:paraId="68EE8367"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420" w:type="dxa"/>
            <w:tcBorders>
              <w:top w:val="nil"/>
              <w:left w:val="nil"/>
              <w:bottom w:val="nil"/>
              <w:right w:val="nil"/>
            </w:tcBorders>
            <w:shd w:val="clear" w:color="auto" w:fill="auto"/>
            <w:noWrap/>
            <w:vAlign w:val="bottom"/>
            <w:hideMark/>
          </w:tcPr>
          <w:p w14:paraId="21340353"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180" w:type="dxa"/>
            <w:tcBorders>
              <w:top w:val="nil"/>
              <w:left w:val="nil"/>
              <w:bottom w:val="nil"/>
              <w:right w:val="nil"/>
            </w:tcBorders>
            <w:shd w:val="clear" w:color="auto" w:fill="auto"/>
            <w:noWrap/>
            <w:vAlign w:val="bottom"/>
            <w:hideMark/>
          </w:tcPr>
          <w:p w14:paraId="6370591F"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r>
      <w:tr w:rsidR="00803256" w:rsidRPr="00A423E8" w14:paraId="003DE5B1" w14:textId="77777777" w:rsidTr="005E2E61">
        <w:trPr>
          <w:trHeight w:val="300"/>
        </w:trPr>
        <w:tc>
          <w:tcPr>
            <w:tcW w:w="2040" w:type="dxa"/>
            <w:tcBorders>
              <w:top w:val="nil"/>
              <w:left w:val="nil"/>
              <w:bottom w:val="nil"/>
              <w:right w:val="nil"/>
            </w:tcBorders>
            <w:shd w:val="clear" w:color="auto" w:fill="auto"/>
            <w:noWrap/>
            <w:vAlign w:val="bottom"/>
            <w:hideMark/>
          </w:tcPr>
          <w:p w14:paraId="794CCBC8" w14:textId="77777777" w:rsidR="00803256" w:rsidRPr="00A423E8" w:rsidRDefault="00803256" w:rsidP="005E2E61">
            <w:pPr>
              <w:spacing w:after="0" w:line="240" w:lineRule="auto"/>
              <w:rPr>
                <w:rFonts w:ascii="Times New Roman" w:eastAsia="Times New Roman" w:hAnsi="Times New Roman"/>
                <w:lang w:eastAsia="en-GB"/>
              </w:rPr>
            </w:pPr>
            <w:r w:rsidRPr="00A423E8">
              <w:rPr>
                <w:rFonts w:ascii="Times New Roman" w:eastAsia="Times New Roman" w:hAnsi="Times New Roman"/>
                <w:lang w:eastAsia="en-GB"/>
              </w:rPr>
              <w:t>Median</w:t>
            </w:r>
          </w:p>
        </w:tc>
        <w:tc>
          <w:tcPr>
            <w:tcW w:w="1280" w:type="dxa"/>
            <w:tcBorders>
              <w:top w:val="nil"/>
              <w:left w:val="nil"/>
              <w:bottom w:val="nil"/>
              <w:right w:val="nil"/>
            </w:tcBorders>
            <w:shd w:val="clear" w:color="auto" w:fill="auto"/>
            <w:noWrap/>
            <w:vAlign w:val="bottom"/>
            <w:hideMark/>
          </w:tcPr>
          <w:p w14:paraId="1232AB46"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120" w:type="dxa"/>
            <w:tcBorders>
              <w:top w:val="nil"/>
              <w:left w:val="nil"/>
              <w:bottom w:val="nil"/>
              <w:right w:val="nil"/>
            </w:tcBorders>
            <w:shd w:val="clear" w:color="auto" w:fill="auto"/>
            <w:noWrap/>
            <w:vAlign w:val="bottom"/>
            <w:hideMark/>
          </w:tcPr>
          <w:p w14:paraId="3CE15A65"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540" w:type="dxa"/>
            <w:tcBorders>
              <w:top w:val="nil"/>
              <w:left w:val="nil"/>
              <w:bottom w:val="nil"/>
              <w:right w:val="nil"/>
            </w:tcBorders>
            <w:shd w:val="clear" w:color="auto" w:fill="auto"/>
            <w:noWrap/>
            <w:vAlign w:val="bottom"/>
            <w:hideMark/>
          </w:tcPr>
          <w:p w14:paraId="2C55B6D9"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960" w:type="dxa"/>
            <w:tcBorders>
              <w:top w:val="nil"/>
              <w:left w:val="nil"/>
              <w:bottom w:val="nil"/>
              <w:right w:val="nil"/>
            </w:tcBorders>
            <w:shd w:val="clear" w:color="auto" w:fill="auto"/>
            <w:noWrap/>
            <w:vAlign w:val="bottom"/>
            <w:hideMark/>
          </w:tcPr>
          <w:p w14:paraId="6F547AB8"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420" w:type="dxa"/>
            <w:tcBorders>
              <w:top w:val="nil"/>
              <w:left w:val="nil"/>
              <w:bottom w:val="nil"/>
              <w:right w:val="nil"/>
            </w:tcBorders>
            <w:shd w:val="clear" w:color="auto" w:fill="auto"/>
            <w:noWrap/>
            <w:vAlign w:val="bottom"/>
            <w:hideMark/>
          </w:tcPr>
          <w:p w14:paraId="16F4E786"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180" w:type="dxa"/>
            <w:tcBorders>
              <w:top w:val="nil"/>
              <w:left w:val="nil"/>
              <w:bottom w:val="nil"/>
              <w:right w:val="nil"/>
            </w:tcBorders>
            <w:shd w:val="clear" w:color="auto" w:fill="auto"/>
            <w:noWrap/>
            <w:vAlign w:val="bottom"/>
            <w:hideMark/>
          </w:tcPr>
          <w:p w14:paraId="4C62AAC3"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r>
      <w:tr w:rsidR="00803256" w:rsidRPr="00A423E8" w14:paraId="29F04800" w14:textId="77777777" w:rsidTr="005E2E61">
        <w:trPr>
          <w:trHeight w:val="300"/>
        </w:trPr>
        <w:tc>
          <w:tcPr>
            <w:tcW w:w="2040" w:type="dxa"/>
            <w:tcBorders>
              <w:top w:val="nil"/>
              <w:left w:val="nil"/>
              <w:bottom w:val="nil"/>
              <w:right w:val="nil"/>
            </w:tcBorders>
            <w:shd w:val="clear" w:color="auto" w:fill="auto"/>
            <w:noWrap/>
            <w:vAlign w:val="bottom"/>
            <w:hideMark/>
          </w:tcPr>
          <w:p w14:paraId="61A16B86" w14:textId="77777777" w:rsidR="00803256" w:rsidRPr="00A423E8" w:rsidRDefault="00803256" w:rsidP="005E2E61">
            <w:pPr>
              <w:spacing w:after="0" w:line="240" w:lineRule="auto"/>
              <w:rPr>
                <w:rFonts w:ascii="Times New Roman" w:eastAsia="Times New Roman" w:hAnsi="Times New Roman"/>
                <w:lang w:eastAsia="en-GB"/>
              </w:rPr>
            </w:pPr>
            <w:r w:rsidRPr="00A423E8">
              <w:rPr>
                <w:rFonts w:ascii="Times New Roman" w:eastAsia="Times New Roman" w:hAnsi="Times New Roman"/>
                <w:lang w:eastAsia="en-GB"/>
              </w:rPr>
              <w:t>75th percentile</w:t>
            </w:r>
          </w:p>
        </w:tc>
        <w:tc>
          <w:tcPr>
            <w:tcW w:w="1280" w:type="dxa"/>
            <w:tcBorders>
              <w:top w:val="nil"/>
              <w:left w:val="nil"/>
              <w:bottom w:val="nil"/>
              <w:right w:val="nil"/>
            </w:tcBorders>
            <w:shd w:val="clear" w:color="auto" w:fill="auto"/>
            <w:noWrap/>
            <w:vAlign w:val="bottom"/>
            <w:hideMark/>
          </w:tcPr>
          <w:p w14:paraId="08A6E4AD"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120" w:type="dxa"/>
            <w:tcBorders>
              <w:top w:val="nil"/>
              <w:left w:val="nil"/>
              <w:bottom w:val="nil"/>
              <w:right w:val="nil"/>
            </w:tcBorders>
            <w:shd w:val="clear" w:color="auto" w:fill="auto"/>
            <w:noWrap/>
            <w:vAlign w:val="bottom"/>
            <w:hideMark/>
          </w:tcPr>
          <w:p w14:paraId="059F7F6B"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540" w:type="dxa"/>
            <w:tcBorders>
              <w:top w:val="nil"/>
              <w:left w:val="nil"/>
              <w:bottom w:val="nil"/>
              <w:right w:val="nil"/>
            </w:tcBorders>
            <w:shd w:val="clear" w:color="auto" w:fill="auto"/>
            <w:noWrap/>
            <w:vAlign w:val="bottom"/>
            <w:hideMark/>
          </w:tcPr>
          <w:p w14:paraId="52E7D2AF"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960" w:type="dxa"/>
            <w:tcBorders>
              <w:top w:val="nil"/>
              <w:left w:val="nil"/>
              <w:bottom w:val="nil"/>
              <w:right w:val="nil"/>
            </w:tcBorders>
            <w:shd w:val="clear" w:color="auto" w:fill="auto"/>
            <w:noWrap/>
            <w:vAlign w:val="bottom"/>
            <w:hideMark/>
          </w:tcPr>
          <w:p w14:paraId="228A60DD"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c>
          <w:tcPr>
            <w:tcW w:w="1420" w:type="dxa"/>
            <w:tcBorders>
              <w:top w:val="nil"/>
              <w:left w:val="nil"/>
              <w:bottom w:val="nil"/>
              <w:right w:val="nil"/>
            </w:tcBorders>
            <w:shd w:val="clear" w:color="auto" w:fill="auto"/>
            <w:noWrap/>
            <w:vAlign w:val="bottom"/>
            <w:hideMark/>
          </w:tcPr>
          <w:p w14:paraId="31B2B73B"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4</w:t>
            </w:r>
          </w:p>
        </w:tc>
        <w:tc>
          <w:tcPr>
            <w:tcW w:w="1180" w:type="dxa"/>
            <w:tcBorders>
              <w:top w:val="nil"/>
              <w:left w:val="nil"/>
              <w:bottom w:val="nil"/>
              <w:right w:val="nil"/>
            </w:tcBorders>
            <w:shd w:val="clear" w:color="auto" w:fill="auto"/>
            <w:noWrap/>
            <w:vAlign w:val="bottom"/>
            <w:hideMark/>
          </w:tcPr>
          <w:p w14:paraId="302C2E12"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0</w:t>
            </w:r>
          </w:p>
        </w:tc>
      </w:tr>
      <w:tr w:rsidR="00803256" w:rsidRPr="00A423E8" w14:paraId="6EF8F48B" w14:textId="77777777" w:rsidTr="005E2E61">
        <w:trPr>
          <w:trHeight w:val="300"/>
        </w:trPr>
        <w:tc>
          <w:tcPr>
            <w:tcW w:w="2040" w:type="dxa"/>
            <w:tcBorders>
              <w:top w:val="nil"/>
              <w:left w:val="nil"/>
              <w:bottom w:val="nil"/>
              <w:right w:val="nil"/>
            </w:tcBorders>
            <w:shd w:val="clear" w:color="auto" w:fill="auto"/>
            <w:noWrap/>
            <w:vAlign w:val="bottom"/>
            <w:hideMark/>
          </w:tcPr>
          <w:p w14:paraId="0206EB37" w14:textId="77777777" w:rsidR="00803256" w:rsidRPr="00A423E8" w:rsidRDefault="00803256" w:rsidP="005E2E61">
            <w:pPr>
              <w:spacing w:after="0" w:line="240" w:lineRule="auto"/>
              <w:rPr>
                <w:rFonts w:ascii="Times New Roman" w:eastAsia="Times New Roman" w:hAnsi="Times New Roman"/>
                <w:lang w:eastAsia="en-GB"/>
              </w:rPr>
            </w:pPr>
            <w:r w:rsidRPr="00A423E8">
              <w:rPr>
                <w:rFonts w:ascii="Times New Roman" w:eastAsia="Times New Roman" w:hAnsi="Times New Roman"/>
                <w:lang w:eastAsia="en-GB"/>
              </w:rPr>
              <w:t>90th percentile</w:t>
            </w:r>
          </w:p>
        </w:tc>
        <w:tc>
          <w:tcPr>
            <w:tcW w:w="1280" w:type="dxa"/>
            <w:tcBorders>
              <w:top w:val="nil"/>
              <w:left w:val="nil"/>
              <w:bottom w:val="nil"/>
              <w:right w:val="nil"/>
            </w:tcBorders>
            <w:shd w:val="clear" w:color="auto" w:fill="auto"/>
            <w:noWrap/>
            <w:vAlign w:val="bottom"/>
            <w:hideMark/>
          </w:tcPr>
          <w:p w14:paraId="5E7A4DD5"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20</w:t>
            </w:r>
          </w:p>
        </w:tc>
        <w:tc>
          <w:tcPr>
            <w:tcW w:w="1120" w:type="dxa"/>
            <w:tcBorders>
              <w:top w:val="nil"/>
              <w:left w:val="nil"/>
              <w:bottom w:val="nil"/>
              <w:right w:val="nil"/>
            </w:tcBorders>
            <w:shd w:val="clear" w:color="auto" w:fill="auto"/>
            <w:noWrap/>
            <w:vAlign w:val="bottom"/>
            <w:hideMark/>
          </w:tcPr>
          <w:p w14:paraId="1508CEB5"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15</w:t>
            </w:r>
          </w:p>
        </w:tc>
        <w:tc>
          <w:tcPr>
            <w:tcW w:w="1540" w:type="dxa"/>
            <w:tcBorders>
              <w:top w:val="nil"/>
              <w:left w:val="nil"/>
              <w:bottom w:val="nil"/>
              <w:right w:val="nil"/>
            </w:tcBorders>
            <w:shd w:val="clear" w:color="auto" w:fill="auto"/>
            <w:noWrap/>
            <w:vAlign w:val="bottom"/>
            <w:hideMark/>
          </w:tcPr>
          <w:p w14:paraId="0DEEB692"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12</w:t>
            </w:r>
          </w:p>
        </w:tc>
        <w:tc>
          <w:tcPr>
            <w:tcW w:w="960" w:type="dxa"/>
            <w:tcBorders>
              <w:top w:val="nil"/>
              <w:left w:val="nil"/>
              <w:bottom w:val="nil"/>
              <w:right w:val="nil"/>
            </w:tcBorders>
            <w:shd w:val="clear" w:color="auto" w:fill="auto"/>
            <w:noWrap/>
            <w:vAlign w:val="bottom"/>
            <w:hideMark/>
          </w:tcPr>
          <w:p w14:paraId="19DEB717"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18</w:t>
            </w:r>
          </w:p>
        </w:tc>
        <w:tc>
          <w:tcPr>
            <w:tcW w:w="1420" w:type="dxa"/>
            <w:tcBorders>
              <w:top w:val="nil"/>
              <w:left w:val="nil"/>
              <w:bottom w:val="nil"/>
              <w:right w:val="nil"/>
            </w:tcBorders>
            <w:shd w:val="clear" w:color="auto" w:fill="auto"/>
            <w:noWrap/>
            <w:vAlign w:val="bottom"/>
            <w:hideMark/>
          </w:tcPr>
          <w:p w14:paraId="10229BBD"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30</w:t>
            </w:r>
          </w:p>
        </w:tc>
        <w:tc>
          <w:tcPr>
            <w:tcW w:w="1180" w:type="dxa"/>
            <w:tcBorders>
              <w:top w:val="nil"/>
              <w:left w:val="nil"/>
              <w:bottom w:val="nil"/>
              <w:right w:val="nil"/>
            </w:tcBorders>
            <w:shd w:val="clear" w:color="auto" w:fill="auto"/>
            <w:noWrap/>
            <w:vAlign w:val="bottom"/>
            <w:hideMark/>
          </w:tcPr>
          <w:p w14:paraId="1ABD65D9"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7</w:t>
            </w:r>
          </w:p>
        </w:tc>
      </w:tr>
      <w:tr w:rsidR="00803256" w:rsidRPr="00A423E8" w14:paraId="1B272F2D" w14:textId="77777777" w:rsidTr="005E2E61">
        <w:trPr>
          <w:trHeight w:val="300"/>
        </w:trPr>
        <w:tc>
          <w:tcPr>
            <w:tcW w:w="2040" w:type="dxa"/>
            <w:tcBorders>
              <w:top w:val="single" w:sz="4" w:space="0" w:color="auto"/>
              <w:left w:val="nil"/>
              <w:bottom w:val="nil"/>
              <w:right w:val="nil"/>
            </w:tcBorders>
            <w:shd w:val="clear" w:color="auto" w:fill="auto"/>
            <w:noWrap/>
            <w:vAlign w:val="bottom"/>
            <w:hideMark/>
          </w:tcPr>
          <w:p w14:paraId="5FCA79F8" w14:textId="77777777" w:rsidR="00803256" w:rsidRPr="00A423E8" w:rsidRDefault="00803256" w:rsidP="005E2E61">
            <w:pPr>
              <w:spacing w:after="0" w:line="240" w:lineRule="auto"/>
              <w:rPr>
                <w:rFonts w:ascii="Times New Roman" w:eastAsia="Times New Roman" w:hAnsi="Times New Roman"/>
                <w:lang w:eastAsia="en-GB"/>
              </w:rPr>
            </w:pPr>
            <w:r w:rsidRPr="00A423E8">
              <w:rPr>
                <w:rFonts w:ascii="Times New Roman" w:eastAsia="Times New Roman" w:hAnsi="Times New Roman"/>
                <w:lang w:eastAsia="en-GB"/>
              </w:rPr>
              <w:t>Mean</w:t>
            </w:r>
          </w:p>
        </w:tc>
        <w:tc>
          <w:tcPr>
            <w:tcW w:w="1280" w:type="dxa"/>
            <w:tcBorders>
              <w:top w:val="single" w:sz="4" w:space="0" w:color="auto"/>
              <w:left w:val="nil"/>
              <w:bottom w:val="nil"/>
              <w:right w:val="nil"/>
            </w:tcBorders>
            <w:shd w:val="clear" w:color="auto" w:fill="auto"/>
            <w:noWrap/>
            <w:vAlign w:val="bottom"/>
            <w:hideMark/>
          </w:tcPr>
          <w:p w14:paraId="75B61A7F"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4.1</w:t>
            </w:r>
          </w:p>
        </w:tc>
        <w:tc>
          <w:tcPr>
            <w:tcW w:w="1120" w:type="dxa"/>
            <w:tcBorders>
              <w:top w:val="single" w:sz="4" w:space="0" w:color="auto"/>
              <w:left w:val="nil"/>
              <w:bottom w:val="nil"/>
              <w:right w:val="nil"/>
            </w:tcBorders>
            <w:shd w:val="clear" w:color="auto" w:fill="auto"/>
            <w:noWrap/>
            <w:vAlign w:val="bottom"/>
            <w:hideMark/>
          </w:tcPr>
          <w:p w14:paraId="6623808E"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3.0</w:t>
            </w:r>
          </w:p>
        </w:tc>
        <w:tc>
          <w:tcPr>
            <w:tcW w:w="1540" w:type="dxa"/>
            <w:tcBorders>
              <w:top w:val="single" w:sz="4" w:space="0" w:color="auto"/>
              <w:left w:val="nil"/>
              <w:bottom w:val="nil"/>
              <w:right w:val="nil"/>
            </w:tcBorders>
            <w:shd w:val="clear" w:color="auto" w:fill="auto"/>
            <w:noWrap/>
            <w:vAlign w:val="bottom"/>
            <w:hideMark/>
          </w:tcPr>
          <w:p w14:paraId="7B07C2B1"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3.3</w:t>
            </w:r>
          </w:p>
        </w:tc>
        <w:tc>
          <w:tcPr>
            <w:tcW w:w="960" w:type="dxa"/>
            <w:tcBorders>
              <w:top w:val="single" w:sz="4" w:space="0" w:color="auto"/>
              <w:left w:val="nil"/>
              <w:bottom w:val="nil"/>
              <w:right w:val="nil"/>
            </w:tcBorders>
            <w:shd w:val="clear" w:color="auto" w:fill="auto"/>
            <w:noWrap/>
            <w:vAlign w:val="bottom"/>
            <w:hideMark/>
          </w:tcPr>
          <w:p w14:paraId="73C4EAD9"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4.0</w:t>
            </w:r>
          </w:p>
        </w:tc>
        <w:tc>
          <w:tcPr>
            <w:tcW w:w="1420" w:type="dxa"/>
            <w:tcBorders>
              <w:top w:val="single" w:sz="4" w:space="0" w:color="auto"/>
              <w:left w:val="nil"/>
              <w:bottom w:val="nil"/>
              <w:right w:val="nil"/>
            </w:tcBorders>
            <w:shd w:val="clear" w:color="auto" w:fill="auto"/>
            <w:noWrap/>
            <w:vAlign w:val="bottom"/>
            <w:hideMark/>
          </w:tcPr>
          <w:p w14:paraId="64726C0F"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6.9</w:t>
            </w:r>
          </w:p>
        </w:tc>
        <w:tc>
          <w:tcPr>
            <w:tcW w:w="1180" w:type="dxa"/>
            <w:tcBorders>
              <w:top w:val="single" w:sz="4" w:space="0" w:color="auto"/>
              <w:left w:val="nil"/>
              <w:bottom w:val="nil"/>
              <w:right w:val="nil"/>
            </w:tcBorders>
            <w:shd w:val="clear" w:color="auto" w:fill="auto"/>
            <w:noWrap/>
            <w:vAlign w:val="bottom"/>
            <w:hideMark/>
          </w:tcPr>
          <w:p w14:paraId="14A86494" w14:textId="77777777" w:rsidR="00803256" w:rsidRPr="00A423E8" w:rsidRDefault="00803256" w:rsidP="005E2E61">
            <w:pPr>
              <w:spacing w:after="0" w:line="240" w:lineRule="auto"/>
              <w:jc w:val="center"/>
              <w:rPr>
                <w:rFonts w:ascii="Times New Roman" w:eastAsia="Times New Roman" w:hAnsi="Times New Roman"/>
                <w:lang w:eastAsia="en-GB"/>
              </w:rPr>
            </w:pPr>
            <w:r w:rsidRPr="00A423E8">
              <w:rPr>
                <w:rFonts w:ascii="Times New Roman" w:eastAsia="Times New Roman" w:hAnsi="Times New Roman"/>
                <w:lang w:eastAsia="en-GB"/>
              </w:rPr>
              <w:t>2.4</w:t>
            </w:r>
          </w:p>
        </w:tc>
      </w:tr>
      <w:tr w:rsidR="00803256" w:rsidRPr="00A423E8" w14:paraId="65C8DACA" w14:textId="77777777" w:rsidTr="005E2E61">
        <w:trPr>
          <w:trHeight w:val="300"/>
        </w:trPr>
        <w:tc>
          <w:tcPr>
            <w:tcW w:w="2040" w:type="dxa"/>
            <w:tcBorders>
              <w:top w:val="nil"/>
              <w:left w:val="nil"/>
              <w:bottom w:val="single" w:sz="4" w:space="0" w:color="auto"/>
              <w:right w:val="nil"/>
            </w:tcBorders>
            <w:shd w:val="clear" w:color="auto" w:fill="auto"/>
            <w:noWrap/>
            <w:vAlign w:val="bottom"/>
            <w:hideMark/>
          </w:tcPr>
          <w:p w14:paraId="494987AC" w14:textId="77777777" w:rsidR="00803256" w:rsidRPr="00A423E8" w:rsidRDefault="00803256" w:rsidP="005E2E61">
            <w:pPr>
              <w:spacing w:after="0" w:line="240" w:lineRule="auto"/>
              <w:rPr>
                <w:rFonts w:ascii="Times New Roman" w:eastAsia="Times New Roman" w:hAnsi="Times New Roman"/>
                <w:b/>
                <w:bCs/>
                <w:lang w:eastAsia="en-GB"/>
              </w:rPr>
            </w:pPr>
            <w:r w:rsidRPr="00A423E8">
              <w:rPr>
                <w:rFonts w:ascii="Times New Roman" w:eastAsia="Times New Roman" w:hAnsi="Times New Roman"/>
                <w:b/>
                <w:bCs/>
                <w:lang w:eastAsia="en-GB"/>
              </w:rPr>
              <w:t>Observations</w:t>
            </w:r>
          </w:p>
        </w:tc>
        <w:tc>
          <w:tcPr>
            <w:tcW w:w="1280" w:type="dxa"/>
            <w:tcBorders>
              <w:top w:val="nil"/>
              <w:left w:val="nil"/>
              <w:bottom w:val="single" w:sz="4" w:space="0" w:color="auto"/>
              <w:right w:val="nil"/>
            </w:tcBorders>
            <w:shd w:val="clear" w:color="auto" w:fill="auto"/>
            <w:noWrap/>
            <w:vAlign w:val="bottom"/>
            <w:hideMark/>
          </w:tcPr>
          <w:p w14:paraId="24E69F69"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820</w:t>
            </w:r>
          </w:p>
        </w:tc>
        <w:tc>
          <w:tcPr>
            <w:tcW w:w="1120" w:type="dxa"/>
            <w:tcBorders>
              <w:top w:val="nil"/>
              <w:left w:val="nil"/>
              <w:bottom w:val="single" w:sz="4" w:space="0" w:color="auto"/>
              <w:right w:val="nil"/>
            </w:tcBorders>
            <w:shd w:val="clear" w:color="auto" w:fill="auto"/>
            <w:noWrap/>
            <w:vAlign w:val="bottom"/>
            <w:hideMark/>
          </w:tcPr>
          <w:p w14:paraId="3E7E5563"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1,684</w:t>
            </w:r>
          </w:p>
        </w:tc>
        <w:tc>
          <w:tcPr>
            <w:tcW w:w="1540" w:type="dxa"/>
            <w:tcBorders>
              <w:top w:val="nil"/>
              <w:left w:val="nil"/>
              <w:bottom w:val="single" w:sz="4" w:space="0" w:color="auto"/>
              <w:right w:val="nil"/>
            </w:tcBorders>
            <w:shd w:val="clear" w:color="auto" w:fill="auto"/>
            <w:noWrap/>
            <w:vAlign w:val="bottom"/>
            <w:hideMark/>
          </w:tcPr>
          <w:p w14:paraId="0F9E936E"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633</w:t>
            </w:r>
          </w:p>
        </w:tc>
        <w:tc>
          <w:tcPr>
            <w:tcW w:w="960" w:type="dxa"/>
            <w:tcBorders>
              <w:top w:val="nil"/>
              <w:left w:val="nil"/>
              <w:bottom w:val="single" w:sz="4" w:space="0" w:color="auto"/>
              <w:right w:val="nil"/>
            </w:tcBorders>
            <w:shd w:val="clear" w:color="auto" w:fill="auto"/>
            <w:noWrap/>
            <w:vAlign w:val="bottom"/>
            <w:hideMark/>
          </w:tcPr>
          <w:p w14:paraId="518A9BFB"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1,905</w:t>
            </w:r>
          </w:p>
        </w:tc>
        <w:tc>
          <w:tcPr>
            <w:tcW w:w="1420" w:type="dxa"/>
            <w:tcBorders>
              <w:top w:val="nil"/>
              <w:left w:val="nil"/>
              <w:bottom w:val="single" w:sz="4" w:space="0" w:color="auto"/>
              <w:right w:val="nil"/>
            </w:tcBorders>
            <w:shd w:val="clear" w:color="auto" w:fill="auto"/>
            <w:noWrap/>
            <w:vAlign w:val="bottom"/>
            <w:hideMark/>
          </w:tcPr>
          <w:p w14:paraId="4D8ECECA"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419</w:t>
            </w:r>
          </w:p>
        </w:tc>
        <w:tc>
          <w:tcPr>
            <w:tcW w:w="1180" w:type="dxa"/>
            <w:tcBorders>
              <w:top w:val="nil"/>
              <w:left w:val="nil"/>
              <w:bottom w:val="single" w:sz="4" w:space="0" w:color="auto"/>
              <w:right w:val="nil"/>
            </w:tcBorders>
            <w:shd w:val="clear" w:color="auto" w:fill="auto"/>
            <w:noWrap/>
            <w:vAlign w:val="bottom"/>
            <w:hideMark/>
          </w:tcPr>
          <w:p w14:paraId="7A9FF6B8" w14:textId="77777777" w:rsidR="00803256" w:rsidRPr="00A423E8" w:rsidRDefault="00803256" w:rsidP="005E2E61">
            <w:pPr>
              <w:spacing w:after="0" w:line="240" w:lineRule="auto"/>
              <w:jc w:val="center"/>
              <w:rPr>
                <w:rFonts w:ascii="Times New Roman" w:eastAsia="Times New Roman" w:hAnsi="Times New Roman"/>
                <w:b/>
                <w:bCs/>
                <w:lang w:eastAsia="en-GB"/>
              </w:rPr>
            </w:pPr>
            <w:r w:rsidRPr="00A423E8">
              <w:rPr>
                <w:rFonts w:ascii="Times New Roman" w:eastAsia="Times New Roman" w:hAnsi="Times New Roman"/>
                <w:b/>
                <w:bCs/>
                <w:lang w:eastAsia="en-GB"/>
              </w:rPr>
              <w:t>5,349</w:t>
            </w:r>
          </w:p>
        </w:tc>
      </w:tr>
    </w:tbl>
    <w:p w14:paraId="657E7197" w14:textId="3886E976" w:rsidR="00803256" w:rsidRDefault="00803256" w:rsidP="00803256">
      <w:pPr>
        <w:spacing w:after="0" w:line="240" w:lineRule="auto"/>
        <w:jc w:val="both"/>
        <w:rPr>
          <w:rFonts w:ascii="Times New Roman" w:hAnsi="Times New Roman"/>
          <w:sz w:val="20"/>
          <w:szCs w:val="20"/>
        </w:rPr>
      </w:pPr>
      <w:r w:rsidRPr="00A423E8">
        <w:rPr>
          <w:rFonts w:ascii="Times New Roman" w:hAnsi="Times New Roman"/>
          <w:sz w:val="20"/>
          <w:szCs w:val="20"/>
        </w:rPr>
        <w:t>Note</w:t>
      </w:r>
      <w:r w:rsidR="004D1DD9">
        <w:rPr>
          <w:rFonts w:ascii="Times New Roman" w:hAnsi="Times New Roman"/>
          <w:sz w:val="20"/>
          <w:szCs w:val="20"/>
        </w:rPr>
        <w:t>s</w:t>
      </w:r>
      <w:r w:rsidRPr="00A423E8">
        <w:rPr>
          <w:rFonts w:ascii="Times New Roman" w:hAnsi="Times New Roman"/>
          <w:sz w:val="20"/>
          <w:szCs w:val="20"/>
        </w:rPr>
        <w:t xml:space="preserve">: Figures refer to full-time teachers who were not proxy respondents, not on parental leave, not on a training course, not sick or injured during the survey week, </w:t>
      </w:r>
      <w:r w:rsidR="00F44F0F">
        <w:rPr>
          <w:rFonts w:ascii="Times New Roman" w:hAnsi="Times New Roman"/>
          <w:sz w:val="20"/>
          <w:szCs w:val="20"/>
        </w:rPr>
        <w:t xml:space="preserve">had </w:t>
      </w:r>
      <w:r w:rsidRPr="00A423E8">
        <w:rPr>
          <w:rFonts w:ascii="Times New Roman" w:hAnsi="Times New Roman"/>
          <w:sz w:val="20"/>
          <w:szCs w:val="20"/>
        </w:rPr>
        <w:t xml:space="preserve">not changed their job, not affected by poor weather or labour dispute during the survey week. Sample also restricted to those teachers who reported working different hours to normal due to being on leave/holiday. Source = Quarterly Labour Force Survey pooled between winter 1996 and winter 2018. </w:t>
      </w:r>
    </w:p>
    <w:p w14:paraId="1869FB65" w14:textId="77777777" w:rsidR="00803256" w:rsidRPr="00B86FBF" w:rsidRDefault="00803256" w:rsidP="00803256">
      <w:pPr>
        <w:spacing w:after="0" w:line="240" w:lineRule="auto"/>
        <w:jc w:val="both"/>
        <w:rPr>
          <w:rFonts w:ascii="Times New Roman" w:hAnsi="Times New Roman"/>
          <w:sz w:val="20"/>
          <w:szCs w:val="20"/>
        </w:rPr>
      </w:pPr>
    </w:p>
    <w:p w14:paraId="3ED89183" w14:textId="0680E60F" w:rsidR="00803256" w:rsidRPr="00803256" w:rsidRDefault="00803256" w:rsidP="00803256">
      <w:pPr>
        <w:spacing w:line="360" w:lineRule="auto"/>
        <w:jc w:val="both"/>
        <w:rPr>
          <w:rFonts w:ascii="Times New Roman" w:hAnsi="Times New Roman"/>
          <w:color w:val="000000"/>
          <w:sz w:val="24"/>
          <w:szCs w:val="24"/>
        </w:rPr>
      </w:pPr>
      <w:r w:rsidRPr="00803256">
        <w:rPr>
          <w:rFonts w:ascii="Times New Roman" w:hAnsi="Times New Roman"/>
          <w:color w:val="000000"/>
          <w:sz w:val="24"/>
          <w:szCs w:val="24"/>
        </w:rPr>
        <w:t>The first key finding from Table 9.3 is that the median teacher reports working zero hours during the school holidays. Most full-time teachers manage to give themselves a break from work. However, this masks the fact that some staff continue to report working long hours even when they are on holiday. For instance, figures for the 90</w:t>
      </w:r>
      <w:r w:rsidRPr="00803256">
        <w:rPr>
          <w:rFonts w:ascii="Times New Roman" w:hAnsi="Times New Roman"/>
          <w:color w:val="000000"/>
          <w:sz w:val="24"/>
          <w:szCs w:val="24"/>
          <w:vertAlign w:val="superscript"/>
        </w:rPr>
        <w:t>th</w:t>
      </w:r>
      <w:r w:rsidRPr="00803256">
        <w:rPr>
          <w:rFonts w:ascii="Times New Roman" w:hAnsi="Times New Roman"/>
          <w:color w:val="000000"/>
          <w:sz w:val="24"/>
          <w:szCs w:val="24"/>
        </w:rPr>
        <w:t xml:space="preserve"> percentile of the working hours distribution suggest that </w:t>
      </w:r>
      <w:r w:rsidR="009C5E7F">
        <w:rPr>
          <w:rFonts w:ascii="Times New Roman" w:hAnsi="Times New Roman"/>
          <w:color w:val="000000"/>
          <w:sz w:val="24"/>
          <w:szCs w:val="24"/>
        </w:rPr>
        <w:t>10%</w:t>
      </w:r>
      <w:r w:rsidRPr="00803256">
        <w:rPr>
          <w:rFonts w:ascii="Times New Roman" w:hAnsi="Times New Roman"/>
          <w:color w:val="000000"/>
          <w:sz w:val="24"/>
          <w:szCs w:val="24"/>
        </w:rPr>
        <w:t xml:space="preserve"> of full-time teachers work at least 20 hours per week during the October half-term, 15 hours per week over Christmas, 18 hours per week over Easter and 30 hours per week over the summer half-term. In other words, the distribution of working hours during school holidays is strongly positively skewed, with a subsection of the profession continuing to put in very long hours during the school break. This hence drives the average (mean) up. Consequently, the average (mean) sits at around four hours of work per week for teachers during most school holidays, with the figure being slightly higher during the final half-</w:t>
      </w:r>
      <w:r w:rsidRPr="00803256">
        <w:rPr>
          <w:rFonts w:ascii="Times New Roman" w:hAnsi="Times New Roman"/>
          <w:color w:val="000000"/>
          <w:sz w:val="24"/>
          <w:szCs w:val="24"/>
        </w:rPr>
        <w:lastRenderedPageBreak/>
        <w:t xml:space="preserve">term of the academic year (≈7 hours per week) and lower during the summer (≈2.5 hours per week). </w:t>
      </w:r>
    </w:p>
    <w:p w14:paraId="15531866" w14:textId="1A8F9523" w:rsidR="00803256" w:rsidRPr="00803256" w:rsidRDefault="00803256" w:rsidP="00803256">
      <w:pPr>
        <w:spacing w:line="360" w:lineRule="auto"/>
        <w:jc w:val="both"/>
        <w:rPr>
          <w:rFonts w:ascii="Times New Roman" w:hAnsi="Times New Roman"/>
          <w:color w:val="000000" w:themeColor="text1"/>
          <w:sz w:val="24"/>
          <w:szCs w:val="24"/>
        </w:rPr>
      </w:pPr>
      <w:r w:rsidRPr="00803256">
        <w:rPr>
          <w:rFonts w:ascii="Times New Roman" w:hAnsi="Times New Roman"/>
          <w:color w:val="000000"/>
          <w:sz w:val="24"/>
          <w:szCs w:val="24"/>
        </w:rPr>
        <w:t xml:space="preserve">However, responses to Teacher </w:t>
      </w:r>
      <w:proofErr w:type="spellStart"/>
      <w:r w:rsidRPr="00803256">
        <w:rPr>
          <w:rFonts w:ascii="Times New Roman" w:hAnsi="Times New Roman"/>
          <w:color w:val="000000"/>
          <w:sz w:val="24"/>
          <w:szCs w:val="24"/>
        </w:rPr>
        <w:t>Tapp</w:t>
      </w:r>
      <w:proofErr w:type="spellEnd"/>
      <w:r w:rsidRPr="00803256">
        <w:rPr>
          <w:rFonts w:ascii="Times New Roman" w:hAnsi="Times New Roman"/>
          <w:color w:val="000000"/>
          <w:sz w:val="24"/>
          <w:szCs w:val="24"/>
        </w:rPr>
        <w:t xml:space="preserve"> questions paint a rather different picture. During a single (summer) half-term holiday, this panel of teachers were asked about the type of work-related activities they had completed. Around </w:t>
      </w:r>
      <w:r w:rsidR="009145EC">
        <w:rPr>
          <w:rFonts w:ascii="Times New Roman" w:hAnsi="Times New Roman"/>
          <w:color w:val="000000"/>
          <w:sz w:val="24"/>
          <w:szCs w:val="24"/>
        </w:rPr>
        <w:t xml:space="preserve">six </w:t>
      </w:r>
      <w:r w:rsidRPr="00803256">
        <w:rPr>
          <w:rFonts w:ascii="Times New Roman" w:hAnsi="Times New Roman"/>
          <w:color w:val="000000"/>
          <w:sz w:val="24"/>
          <w:szCs w:val="24"/>
        </w:rPr>
        <w:t>in</w:t>
      </w:r>
      <w:r w:rsidR="009145EC">
        <w:rPr>
          <w:rFonts w:ascii="Times New Roman" w:hAnsi="Times New Roman"/>
          <w:color w:val="000000"/>
          <w:sz w:val="24"/>
          <w:szCs w:val="24"/>
        </w:rPr>
        <w:t xml:space="preserve"> ten</w:t>
      </w:r>
      <w:r w:rsidRPr="00803256">
        <w:rPr>
          <w:rFonts w:ascii="Times New Roman" w:hAnsi="Times New Roman"/>
          <w:color w:val="000000"/>
          <w:sz w:val="24"/>
          <w:szCs w:val="24"/>
        </w:rPr>
        <w:t xml:space="preserve"> said that they read something relevant to their job, </w:t>
      </w:r>
      <w:r w:rsidR="009145EC">
        <w:rPr>
          <w:rFonts w:ascii="Times New Roman" w:hAnsi="Times New Roman"/>
          <w:color w:val="000000"/>
          <w:sz w:val="24"/>
          <w:szCs w:val="24"/>
        </w:rPr>
        <w:t>six in ten</w:t>
      </w:r>
      <w:r w:rsidRPr="00803256">
        <w:rPr>
          <w:rFonts w:ascii="Times New Roman" w:hAnsi="Times New Roman"/>
          <w:color w:val="000000"/>
          <w:sz w:val="24"/>
          <w:szCs w:val="24"/>
        </w:rPr>
        <w:t xml:space="preserve"> reported planning curriculum or lessons, one</w:t>
      </w:r>
      <w:r w:rsidR="00825EFB">
        <w:rPr>
          <w:rFonts w:ascii="Times New Roman" w:hAnsi="Times New Roman"/>
          <w:color w:val="000000"/>
          <w:sz w:val="24"/>
          <w:szCs w:val="24"/>
        </w:rPr>
        <w:t xml:space="preserve"> </w:t>
      </w:r>
      <w:r w:rsidRPr="00803256">
        <w:rPr>
          <w:rFonts w:ascii="Times New Roman" w:hAnsi="Times New Roman"/>
          <w:color w:val="000000"/>
          <w:sz w:val="24"/>
          <w:szCs w:val="24"/>
        </w:rPr>
        <w:t>third reported marking students work, 9</w:t>
      </w:r>
      <w:r w:rsidR="008F60E8">
        <w:rPr>
          <w:rFonts w:ascii="Times New Roman" w:hAnsi="Times New Roman"/>
          <w:color w:val="000000"/>
          <w:sz w:val="24"/>
          <w:szCs w:val="24"/>
        </w:rPr>
        <w:t>%</w:t>
      </w:r>
      <w:r w:rsidRPr="00803256">
        <w:rPr>
          <w:rFonts w:ascii="Times New Roman" w:hAnsi="Times New Roman"/>
          <w:color w:val="000000"/>
          <w:sz w:val="24"/>
          <w:szCs w:val="24"/>
        </w:rPr>
        <w:t xml:space="preserve"> said they ran an exam revision session for students and 4</w:t>
      </w:r>
      <w:r w:rsidR="008F60E8">
        <w:rPr>
          <w:rFonts w:ascii="Times New Roman" w:hAnsi="Times New Roman"/>
          <w:color w:val="000000"/>
          <w:sz w:val="24"/>
          <w:szCs w:val="24"/>
        </w:rPr>
        <w:t>%</w:t>
      </w:r>
      <w:r w:rsidRPr="00803256">
        <w:rPr>
          <w:rFonts w:ascii="Times New Roman" w:hAnsi="Times New Roman"/>
          <w:color w:val="000000" w:themeColor="text1"/>
          <w:sz w:val="24"/>
          <w:szCs w:val="24"/>
        </w:rPr>
        <w:t xml:space="preserve"> reported attending a work-related workshop or course. Consequently, the current available evidence on teachers’ working hours during school holiday</w:t>
      </w:r>
      <w:r w:rsidR="008F60E8">
        <w:rPr>
          <w:rFonts w:ascii="Times New Roman" w:hAnsi="Times New Roman"/>
          <w:color w:val="000000" w:themeColor="text1"/>
          <w:sz w:val="24"/>
          <w:szCs w:val="24"/>
        </w:rPr>
        <w:t>s</w:t>
      </w:r>
      <w:r w:rsidRPr="00803256">
        <w:rPr>
          <w:rFonts w:ascii="Times New Roman" w:hAnsi="Times New Roman"/>
          <w:color w:val="000000" w:themeColor="text1"/>
          <w:sz w:val="24"/>
          <w:szCs w:val="24"/>
        </w:rPr>
        <w:t xml:space="preserve"> is somewhat contradictory. </w:t>
      </w:r>
    </w:p>
    <w:p w14:paraId="0AE9716E" w14:textId="77777777" w:rsidR="00752047" w:rsidRPr="00752047" w:rsidRDefault="00752047" w:rsidP="008B4E20">
      <w:pPr>
        <w:pStyle w:val="Heading2"/>
        <w:spacing w:line="360" w:lineRule="auto"/>
        <w:rPr>
          <w:rFonts w:ascii="Times New Roman" w:hAnsi="Times New Roman" w:cs="Times New Roman"/>
          <w:b/>
          <w:color w:val="000000" w:themeColor="text1"/>
          <w:sz w:val="24"/>
          <w:szCs w:val="24"/>
        </w:rPr>
      </w:pPr>
      <w:bookmarkStart w:id="23" w:name="_Toc67406016"/>
      <w:r w:rsidRPr="00752047">
        <w:rPr>
          <w:rFonts w:ascii="Times New Roman" w:hAnsi="Times New Roman" w:cs="Times New Roman"/>
          <w:b/>
          <w:color w:val="000000" w:themeColor="text1"/>
          <w:sz w:val="24"/>
          <w:szCs w:val="24"/>
        </w:rPr>
        <w:t>9.6 Working in the evening and weekends</w:t>
      </w:r>
      <w:bookmarkEnd w:id="23"/>
    </w:p>
    <w:p w14:paraId="38B137CB" w14:textId="4436940A" w:rsidR="00752047" w:rsidRPr="00752047" w:rsidRDefault="00752047" w:rsidP="00752047">
      <w:pPr>
        <w:spacing w:line="360" w:lineRule="auto"/>
        <w:jc w:val="both"/>
        <w:rPr>
          <w:rFonts w:ascii="Times New Roman" w:hAnsi="Times New Roman"/>
          <w:color w:val="000000"/>
          <w:sz w:val="24"/>
          <w:szCs w:val="24"/>
        </w:rPr>
      </w:pPr>
      <w:r w:rsidRPr="00752047">
        <w:rPr>
          <w:rFonts w:ascii="Times New Roman" w:hAnsi="Times New Roman"/>
          <w:color w:val="000000" w:themeColor="text1"/>
          <w:sz w:val="24"/>
          <w:szCs w:val="24"/>
        </w:rPr>
        <w:t>Of cour</w:t>
      </w:r>
      <w:r w:rsidRPr="00752047">
        <w:rPr>
          <w:rFonts w:ascii="Times New Roman" w:hAnsi="Times New Roman"/>
          <w:color w:val="000000"/>
          <w:sz w:val="24"/>
          <w:szCs w:val="24"/>
        </w:rPr>
        <w:t>se, teachers may also work unsociable hours during term</w:t>
      </w:r>
      <w:r w:rsidR="008F60E8">
        <w:rPr>
          <w:rFonts w:ascii="Times New Roman" w:hAnsi="Times New Roman"/>
          <w:color w:val="000000"/>
          <w:sz w:val="24"/>
          <w:szCs w:val="24"/>
        </w:rPr>
        <w:t xml:space="preserve"> </w:t>
      </w:r>
      <w:r w:rsidRPr="00752047">
        <w:rPr>
          <w:rFonts w:ascii="Times New Roman" w:hAnsi="Times New Roman"/>
          <w:color w:val="000000"/>
          <w:sz w:val="24"/>
          <w:szCs w:val="24"/>
        </w:rPr>
        <w:t xml:space="preserve">time, including in the evenings and at weekends. Again, little is currently known about this issue. Hence Figure 9.3 draws upon data from the LFS which, since 2005, has asked respondents whether they </w:t>
      </w:r>
      <w:r w:rsidR="008F60E8">
        <w:rPr>
          <w:rFonts w:ascii="Times New Roman" w:hAnsi="Times New Roman"/>
          <w:color w:val="000000"/>
          <w:sz w:val="24"/>
          <w:szCs w:val="24"/>
        </w:rPr>
        <w:t>‘</w:t>
      </w:r>
      <w:r w:rsidRPr="00752047">
        <w:rPr>
          <w:rFonts w:ascii="Times New Roman" w:hAnsi="Times New Roman"/>
          <w:color w:val="000000"/>
          <w:sz w:val="24"/>
          <w:szCs w:val="24"/>
        </w:rPr>
        <w:t>usually</w:t>
      </w:r>
      <w:r w:rsidR="008F60E8">
        <w:rPr>
          <w:rFonts w:ascii="Times New Roman" w:hAnsi="Times New Roman"/>
          <w:color w:val="000000"/>
          <w:sz w:val="24"/>
          <w:szCs w:val="24"/>
        </w:rPr>
        <w:t>’</w:t>
      </w:r>
      <w:r w:rsidRPr="00752047">
        <w:rPr>
          <w:rFonts w:ascii="Times New Roman" w:hAnsi="Times New Roman"/>
          <w:color w:val="000000"/>
          <w:sz w:val="24"/>
          <w:szCs w:val="24"/>
        </w:rPr>
        <w:t xml:space="preserve"> work in the evening, at nights and during the weekend. Our interpretation of this question – particularly the term </w:t>
      </w:r>
      <w:r w:rsidR="008F60E8">
        <w:rPr>
          <w:rFonts w:ascii="Times New Roman" w:hAnsi="Times New Roman"/>
          <w:color w:val="000000"/>
          <w:sz w:val="24"/>
          <w:szCs w:val="24"/>
        </w:rPr>
        <w:t>‘</w:t>
      </w:r>
      <w:r w:rsidRPr="00752047">
        <w:rPr>
          <w:rFonts w:ascii="Times New Roman" w:hAnsi="Times New Roman"/>
          <w:color w:val="000000"/>
          <w:sz w:val="24"/>
          <w:szCs w:val="24"/>
        </w:rPr>
        <w:t>usually</w:t>
      </w:r>
      <w:r w:rsidR="008F60E8">
        <w:rPr>
          <w:rFonts w:ascii="Times New Roman" w:hAnsi="Times New Roman"/>
          <w:color w:val="000000"/>
          <w:sz w:val="24"/>
          <w:szCs w:val="24"/>
        </w:rPr>
        <w:t>’</w:t>
      </w:r>
      <w:r w:rsidRPr="00752047">
        <w:rPr>
          <w:rFonts w:ascii="Times New Roman" w:hAnsi="Times New Roman"/>
          <w:color w:val="000000"/>
          <w:sz w:val="24"/>
          <w:szCs w:val="24"/>
        </w:rPr>
        <w:t xml:space="preserve"> – is that teachers report working at such times more often than not.</w:t>
      </w:r>
    </w:p>
    <w:p w14:paraId="01B62E62" w14:textId="5508AF61" w:rsidR="00752047" w:rsidRPr="00752047" w:rsidRDefault="00752047" w:rsidP="00752047">
      <w:pPr>
        <w:spacing w:after="0" w:line="240" w:lineRule="auto"/>
        <w:jc w:val="center"/>
        <w:rPr>
          <w:rFonts w:ascii="Times New Roman" w:hAnsi="Times New Roman"/>
          <w:b/>
          <w:sz w:val="24"/>
          <w:szCs w:val="24"/>
        </w:rPr>
      </w:pPr>
      <w:r w:rsidRPr="00752047">
        <w:rPr>
          <w:rFonts w:ascii="Times New Roman" w:hAnsi="Times New Roman"/>
          <w:b/>
          <w:sz w:val="24"/>
          <w:szCs w:val="24"/>
        </w:rPr>
        <w:t xml:space="preserve">Figure 9.3 </w:t>
      </w:r>
      <w:proofErr w:type="gramStart"/>
      <w:r w:rsidRPr="00752047">
        <w:rPr>
          <w:rFonts w:ascii="Times New Roman" w:hAnsi="Times New Roman"/>
          <w:b/>
          <w:sz w:val="24"/>
          <w:szCs w:val="24"/>
        </w:rPr>
        <w:t>The</w:t>
      </w:r>
      <w:proofErr w:type="gramEnd"/>
      <w:r w:rsidRPr="00752047">
        <w:rPr>
          <w:rFonts w:ascii="Times New Roman" w:hAnsi="Times New Roman"/>
          <w:b/>
          <w:sz w:val="24"/>
          <w:szCs w:val="24"/>
        </w:rPr>
        <w:t xml:space="preserve"> proportion of teachers who report that it is </w:t>
      </w:r>
      <w:r w:rsidR="008F60E8">
        <w:rPr>
          <w:rFonts w:ascii="Times New Roman" w:hAnsi="Times New Roman"/>
          <w:b/>
          <w:sz w:val="24"/>
          <w:szCs w:val="24"/>
        </w:rPr>
        <w:t>‘</w:t>
      </w:r>
      <w:r w:rsidRPr="00752047">
        <w:rPr>
          <w:rFonts w:ascii="Times New Roman" w:hAnsi="Times New Roman"/>
          <w:b/>
          <w:sz w:val="24"/>
          <w:szCs w:val="24"/>
        </w:rPr>
        <w:t>usual</w:t>
      </w:r>
      <w:r w:rsidR="008F60E8">
        <w:rPr>
          <w:rFonts w:ascii="Times New Roman" w:hAnsi="Times New Roman"/>
          <w:b/>
          <w:sz w:val="24"/>
          <w:szCs w:val="24"/>
        </w:rPr>
        <w:t>’</w:t>
      </w:r>
      <w:r w:rsidRPr="00752047">
        <w:rPr>
          <w:rFonts w:ascii="Times New Roman" w:hAnsi="Times New Roman"/>
          <w:b/>
          <w:sz w:val="24"/>
          <w:szCs w:val="24"/>
        </w:rPr>
        <w:t xml:space="preserve"> for them to work in the evening, at night and at weekends</w:t>
      </w:r>
    </w:p>
    <w:p w14:paraId="451E0B97" w14:textId="77777777" w:rsidR="00752047" w:rsidRPr="00A423E8" w:rsidRDefault="00752047" w:rsidP="00752047">
      <w:pPr>
        <w:spacing w:after="0" w:line="240" w:lineRule="auto"/>
        <w:jc w:val="center"/>
        <w:rPr>
          <w:noProof/>
          <w:lang w:eastAsia="en-GB"/>
        </w:rPr>
      </w:pPr>
    </w:p>
    <w:p w14:paraId="2CAF7D38" w14:textId="77777777" w:rsidR="00752047" w:rsidRPr="00A423E8" w:rsidRDefault="00752047" w:rsidP="00752047">
      <w:pPr>
        <w:spacing w:after="0" w:line="240" w:lineRule="auto"/>
        <w:jc w:val="center"/>
        <w:rPr>
          <w:noProof/>
          <w:lang w:eastAsia="en-GB"/>
        </w:rPr>
      </w:pPr>
      <w:r w:rsidRPr="00A423E8">
        <w:rPr>
          <w:noProof/>
          <w:lang w:eastAsia="en-GB"/>
        </w:rPr>
        <w:drawing>
          <wp:inline distT="0" distB="0" distL="0" distR="0" wp14:anchorId="4B2CCAD7" wp14:editId="106E8A34">
            <wp:extent cx="5731510" cy="3496945"/>
            <wp:effectExtent l="0" t="0" r="2540" b="8255"/>
            <wp:docPr id="42" name="Chart 42">
              <a:extLst xmlns:a="http://schemas.openxmlformats.org/drawingml/2006/main">
                <a:ext uri="{FF2B5EF4-FFF2-40B4-BE49-F238E27FC236}">
                  <a16:creationId xmlns:a16="http://schemas.microsoft.com/office/drawing/2014/main" id="{FAF9A7C0-2985-4BE6-917D-6D4819C03FD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6363A442" w14:textId="40C88F52" w:rsidR="00752047" w:rsidRDefault="00752047" w:rsidP="00752047">
      <w:pPr>
        <w:spacing w:after="0" w:line="240" w:lineRule="auto"/>
        <w:jc w:val="both"/>
        <w:rPr>
          <w:rFonts w:ascii="Times New Roman" w:hAnsi="Times New Roman"/>
          <w:sz w:val="20"/>
          <w:szCs w:val="20"/>
        </w:rPr>
      </w:pPr>
      <w:r w:rsidRPr="00A423E8">
        <w:rPr>
          <w:rFonts w:ascii="Times New Roman" w:hAnsi="Times New Roman"/>
          <w:sz w:val="20"/>
          <w:szCs w:val="20"/>
        </w:rPr>
        <w:t xml:space="preserve">Notes: Graph presents the percentage of teachers who say that they </w:t>
      </w:r>
      <w:r w:rsidRPr="00A423E8">
        <w:rPr>
          <w:rFonts w:ascii="Times New Roman" w:hAnsi="Times New Roman"/>
          <w:i/>
          <w:sz w:val="20"/>
          <w:szCs w:val="20"/>
          <w:u w:val="single"/>
        </w:rPr>
        <w:t>usually</w:t>
      </w:r>
      <w:r w:rsidRPr="00A423E8">
        <w:rPr>
          <w:rFonts w:ascii="Times New Roman" w:hAnsi="Times New Roman"/>
          <w:sz w:val="20"/>
          <w:szCs w:val="20"/>
        </w:rPr>
        <w:t xml:space="preserve"> work in the evening, at weekends and at night. Source = Quarterly Labour Force Survey. The sample is comprised of full-time primary teachers, secondary teachers, SEN teachers and </w:t>
      </w:r>
      <w:proofErr w:type="spellStart"/>
      <w:r w:rsidRPr="00A423E8">
        <w:rPr>
          <w:rFonts w:ascii="Times New Roman" w:hAnsi="Times New Roman"/>
          <w:sz w:val="20"/>
          <w:szCs w:val="20"/>
        </w:rPr>
        <w:t>headteachers</w:t>
      </w:r>
      <w:proofErr w:type="spellEnd"/>
      <w:r w:rsidRPr="00A423E8">
        <w:rPr>
          <w:rFonts w:ascii="Times New Roman" w:hAnsi="Times New Roman"/>
          <w:sz w:val="20"/>
          <w:szCs w:val="20"/>
        </w:rPr>
        <w:t>. In additional analysis we have experimented with repeating the analysis for primary and secondary teachers separately and obtained similar results.</w:t>
      </w:r>
    </w:p>
    <w:p w14:paraId="692F19C6" w14:textId="77777777" w:rsidR="00875EB6" w:rsidRPr="00B86FBF" w:rsidRDefault="00875EB6" w:rsidP="00752047">
      <w:pPr>
        <w:spacing w:after="0" w:line="240" w:lineRule="auto"/>
        <w:jc w:val="both"/>
        <w:rPr>
          <w:rFonts w:ascii="Times New Roman" w:hAnsi="Times New Roman"/>
          <w:b/>
          <w:sz w:val="20"/>
          <w:szCs w:val="20"/>
        </w:rPr>
      </w:pPr>
    </w:p>
    <w:p w14:paraId="00A16CCB" w14:textId="20CF3A09" w:rsidR="00752047" w:rsidRPr="00752047" w:rsidRDefault="00752047" w:rsidP="00752047">
      <w:pPr>
        <w:spacing w:line="360" w:lineRule="auto"/>
        <w:jc w:val="both"/>
        <w:rPr>
          <w:rFonts w:ascii="Times New Roman" w:hAnsi="Times New Roman"/>
          <w:color w:val="000000"/>
          <w:sz w:val="24"/>
          <w:szCs w:val="24"/>
        </w:rPr>
      </w:pPr>
      <w:r w:rsidRPr="00752047">
        <w:rPr>
          <w:rFonts w:ascii="Times New Roman" w:hAnsi="Times New Roman"/>
          <w:color w:val="000000"/>
          <w:sz w:val="24"/>
          <w:szCs w:val="24"/>
        </w:rPr>
        <w:t>Around 40</w:t>
      </w:r>
      <w:r w:rsidR="008F60E8">
        <w:rPr>
          <w:rFonts w:ascii="Times New Roman" w:hAnsi="Times New Roman"/>
          <w:color w:val="000000"/>
          <w:sz w:val="24"/>
          <w:szCs w:val="24"/>
        </w:rPr>
        <w:t>%</w:t>
      </w:r>
      <w:r w:rsidRPr="00752047">
        <w:rPr>
          <w:rFonts w:ascii="Times New Roman" w:hAnsi="Times New Roman"/>
          <w:color w:val="000000"/>
          <w:sz w:val="24"/>
          <w:szCs w:val="24"/>
        </w:rPr>
        <w:t xml:space="preserve"> of teachers indicate that they usually work in the evening, with around </w:t>
      </w:r>
      <w:r w:rsidR="00FF42A1">
        <w:rPr>
          <w:rFonts w:ascii="Times New Roman" w:hAnsi="Times New Roman"/>
          <w:color w:val="000000"/>
          <w:sz w:val="24"/>
          <w:szCs w:val="24"/>
        </w:rPr>
        <w:t>7%</w:t>
      </w:r>
      <w:r w:rsidRPr="00752047">
        <w:rPr>
          <w:rFonts w:ascii="Times New Roman" w:hAnsi="Times New Roman"/>
          <w:color w:val="000000"/>
          <w:sz w:val="24"/>
          <w:szCs w:val="24"/>
        </w:rPr>
        <w:t xml:space="preserve"> suggesting that they frequently work at night</w:t>
      </w:r>
      <w:r w:rsidRPr="00752047">
        <w:rPr>
          <w:rStyle w:val="FootnoteReference"/>
          <w:rFonts w:ascii="Times New Roman" w:hAnsi="Times New Roman"/>
          <w:color w:val="000000"/>
          <w:sz w:val="24"/>
          <w:szCs w:val="24"/>
        </w:rPr>
        <w:footnoteReference w:id="25"/>
      </w:r>
      <w:r w:rsidRPr="00752047">
        <w:rPr>
          <w:rFonts w:ascii="Times New Roman" w:hAnsi="Times New Roman"/>
          <w:color w:val="000000"/>
          <w:sz w:val="24"/>
          <w:szCs w:val="24"/>
        </w:rPr>
        <w:t>. This helps to illustrate how a substantial proportion of teachers in England take their work home with them and continue to put in extra hours long after the school gates have shut. Similarly, around one</w:t>
      </w:r>
      <w:r w:rsidR="003B4ADF">
        <w:rPr>
          <w:rFonts w:ascii="Times New Roman" w:hAnsi="Times New Roman"/>
          <w:color w:val="000000"/>
          <w:sz w:val="24"/>
          <w:szCs w:val="24"/>
        </w:rPr>
        <w:t xml:space="preserve"> </w:t>
      </w:r>
      <w:r w:rsidRPr="00752047">
        <w:rPr>
          <w:rFonts w:ascii="Times New Roman" w:hAnsi="Times New Roman"/>
          <w:color w:val="000000"/>
          <w:sz w:val="24"/>
          <w:szCs w:val="24"/>
        </w:rPr>
        <w:t>in</w:t>
      </w:r>
      <w:r w:rsidR="003B4ADF">
        <w:rPr>
          <w:rFonts w:ascii="Times New Roman" w:hAnsi="Times New Roman"/>
          <w:color w:val="000000"/>
          <w:sz w:val="24"/>
          <w:szCs w:val="24"/>
        </w:rPr>
        <w:t xml:space="preserve"> </w:t>
      </w:r>
      <w:r w:rsidRPr="00752047">
        <w:rPr>
          <w:rFonts w:ascii="Times New Roman" w:hAnsi="Times New Roman"/>
          <w:color w:val="000000"/>
          <w:sz w:val="24"/>
          <w:szCs w:val="24"/>
        </w:rPr>
        <w:t>ten teachers indicate that they usually work at the weekend. Moreover, consistent with evidence presented in previous subsections, there is no clear evidence of change in the proportion of teachers working weekend/evening/night over time.</w:t>
      </w:r>
    </w:p>
    <w:p w14:paraId="4BD7620A" w14:textId="7F32B85F" w:rsidR="00752047" w:rsidRPr="00752047" w:rsidRDefault="00752047" w:rsidP="00752047">
      <w:pPr>
        <w:spacing w:line="360" w:lineRule="auto"/>
        <w:jc w:val="both"/>
        <w:rPr>
          <w:rFonts w:ascii="Times New Roman" w:hAnsi="Times New Roman"/>
          <w:color w:val="000000"/>
          <w:sz w:val="24"/>
          <w:szCs w:val="24"/>
        </w:rPr>
      </w:pPr>
      <w:r w:rsidRPr="00752047">
        <w:rPr>
          <w:rFonts w:ascii="Times New Roman" w:hAnsi="Times New Roman"/>
          <w:color w:val="000000"/>
          <w:sz w:val="24"/>
          <w:szCs w:val="24"/>
        </w:rPr>
        <w:t>Figure 9.4 provides further detail on this issue, drawing upon the 2000/</w:t>
      </w:r>
      <w:r w:rsidR="00BD77C4">
        <w:rPr>
          <w:rFonts w:ascii="Times New Roman" w:hAnsi="Times New Roman"/>
          <w:color w:val="000000"/>
          <w:sz w:val="24"/>
          <w:szCs w:val="24"/>
        </w:rPr>
        <w:t>20</w:t>
      </w:r>
      <w:r w:rsidRPr="00752047">
        <w:rPr>
          <w:rFonts w:ascii="Times New Roman" w:hAnsi="Times New Roman"/>
          <w:color w:val="000000"/>
          <w:sz w:val="24"/>
          <w:szCs w:val="24"/>
        </w:rPr>
        <w:t>01 and 2014/</w:t>
      </w:r>
      <w:r w:rsidR="00BD77C4">
        <w:rPr>
          <w:rFonts w:ascii="Times New Roman" w:hAnsi="Times New Roman"/>
          <w:color w:val="000000"/>
          <w:sz w:val="24"/>
          <w:szCs w:val="24"/>
        </w:rPr>
        <w:t>20</w:t>
      </w:r>
      <w:r w:rsidRPr="00752047">
        <w:rPr>
          <w:rFonts w:ascii="Times New Roman" w:hAnsi="Times New Roman"/>
          <w:color w:val="000000"/>
          <w:sz w:val="24"/>
          <w:szCs w:val="24"/>
        </w:rPr>
        <w:t>15 TUDs. This provides the percentage of teachers who said they were working (as either their primary or secondary activity) over a 24-hour</w:t>
      </w:r>
      <w:r w:rsidR="00BD77C4">
        <w:rPr>
          <w:rFonts w:ascii="Times New Roman" w:hAnsi="Times New Roman"/>
          <w:color w:val="000000"/>
          <w:sz w:val="24"/>
          <w:szCs w:val="24"/>
        </w:rPr>
        <w:t xml:space="preserve"> </w:t>
      </w:r>
      <w:r w:rsidRPr="00752047">
        <w:rPr>
          <w:rFonts w:ascii="Times New Roman" w:hAnsi="Times New Roman"/>
          <w:color w:val="000000"/>
          <w:sz w:val="24"/>
          <w:szCs w:val="24"/>
        </w:rPr>
        <w:t xml:space="preserve">period during a usual working day. This thus helps one to visualise a </w:t>
      </w:r>
      <w:r w:rsidR="00BD77C4">
        <w:rPr>
          <w:rFonts w:ascii="Times New Roman" w:hAnsi="Times New Roman"/>
          <w:color w:val="000000"/>
          <w:sz w:val="24"/>
          <w:szCs w:val="24"/>
        </w:rPr>
        <w:t>‘</w:t>
      </w:r>
      <w:r w:rsidRPr="00752047">
        <w:rPr>
          <w:rFonts w:ascii="Times New Roman" w:hAnsi="Times New Roman"/>
          <w:color w:val="000000"/>
          <w:sz w:val="24"/>
          <w:szCs w:val="24"/>
        </w:rPr>
        <w:t>typical</w:t>
      </w:r>
      <w:r w:rsidR="00BD77C4">
        <w:rPr>
          <w:rFonts w:ascii="Times New Roman" w:hAnsi="Times New Roman"/>
          <w:color w:val="000000"/>
          <w:sz w:val="24"/>
          <w:szCs w:val="24"/>
        </w:rPr>
        <w:t>’</w:t>
      </w:r>
      <w:r w:rsidRPr="00752047">
        <w:rPr>
          <w:rFonts w:ascii="Times New Roman" w:hAnsi="Times New Roman"/>
          <w:color w:val="000000"/>
          <w:sz w:val="24"/>
          <w:szCs w:val="24"/>
        </w:rPr>
        <w:t xml:space="preserve"> working day for a schoolteacher in England. It can be broadly described as follows.</w:t>
      </w:r>
    </w:p>
    <w:p w14:paraId="20D8FF9D" w14:textId="57D7FE62" w:rsidR="00752047" w:rsidRPr="00752047" w:rsidRDefault="00752047" w:rsidP="00752047">
      <w:pPr>
        <w:spacing w:after="0"/>
        <w:jc w:val="center"/>
        <w:rPr>
          <w:rFonts w:ascii="Times New Roman" w:hAnsi="Times New Roman"/>
          <w:b/>
          <w:sz w:val="24"/>
          <w:szCs w:val="24"/>
        </w:rPr>
      </w:pPr>
      <w:r w:rsidRPr="00752047">
        <w:rPr>
          <w:rFonts w:ascii="Times New Roman" w:hAnsi="Times New Roman"/>
          <w:b/>
          <w:sz w:val="24"/>
          <w:szCs w:val="24"/>
        </w:rPr>
        <w:t xml:space="preserve">Figure 9.4 </w:t>
      </w:r>
      <w:proofErr w:type="gramStart"/>
      <w:r w:rsidRPr="00752047">
        <w:rPr>
          <w:rFonts w:ascii="Times New Roman" w:hAnsi="Times New Roman"/>
          <w:b/>
          <w:sz w:val="24"/>
          <w:szCs w:val="24"/>
        </w:rPr>
        <w:t>The</w:t>
      </w:r>
      <w:proofErr w:type="gramEnd"/>
      <w:r w:rsidRPr="00752047">
        <w:rPr>
          <w:rFonts w:ascii="Times New Roman" w:hAnsi="Times New Roman"/>
          <w:b/>
          <w:sz w:val="24"/>
          <w:szCs w:val="24"/>
        </w:rPr>
        <w:t xml:space="preserve"> proportion of teachers working at different times in the school day</w:t>
      </w:r>
    </w:p>
    <w:p w14:paraId="3FD2F124" w14:textId="77777777" w:rsidR="00752047" w:rsidRPr="00A423E8" w:rsidRDefault="00752047" w:rsidP="00752047">
      <w:pPr>
        <w:spacing w:after="0"/>
        <w:jc w:val="center"/>
      </w:pPr>
      <w:r w:rsidRPr="00A423E8">
        <w:rPr>
          <w:noProof/>
          <w:lang w:eastAsia="en-GB"/>
        </w:rPr>
        <w:drawing>
          <wp:inline distT="0" distB="0" distL="0" distR="0" wp14:anchorId="7BB8962C" wp14:editId="73661968">
            <wp:extent cx="5731510" cy="3179445"/>
            <wp:effectExtent l="0" t="0" r="0" b="0"/>
            <wp:docPr id="43" name="Chart 43">
              <a:extLst xmlns:a="http://schemas.openxmlformats.org/drawingml/2006/main">
                <a:ext uri="{FF2B5EF4-FFF2-40B4-BE49-F238E27FC236}">
                  <a16:creationId xmlns:a16="http://schemas.microsoft.com/office/drawing/2014/main" id="{85DB25AD-DED7-400F-8E5F-6DE3F065E9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1A79DA62" w14:textId="1BDAA8A5" w:rsidR="00752047" w:rsidRPr="00A423E8" w:rsidRDefault="00752047" w:rsidP="00752047">
      <w:pPr>
        <w:spacing w:after="0" w:line="240" w:lineRule="auto"/>
        <w:jc w:val="both"/>
        <w:rPr>
          <w:rFonts w:ascii="Times New Roman" w:hAnsi="Times New Roman"/>
          <w:sz w:val="20"/>
          <w:szCs w:val="20"/>
        </w:rPr>
      </w:pPr>
      <w:r w:rsidRPr="00A423E8">
        <w:rPr>
          <w:rFonts w:ascii="Times New Roman" w:hAnsi="Times New Roman"/>
          <w:sz w:val="20"/>
          <w:szCs w:val="20"/>
        </w:rPr>
        <w:t xml:space="preserve">Notes: </w:t>
      </w:r>
      <w:r w:rsidR="00875EB6">
        <w:rPr>
          <w:rFonts w:ascii="Times New Roman" w:hAnsi="Times New Roman"/>
          <w:sz w:val="20"/>
          <w:szCs w:val="20"/>
        </w:rPr>
        <w:t xml:space="preserve">Source </w:t>
      </w:r>
      <w:proofErr w:type="gramStart"/>
      <w:r w:rsidR="00875EB6">
        <w:rPr>
          <w:rFonts w:ascii="Times New Roman" w:hAnsi="Times New Roman"/>
          <w:sz w:val="20"/>
          <w:szCs w:val="20"/>
        </w:rPr>
        <w:t xml:space="preserve">= </w:t>
      </w:r>
      <w:r w:rsidRPr="00A423E8">
        <w:rPr>
          <w:rFonts w:ascii="Times New Roman" w:hAnsi="Times New Roman"/>
          <w:sz w:val="20"/>
          <w:szCs w:val="20"/>
        </w:rPr>
        <w:t xml:space="preserve"> 2000</w:t>
      </w:r>
      <w:proofErr w:type="gramEnd"/>
      <w:r w:rsidRPr="00A423E8">
        <w:rPr>
          <w:rFonts w:ascii="Times New Roman" w:hAnsi="Times New Roman"/>
          <w:sz w:val="20"/>
          <w:szCs w:val="20"/>
        </w:rPr>
        <w:t>/01 (black solid lines) and 2014/15 (grey dashed lines) UK Time</w:t>
      </w:r>
      <w:r w:rsidR="008F7B98">
        <w:rPr>
          <w:rFonts w:ascii="Times New Roman" w:hAnsi="Times New Roman"/>
          <w:sz w:val="20"/>
          <w:szCs w:val="20"/>
        </w:rPr>
        <w:t xml:space="preserve"> </w:t>
      </w:r>
      <w:r w:rsidRPr="00A423E8">
        <w:rPr>
          <w:rFonts w:ascii="Times New Roman" w:hAnsi="Times New Roman"/>
          <w:sz w:val="20"/>
          <w:szCs w:val="20"/>
        </w:rPr>
        <w:t xml:space="preserve">Use Diaries. Data based upon 89 observations in 2000/01 and 90 observations in 2014/15. Figures refer to refer to full-time teachers who were not on holiday/sick leave, who reported that it represented a </w:t>
      </w:r>
      <w:r w:rsidR="008F7B98">
        <w:rPr>
          <w:rFonts w:ascii="Times New Roman" w:hAnsi="Times New Roman"/>
          <w:sz w:val="20"/>
          <w:szCs w:val="20"/>
        </w:rPr>
        <w:t>‘</w:t>
      </w:r>
      <w:r w:rsidRPr="00A423E8">
        <w:rPr>
          <w:rFonts w:ascii="Times New Roman" w:hAnsi="Times New Roman"/>
          <w:sz w:val="20"/>
          <w:szCs w:val="20"/>
        </w:rPr>
        <w:t>typical</w:t>
      </w:r>
      <w:r w:rsidR="008F7B98">
        <w:rPr>
          <w:rFonts w:ascii="Times New Roman" w:hAnsi="Times New Roman"/>
          <w:sz w:val="20"/>
          <w:szCs w:val="20"/>
        </w:rPr>
        <w:t>’</w:t>
      </w:r>
      <w:r w:rsidRPr="00A423E8">
        <w:rPr>
          <w:rFonts w:ascii="Times New Roman" w:hAnsi="Times New Roman"/>
          <w:sz w:val="20"/>
          <w:szCs w:val="20"/>
        </w:rPr>
        <w:t xml:space="preserve"> day and who reported working at some point during that day. Time spent travelling to work and breaks not included. </w:t>
      </w:r>
    </w:p>
    <w:p w14:paraId="4FBB8F15" w14:textId="77777777" w:rsidR="00752047" w:rsidRPr="00A423E8" w:rsidRDefault="00752047" w:rsidP="00752047">
      <w:pPr>
        <w:spacing w:after="0" w:line="240" w:lineRule="auto"/>
        <w:jc w:val="both"/>
        <w:rPr>
          <w:rFonts w:ascii="Times New Roman" w:hAnsi="Times New Roman"/>
          <w:sz w:val="20"/>
          <w:szCs w:val="20"/>
        </w:rPr>
      </w:pPr>
    </w:p>
    <w:p w14:paraId="696CFC48" w14:textId="06B0C8BE" w:rsidR="00752047" w:rsidRDefault="00752047" w:rsidP="00752047">
      <w:pPr>
        <w:jc w:val="both"/>
        <w:rPr>
          <w:rFonts w:ascii="Times New Roman" w:hAnsi="Times New Roman"/>
          <w:color w:val="000000"/>
          <w:szCs w:val="24"/>
        </w:rPr>
      </w:pPr>
    </w:p>
    <w:p w14:paraId="4711D267" w14:textId="11C187CC" w:rsidR="00752047" w:rsidRDefault="00752047" w:rsidP="00752047">
      <w:pPr>
        <w:jc w:val="both"/>
        <w:rPr>
          <w:rFonts w:ascii="Times New Roman" w:hAnsi="Times New Roman"/>
          <w:color w:val="000000"/>
          <w:szCs w:val="24"/>
        </w:rPr>
      </w:pPr>
    </w:p>
    <w:p w14:paraId="4883506F" w14:textId="77777777" w:rsidR="00752047" w:rsidRDefault="00752047" w:rsidP="00752047">
      <w:pPr>
        <w:jc w:val="both"/>
        <w:rPr>
          <w:rFonts w:ascii="Times New Roman" w:hAnsi="Times New Roman"/>
          <w:color w:val="000000"/>
          <w:szCs w:val="24"/>
        </w:rPr>
      </w:pPr>
    </w:p>
    <w:p w14:paraId="15174654" w14:textId="3401F36D" w:rsidR="00752047" w:rsidRPr="000B45D8" w:rsidRDefault="00752047" w:rsidP="000B45D8">
      <w:pPr>
        <w:spacing w:line="360" w:lineRule="auto"/>
        <w:jc w:val="both"/>
        <w:rPr>
          <w:rFonts w:ascii="Times New Roman" w:hAnsi="Times New Roman"/>
          <w:color w:val="000000"/>
          <w:sz w:val="24"/>
          <w:szCs w:val="24"/>
        </w:rPr>
      </w:pPr>
      <w:r w:rsidRPr="000B45D8">
        <w:rPr>
          <w:rFonts w:ascii="Times New Roman" w:hAnsi="Times New Roman"/>
          <w:color w:val="000000"/>
          <w:sz w:val="24"/>
          <w:szCs w:val="24"/>
        </w:rPr>
        <w:t xml:space="preserve">The average full-time teacher will have arrived at school and started work by around 0800 (with almost all teachers having started by 0830). The vast majority will then work through until at least midday without a break. A dip in the series presented in Figure 9.4 can then be observed between 1200 and 1330, when some teachers are able to take a break from work. Note, however, that this dip in the percentage of teachers who say they are working is relatively modest. This, in turn, implies that many teachers are likely to be working during their lunch break and only taking short amounts of time to completely switch off. Almost all teachers then work between 1330 and 1530, after which a number start to finish for the day. Most teachers then leave school somewhere between 1530 and 1730, with almost everyone having left by 1800. However, for a significant minority of teachers, their work is not yet done for the day. Another spike in the proportion of teachers who report </w:t>
      </w:r>
      <w:r w:rsidR="00564C70">
        <w:rPr>
          <w:rFonts w:ascii="Times New Roman" w:hAnsi="Times New Roman"/>
          <w:color w:val="000000"/>
          <w:sz w:val="24"/>
          <w:szCs w:val="24"/>
        </w:rPr>
        <w:t>spending time working</w:t>
      </w:r>
      <w:r w:rsidRPr="000B45D8">
        <w:rPr>
          <w:rFonts w:ascii="Times New Roman" w:hAnsi="Times New Roman"/>
          <w:color w:val="000000"/>
          <w:sz w:val="24"/>
          <w:szCs w:val="24"/>
        </w:rPr>
        <w:t xml:space="preserve"> emerges between 1900 and 2100, with around one</w:t>
      </w:r>
      <w:r w:rsidR="002E5639">
        <w:rPr>
          <w:rFonts w:ascii="Times New Roman" w:hAnsi="Times New Roman"/>
          <w:color w:val="000000"/>
          <w:sz w:val="24"/>
          <w:szCs w:val="24"/>
        </w:rPr>
        <w:t xml:space="preserve"> </w:t>
      </w:r>
      <w:r w:rsidRPr="000B45D8">
        <w:rPr>
          <w:rFonts w:ascii="Times New Roman" w:hAnsi="Times New Roman"/>
          <w:color w:val="000000"/>
          <w:sz w:val="24"/>
          <w:szCs w:val="24"/>
        </w:rPr>
        <w:t>in</w:t>
      </w:r>
      <w:r w:rsidR="002E5639">
        <w:rPr>
          <w:rFonts w:ascii="Times New Roman" w:hAnsi="Times New Roman"/>
          <w:color w:val="000000"/>
          <w:sz w:val="24"/>
          <w:szCs w:val="24"/>
        </w:rPr>
        <w:t xml:space="preserve"> </w:t>
      </w:r>
      <w:r w:rsidRPr="000B45D8">
        <w:rPr>
          <w:rFonts w:ascii="Times New Roman" w:hAnsi="Times New Roman"/>
          <w:color w:val="000000"/>
          <w:sz w:val="24"/>
          <w:szCs w:val="24"/>
        </w:rPr>
        <w:t>five saying that they are working at any given 15-minute timeslot during this period. By around 2230, almost all teachers have finished for the day, with the first teachers starting to return the next day around 0700.</w:t>
      </w:r>
    </w:p>
    <w:p w14:paraId="38F1B4C5" w14:textId="77777777" w:rsidR="00752047" w:rsidRPr="000B45D8" w:rsidRDefault="00752047" w:rsidP="000B45D8">
      <w:pPr>
        <w:spacing w:line="360" w:lineRule="auto"/>
        <w:jc w:val="both"/>
        <w:rPr>
          <w:rFonts w:ascii="Times New Roman" w:hAnsi="Times New Roman"/>
          <w:color w:val="000000"/>
          <w:sz w:val="24"/>
          <w:szCs w:val="24"/>
        </w:rPr>
      </w:pPr>
      <w:r w:rsidRPr="000B45D8">
        <w:rPr>
          <w:rFonts w:ascii="Times New Roman" w:hAnsi="Times New Roman"/>
          <w:color w:val="000000"/>
          <w:sz w:val="24"/>
          <w:szCs w:val="24"/>
        </w:rPr>
        <w:t>The other notable feature of Figure 9.4 is that it suggests there has been little change to the pattern of teachers’ working hours over time. Although sample sizes are small, estimates from the 2000/01 and 2014/15 TUDs are quite similar, with there being no obvious change over this 15-year period.</w:t>
      </w:r>
    </w:p>
    <w:p w14:paraId="2BB0C282" w14:textId="7C8C34C4" w:rsidR="00752047" w:rsidRPr="000B45D8" w:rsidRDefault="00752047" w:rsidP="000B45D8">
      <w:pPr>
        <w:spacing w:line="360" w:lineRule="auto"/>
        <w:jc w:val="both"/>
        <w:rPr>
          <w:rFonts w:ascii="Times New Roman" w:hAnsi="Times New Roman"/>
          <w:color w:val="000000"/>
          <w:sz w:val="24"/>
          <w:szCs w:val="24"/>
        </w:rPr>
      </w:pPr>
      <w:r w:rsidRPr="000B45D8">
        <w:rPr>
          <w:rFonts w:ascii="Times New Roman" w:hAnsi="Times New Roman"/>
          <w:color w:val="000000"/>
          <w:sz w:val="24"/>
          <w:szCs w:val="24"/>
        </w:rPr>
        <w:t xml:space="preserve">Teacher </w:t>
      </w:r>
      <w:proofErr w:type="spellStart"/>
      <w:r w:rsidRPr="000B45D8">
        <w:rPr>
          <w:rFonts w:ascii="Times New Roman" w:hAnsi="Times New Roman"/>
          <w:color w:val="000000"/>
          <w:sz w:val="24"/>
          <w:szCs w:val="24"/>
        </w:rPr>
        <w:t>Tapp</w:t>
      </w:r>
      <w:proofErr w:type="spellEnd"/>
      <w:r w:rsidRPr="000B45D8">
        <w:rPr>
          <w:rFonts w:ascii="Times New Roman" w:hAnsi="Times New Roman"/>
          <w:color w:val="000000"/>
          <w:sz w:val="24"/>
          <w:szCs w:val="24"/>
        </w:rPr>
        <w:t xml:space="preserve"> responses help us understand the nature of teachers</w:t>
      </w:r>
      <w:r w:rsidR="007356A8">
        <w:rPr>
          <w:rFonts w:ascii="Times New Roman" w:hAnsi="Times New Roman"/>
          <w:color w:val="000000"/>
          <w:sz w:val="24"/>
          <w:szCs w:val="24"/>
        </w:rPr>
        <w:t>’</w:t>
      </w:r>
      <w:r w:rsidRPr="000B45D8">
        <w:rPr>
          <w:rFonts w:ascii="Times New Roman" w:hAnsi="Times New Roman"/>
          <w:color w:val="000000"/>
          <w:sz w:val="24"/>
          <w:szCs w:val="24"/>
        </w:rPr>
        <w:t xml:space="preserve"> lunchtime. Lunch breaks are often short. For 8</w:t>
      </w:r>
      <w:r w:rsidR="00407351">
        <w:rPr>
          <w:rFonts w:ascii="Times New Roman" w:hAnsi="Times New Roman"/>
          <w:color w:val="000000"/>
          <w:sz w:val="24"/>
          <w:szCs w:val="24"/>
        </w:rPr>
        <w:t>%</w:t>
      </w:r>
      <w:r w:rsidRPr="000B45D8">
        <w:rPr>
          <w:rFonts w:ascii="Times New Roman" w:hAnsi="Times New Roman"/>
          <w:color w:val="000000"/>
          <w:sz w:val="24"/>
          <w:szCs w:val="24"/>
        </w:rPr>
        <w:t xml:space="preserve"> of teachers they are less than 30 minutes long, while for 29</w:t>
      </w:r>
      <w:r w:rsidR="00407351">
        <w:rPr>
          <w:rFonts w:ascii="Times New Roman" w:hAnsi="Times New Roman"/>
          <w:color w:val="000000"/>
          <w:sz w:val="24"/>
          <w:szCs w:val="24"/>
        </w:rPr>
        <w:t>%</w:t>
      </w:r>
      <w:r w:rsidRPr="000B45D8">
        <w:rPr>
          <w:rFonts w:ascii="Times New Roman" w:hAnsi="Times New Roman"/>
          <w:color w:val="000000"/>
          <w:sz w:val="24"/>
          <w:szCs w:val="24"/>
        </w:rPr>
        <w:t xml:space="preserve"> they are 30-44 minutes. A minority has a lunch break of one hour or longer. This is consistent with other recent research, which has found break times at schools are getting shorter (Baines </w:t>
      </w:r>
      <w:r w:rsidR="004E5F20">
        <w:rPr>
          <w:rFonts w:ascii="Times New Roman" w:hAnsi="Times New Roman"/>
          <w:color w:val="000000"/>
          <w:sz w:val="24"/>
          <w:szCs w:val="24"/>
        </w:rPr>
        <w:t>&amp;</w:t>
      </w:r>
      <w:r w:rsidR="004E5F20" w:rsidRPr="000B45D8">
        <w:rPr>
          <w:rFonts w:ascii="Times New Roman" w:hAnsi="Times New Roman"/>
          <w:color w:val="000000"/>
          <w:sz w:val="24"/>
          <w:szCs w:val="24"/>
        </w:rPr>
        <w:t xml:space="preserve"> </w:t>
      </w:r>
      <w:r w:rsidRPr="000B45D8">
        <w:rPr>
          <w:rFonts w:ascii="Times New Roman" w:hAnsi="Times New Roman"/>
          <w:color w:val="000000"/>
          <w:sz w:val="24"/>
          <w:szCs w:val="24"/>
        </w:rPr>
        <w:t>Blatchford</w:t>
      </w:r>
      <w:r w:rsidR="004E5F20">
        <w:rPr>
          <w:rFonts w:ascii="Times New Roman" w:hAnsi="Times New Roman"/>
          <w:color w:val="000000"/>
          <w:sz w:val="24"/>
          <w:szCs w:val="24"/>
        </w:rPr>
        <w:t>,</w:t>
      </w:r>
      <w:r w:rsidRPr="000B45D8">
        <w:rPr>
          <w:rFonts w:ascii="Times New Roman" w:hAnsi="Times New Roman"/>
          <w:color w:val="000000"/>
          <w:sz w:val="24"/>
          <w:szCs w:val="24"/>
        </w:rPr>
        <w:t xml:space="preserve"> 2019). Around one</w:t>
      </w:r>
      <w:r w:rsidR="008F7C4D">
        <w:rPr>
          <w:rFonts w:ascii="Times New Roman" w:hAnsi="Times New Roman"/>
          <w:color w:val="000000"/>
          <w:sz w:val="24"/>
          <w:szCs w:val="24"/>
        </w:rPr>
        <w:t xml:space="preserve"> </w:t>
      </w:r>
      <w:r w:rsidRPr="000B45D8">
        <w:rPr>
          <w:rFonts w:ascii="Times New Roman" w:hAnsi="Times New Roman"/>
          <w:color w:val="000000"/>
          <w:sz w:val="24"/>
          <w:szCs w:val="24"/>
        </w:rPr>
        <w:t>in</w:t>
      </w:r>
      <w:r w:rsidR="008F7C4D">
        <w:rPr>
          <w:rFonts w:ascii="Times New Roman" w:hAnsi="Times New Roman"/>
          <w:color w:val="000000"/>
          <w:sz w:val="24"/>
          <w:szCs w:val="24"/>
        </w:rPr>
        <w:t xml:space="preserve"> </w:t>
      </w:r>
      <w:r w:rsidRPr="000B45D8">
        <w:rPr>
          <w:rFonts w:ascii="Times New Roman" w:hAnsi="Times New Roman"/>
          <w:color w:val="000000"/>
          <w:sz w:val="24"/>
          <w:szCs w:val="24"/>
        </w:rPr>
        <w:t>eight teachers run a lunchtime club all year round (with many more running one for part of the year). During their lunchbreak, teachers do the things we might expect (e.g. eating, visiting bathroom, talking to colleagues) but also work-related activities (68</w:t>
      </w:r>
      <w:r w:rsidR="008F7C4D">
        <w:rPr>
          <w:rFonts w:ascii="Times New Roman" w:hAnsi="Times New Roman"/>
          <w:color w:val="000000"/>
          <w:sz w:val="24"/>
          <w:szCs w:val="24"/>
        </w:rPr>
        <w:t>%</w:t>
      </w:r>
      <w:r w:rsidRPr="000B45D8">
        <w:rPr>
          <w:rFonts w:ascii="Times New Roman" w:hAnsi="Times New Roman"/>
          <w:color w:val="000000"/>
          <w:sz w:val="24"/>
          <w:szCs w:val="24"/>
        </w:rPr>
        <w:t xml:space="preserve"> read emails, 40</w:t>
      </w:r>
      <w:r w:rsidR="008F7C4D">
        <w:rPr>
          <w:rFonts w:ascii="Times New Roman" w:hAnsi="Times New Roman"/>
          <w:color w:val="000000"/>
          <w:sz w:val="24"/>
          <w:szCs w:val="24"/>
        </w:rPr>
        <w:t>%</w:t>
      </w:r>
      <w:r w:rsidRPr="000B45D8">
        <w:rPr>
          <w:rFonts w:ascii="Times New Roman" w:hAnsi="Times New Roman"/>
          <w:color w:val="000000"/>
          <w:sz w:val="24"/>
          <w:szCs w:val="24"/>
        </w:rPr>
        <w:t xml:space="preserve"> create resources, 55</w:t>
      </w:r>
      <w:r w:rsidR="008F7C4D">
        <w:rPr>
          <w:rFonts w:ascii="Times New Roman" w:hAnsi="Times New Roman"/>
          <w:color w:val="000000"/>
          <w:sz w:val="24"/>
          <w:szCs w:val="24"/>
        </w:rPr>
        <w:t>%</w:t>
      </w:r>
      <w:r w:rsidRPr="000B45D8">
        <w:rPr>
          <w:rFonts w:ascii="Times New Roman" w:hAnsi="Times New Roman"/>
          <w:color w:val="000000"/>
          <w:sz w:val="24"/>
          <w:szCs w:val="24"/>
        </w:rPr>
        <w:t xml:space="preserve"> tidy their classroom). This role of the lunch</w:t>
      </w:r>
      <w:r w:rsidR="00584FCB">
        <w:rPr>
          <w:rFonts w:ascii="Times New Roman" w:hAnsi="Times New Roman"/>
          <w:color w:val="000000"/>
          <w:sz w:val="24"/>
          <w:szCs w:val="24"/>
        </w:rPr>
        <w:t xml:space="preserve"> </w:t>
      </w:r>
      <w:r w:rsidRPr="000B45D8">
        <w:rPr>
          <w:rFonts w:ascii="Times New Roman" w:hAnsi="Times New Roman"/>
          <w:color w:val="000000"/>
          <w:sz w:val="24"/>
          <w:szCs w:val="24"/>
        </w:rPr>
        <w:t>break as a rare time without a class to teach emphasises how different it is to lunch</w:t>
      </w:r>
      <w:r w:rsidR="00584FCB">
        <w:rPr>
          <w:rFonts w:ascii="Times New Roman" w:hAnsi="Times New Roman"/>
          <w:color w:val="000000"/>
          <w:sz w:val="24"/>
          <w:szCs w:val="24"/>
        </w:rPr>
        <w:t xml:space="preserve"> </w:t>
      </w:r>
      <w:r w:rsidRPr="000B45D8">
        <w:rPr>
          <w:rFonts w:ascii="Times New Roman" w:hAnsi="Times New Roman"/>
          <w:color w:val="000000"/>
          <w:sz w:val="24"/>
          <w:szCs w:val="24"/>
        </w:rPr>
        <w:t>breaks in many other professions. In particular, it does not allow time for teachers to switch</w:t>
      </w:r>
      <w:r w:rsidR="00584FCB">
        <w:rPr>
          <w:rFonts w:ascii="Times New Roman" w:hAnsi="Times New Roman"/>
          <w:color w:val="000000"/>
          <w:sz w:val="24"/>
          <w:szCs w:val="24"/>
        </w:rPr>
        <w:t xml:space="preserve"> </w:t>
      </w:r>
      <w:r w:rsidRPr="000B45D8">
        <w:rPr>
          <w:rFonts w:ascii="Times New Roman" w:hAnsi="Times New Roman"/>
          <w:color w:val="000000"/>
          <w:sz w:val="24"/>
          <w:szCs w:val="24"/>
        </w:rPr>
        <w:t>off, with many continuing to work in some form.</w:t>
      </w:r>
    </w:p>
    <w:p w14:paraId="3722C002" w14:textId="1F7C3E83" w:rsidR="00752047" w:rsidRPr="000B45D8" w:rsidRDefault="00752047" w:rsidP="000B45D8">
      <w:pPr>
        <w:spacing w:line="360" w:lineRule="auto"/>
        <w:jc w:val="both"/>
        <w:rPr>
          <w:rFonts w:ascii="Times New Roman" w:hAnsi="Times New Roman" w:cs="Times New Roman"/>
          <w:color w:val="000000"/>
          <w:sz w:val="24"/>
          <w:szCs w:val="24"/>
        </w:rPr>
      </w:pPr>
      <w:r w:rsidRPr="000B45D8">
        <w:rPr>
          <w:rFonts w:ascii="Times New Roman" w:hAnsi="Times New Roman"/>
          <w:color w:val="000000"/>
          <w:sz w:val="24"/>
          <w:szCs w:val="24"/>
        </w:rPr>
        <w:t xml:space="preserve">Responses from Teacher </w:t>
      </w:r>
      <w:proofErr w:type="spellStart"/>
      <w:r w:rsidRPr="000B45D8">
        <w:rPr>
          <w:rFonts w:ascii="Times New Roman" w:hAnsi="Times New Roman"/>
          <w:color w:val="000000"/>
          <w:sz w:val="24"/>
          <w:szCs w:val="24"/>
        </w:rPr>
        <w:t>Tapp</w:t>
      </w:r>
      <w:proofErr w:type="spellEnd"/>
      <w:r w:rsidRPr="000B45D8">
        <w:rPr>
          <w:rFonts w:ascii="Times New Roman" w:hAnsi="Times New Roman"/>
          <w:color w:val="000000"/>
          <w:sz w:val="24"/>
          <w:szCs w:val="24"/>
        </w:rPr>
        <w:t xml:space="preserve"> questions also highlight how hard it is for teachers to measure their typical after-school activities. Whilst one</w:t>
      </w:r>
      <w:r w:rsidR="00584FCB">
        <w:rPr>
          <w:rFonts w:ascii="Times New Roman" w:hAnsi="Times New Roman"/>
          <w:color w:val="000000"/>
          <w:sz w:val="24"/>
          <w:szCs w:val="24"/>
        </w:rPr>
        <w:t xml:space="preserve"> </w:t>
      </w:r>
      <w:r w:rsidRPr="000B45D8">
        <w:rPr>
          <w:rFonts w:ascii="Times New Roman" w:hAnsi="Times New Roman"/>
          <w:color w:val="000000"/>
          <w:sz w:val="24"/>
          <w:szCs w:val="24"/>
        </w:rPr>
        <w:t>in</w:t>
      </w:r>
      <w:r w:rsidR="00584FCB">
        <w:rPr>
          <w:rFonts w:ascii="Times New Roman" w:hAnsi="Times New Roman"/>
          <w:color w:val="000000"/>
          <w:sz w:val="24"/>
          <w:szCs w:val="24"/>
        </w:rPr>
        <w:t xml:space="preserve"> </w:t>
      </w:r>
      <w:r w:rsidRPr="000B45D8">
        <w:rPr>
          <w:rFonts w:ascii="Times New Roman" w:hAnsi="Times New Roman"/>
          <w:color w:val="000000"/>
          <w:sz w:val="24"/>
          <w:szCs w:val="24"/>
        </w:rPr>
        <w:t xml:space="preserve">five run an after-school club all year round, </w:t>
      </w:r>
      <w:r w:rsidRPr="000B45D8">
        <w:rPr>
          <w:rFonts w:ascii="Times New Roman" w:hAnsi="Times New Roman"/>
          <w:color w:val="000000"/>
          <w:sz w:val="24"/>
          <w:szCs w:val="24"/>
        </w:rPr>
        <w:lastRenderedPageBreak/>
        <w:t>a greater proportion say they do so but for only part of the year. For one week in May 2018, just 5</w:t>
      </w:r>
      <w:r w:rsidR="00B66978">
        <w:rPr>
          <w:rFonts w:ascii="Times New Roman" w:hAnsi="Times New Roman"/>
          <w:color w:val="000000"/>
          <w:sz w:val="24"/>
          <w:szCs w:val="24"/>
        </w:rPr>
        <w:t>%</w:t>
      </w:r>
      <w:r w:rsidRPr="000B45D8">
        <w:rPr>
          <w:rFonts w:ascii="Times New Roman" w:hAnsi="Times New Roman"/>
          <w:color w:val="000000"/>
          <w:sz w:val="24"/>
          <w:szCs w:val="24"/>
        </w:rPr>
        <w:t xml:space="preserve"> said that they had no after-school meetings or activities that week. The proportions staying late once, twice, three</w:t>
      </w:r>
      <w:r w:rsidR="00B66978">
        <w:rPr>
          <w:rFonts w:ascii="Times New Roman" w:hAnsi="Times New Roman"/>
          <w:color w:val="000000"/>
          <w:sz w:val="24"/>
          <w:szCs w:val="24"/>
        </w:rPr>
        <w:t xml:space="preserve"> </w:t>
      </w:r>
      <w:r w:rsidRPr="000B45D8">
        <w:rPr>
          <w:rFonts w:ascii="Times New Roman" w:hAnsi="Times New Roman"/>
          <w:color w:val="000000"/>
          <w:sz w:val="24"/>
          <w:szCs w:val="24"/>
        </w:rPr>
        <w:t>times, four</w:t>
      </w:r>
      <w:r w:rsidR="00B66978">
        <w:rPr>
          <w:rFonts w:ascii="Times New Roman" w:hAnsi="Times New Roman"/>
          <w:color w:val="000000"/>
          <w:sz w:val="24"/>
          <w:szCs w:val="24"/>
        </w:rPr>
        <w:t xml:space="preserve"> </w:t>
      </w:r>
      <w:r w:rsidRPr="000B45D8">
        <w:rPr>
          <w:rFonts w:ascii="Times New Roman" w:hAnsi="Times New Roman"/>
          <w:color w:val="000000"/>
          <w:sz w:val="24"/>
          <w:szCs w:val="24"/>
        </w:rPr>
        <w:t>times and five</w:t>
      </w:r>
      <w:r w:rsidR="00B66978">
        <w:rPr>
          <w:rFonts w:ascii="Times New Roman" w:hAnsi="Times New Roman"/>
          <w:color w:val="000000"/>
          <w:sz w:val="24"/>
          <w:szCs w:val="24"/>
        </w:rPr>
        <w:t xml:space="preserve"> </w:t>
      </w:r>
      <w:r w:rsidRPr="000B45D8">
        <w:rPr>
          <w:rFonts w:ascii="Times New Roman" w:hAnsi="Times New Roman"/>
          <w:color w:val="000000"/>
          <w:sz w:val="24"/>
          <w:szCs w:val="24"/>
        </w:rPr>
        <w:t>times in the week were 20</w:t>
      </w:r>
      <w:r w:rsidR="008C4B8D">
        <w:rPr>
          <w:rFonts w:ascii="Times New Roman" w:hAnsi="Times New Roman"/>
          <w:color w:val="000000"/>
          <w:sz w:val="24"/>
          <w:szCs w:val="24"/>
        </w:rPr>
        <w:t>%</w:t>
      </w:r>
      <w:r w:rsidRPr="000B45D8">
        <w:rPr>
          <w:rFonts w:ascii="Times New Roman" w:hAnsi="Times New Roman"/>
          <w:color w:val="000000"/>
          <w:sz w:val="24"/>
          <w:szCs w:val="24"/>
        </w:rPr>
        <w:t>, 37</w:t>
      </w:r>
      <w:r w:rsidR="008C4B8D">
        <w:rPr>
          <w:rFonts w:ascii="Times New Roman" w:hAnsi="Times New Roman"/>
          <w:color w:val="000000"/>
          <w:sz w:val="24"/>
          <w:szCs w:val="24"/>
        </w:rPr>
        <w:t>%</w:t>
      </w:r>
      <w:r w:rsidRPr="000B45D8">
        <w:rPr>
          <w:rFonts w:ascii="Times New Roman" w:hAnsi="Times New Roman"/>
          <w:color w:val="000000"/>
          <w:sz w:val="24"/>
          <w:szCs w:val="24"/>
        </w:rPr>
        <w:t>, 23</w:t>
      </w:r>
      <w:r w:rsidR="008C4B8D">
        <w:rPr>
          <w:rFonts w:ascii="Times New Roman" w:hAnsi="Times New Roman"/>
          <w:color w:val="000000"/>
          <w:sz w:val="24"/>
          <w:szCs w:val="24"/>
        </w:rPr>
        <w:t>%</w:t>
      </w:r>
      <w:r w:rsidRPr="000B45D8">
        <w:rPr>
          <w:rFonts w:ascii="Times New Roman" w:hAnsi="Times New Roman"/>
          <w:color w:val="000000"/>
          <w:sz w:val="24"/>
          <w:szCs w:val="24"/>
        </w:rPr>
        <w:t>, 10</w:t>
      </w:r>
      <w:r w:rsidR="008C4B8D">
        <w:rPr>
          <w:rFonts w:ascii="Times New Roman" w:hAnsi="Times New Roman"/>
          <w:color w:val="000000"/>
          <w:sz w:val="24"/>
          <w:szCs w:val="24"/>
        </w:rPr>
        <w:t>%</w:t>
      </w:r>
      <w:r w:rsidRPr="000B45D8">
        <w:rPr>
          <w:rFonts w:ascii="Times New Roman" w:hAnsi="Times New Roman"/>
          <w:color w:val="000000"/>
          <w:sz w:val="24"/>
          <w:szCs w:val="24"/>
        </w:rPr>
        <w:t xml:space="preserve"> and 6</w:t>
      </w:r>
      <w:r w:rsidR="008C4B8D">
        <w:rPr>
          <w:rFonts w:ascii="Times New Roman" w:hAnsi="Times New Roman"/>
          <w:color w:val="000000"/>
          <w:sz w:val="24"/>
          <w:szCs w:val="24"/>
        </w:rPr>
        <w:t>%</w:t>
      </w:r>
      <w:r w:rsidRPr="000B45D8">
        <w:rPr>
          <w:rFonts w:ascii="Times New Roman" w:hAnsi="Times New Roman"/>
          <w:color w:val="000000"/>
          <w:sz w:val="24"/>
          <w:szCs w:val="24"/>
        </w:rPr>
        <w:t>, respectively. Once at home, on a particular night in April 2018, 39</w:t>
      </w:r>
      <w:r w:rsidR="008C4B8D">
        <w:rPr>
          <w:rFonts w:ascii="Times New Roman" w:hAnsi="Times New Roman"/>
          <w:color w:val="000000"/>
          <w:sz w:val="24"/>
          <w:szCs w:val="24"/>
        </w:rPr>
        <w:t>%</w:t>
      </w:r>
      <w:r w:rsidRPr="000B45D8">
        <w:rPr>
          <w:rFonts w:ascii="Times New Roman" w:hAnsi="Times New Roman"/>
          <w:color w:val="000000"/>
          <w:sz w:val="24"/>
          <w:szCs w:val="24"/>
        </w:rPr>
        <w:t xml:space="preserve"> of teachers said they planned or marked whilst the </w:t>
      </w:r>
      <w:r w:rsidRPr="000B45D8">
        <w:rPr>
          <w:rFonts w:ascii="Times New Roman" w:hAnsi="Times New Roman" w:cs="Times New Roman"/>
          <w:color w:val="000000"/>
          <w:sz w:val="24"/>
          <w:szCs w:val="24"/>
        </w:rPr>
        <w:t xml:space="preserve">television was on. </w:t>
      </w:r>
    </w:p>
    <w:p w14:paraId="5156AFFB" w14:textId="77777777" w:rsidR="000B45D8" w:rsidRPr="000B45D8" w:rsidRDefault="000B45D8" w:rsidP="000B45D8">
      <w:pPr>
        <w:spacing w:line="360" w:lineRule="auto"/>
        <w:jc w:val="both"/>
        <w:rPr>
          <w:rFonts w:ascii="Times New Roman" w:hAnsi="Times New Roman" w:cs="Times New Roman"/>
          <w:b/>
          <w:color w:val="000000" w:themeColor="text1"/>
          <w:sz w:val="24"/>
          <w:szCs w:val="24"/>
        </w:rPr>
      </w:pPr>
      <w:r w:rsidRPr="000B45D8">
        <w:rPr>
          <w:rFonts w:ascii="Times New Roman" w:hAnsi="Times New Roman" w:cs="Times New Roman"/>
          <w:b/>
          <w:color w:val="000000" w:themeColor="text1"/>
          <w:sz w:val="24"/>
          <w:szCs w:val="24"/>
        </w:rPr>
        <w:t>9.7 Summary and conclusions</w:t>
      </w:r>
    </w:p>
    <w:p w14:paraId="05AA02C2" w14:textId="25344C30" w:rsidR="000B45D8" w:rsidRPr="000B45D8" w:rsidRDefault="000B45D8" w:rsidP="000B45D8">
      <w:pPr>
        <w:spacing w:line="360" w:lineRule="auto"/>
        <w:jc w:val="both"/>
        <w:rPr>
          <w:rFonts w:ascii="Times New Roman" w:hAnsi="Times New Roman" w:cs="Times New Roman"/>
          <w:sz w:val="24"/>
          <w:szCs w:val="24"/>
        </w:rPr>
      </w:pPr>
      <w:r w:rsidRPr="000B45D8">
        <w:rPr>
          <w:rFonts w:ascii="Times New Roman" w:hAnsi="Times New Roman" w:cs="Times New Roman"/>
          <w:color w:val="000000" w:themeColor="text1"/>
          <w:sz w:val="24"/>
          <w:szCs w:val="24"/>
        </w:rPr>
        <w:t xml:space="preserve">Teachers in England work long hours. Representative survey data suggest that the median teacher works a </w:t>
      </w:r>
      <w:r w:rsidR="008C4B8D">
        <w:rPr>
          <w:rFonts w:ascii="Times New Roman" w:hAnsi="Times New Roman" w:cs="Times New Roman"/>
          <w:color w:val="000000" w:themeColor="text1"/>
          <w:sz w:val="24"/>
          <w:szCs w:val="24"/>
        </w:rPr>
        <w:t>50</w:t>
      </w:r>
      <w:r w:rsidRPr="000B45D8">
        <w:rPr>
          <w:rFonts w:ascii="Times New Roman" w:hAnsi="Times New Roman" w:cs="Times New Roman"/>
          <w:color w:val="000000" w:themeColor="text1"/>
          <w:sz w:val="24"/>
          <w:szCs w:val="24"/>
        </w:rPr>
        <w:t xml:space="preserve">-hour week, with </w:t>
      </w:r>
      <w:r w:rsidR="00482491">
        <w:rPr>
          <w:rFonts w:ascii="Times New Roman" w:hAnsi="Times New Roman" w:cs="Times New Roman"/>
          <w:color w:val="000000" w:themeColor="text1"/>
          <w:sz w:val="24"/>
          <w:szCs w:val="24"/>
        </w:rPr>
        <w:t>T</w:t>
      </w:r>
      <w:r w:rsidR="00482491" w:rsidRPr="000B45D8">
        <w:rPr>
          <w:rFonts w:ascii="Times New Roman" w:hAnsi="Times New Roman" w:cs="Times New Roman"/>
          <w:color w:val="000000" w:themeColor="text1"/>
          <w:sz w:val="24"/>
          <w:szCs w:val="24"/>
        </w:rPr>
        <w:t xml:space="preserve">ime </w:t>
      </w:r>
      <w:r w:rsidR="00482491">
        <w:rPr>
          <w:rFonts w:ascii="Times New Roman" w:hAnsi="Times New Roman" w:cs="Times New Roman"/>
          <w:color w:val="000000" w:themeColor="text1"/>
          <w:sz w:val="24"/>
          <w:szCs w:val="24"/>
        </w:rPr>
        <w:t>U</w:t>
      </w:r>
      <w:r w:rsidRPr="000B45D8">
        <w:rPr>
          <w:rFonts w:ascii="Times New Roman" w:hAnsi="Times New Roman" w:cs="Times New Roman"/>
          <w:color w:val="000000" w:themeColor="text1"/>
          <w:sz w:val="24"/>
          <w:szCs w:val="24"/>
        </w:rPr>
        <w:t xml:space="preserve">se diary data showing that they put in just under ten hours on a typical weekday. A quarter of </w:t>
      </w:r>
      <w:proofErr w:type="gramStart"/>
      <w:r w:rsidRPr="000B45D8">
        <w:rPr>
          <w:rFonts w:ascii="Times New Roman" w:hAnsi="Times New Roman" w:cs="Times New Roman"/>
          <w:color w:val="000000" w:themeColor="text1"/>
          <w:sz w:val="24"/>
          <w:szCs w:val="24"/>
        </w:rPr>
        <w:t>teachers</w:t>
      </w:r>
      <w:proofErr w:type="gramEnd"/>
      <w:r w:rsidRPr="000B45D8">
        <w:rPr>
          <w:rFonts w:ascii="Times New Roman" w:hAnsi="Times New Roman" w:cs="Times New Roman"/>
          <w:color w:val="000000" w:themeColor="text1"/>
          <w:sz w:val="24"/>
          <w:szCs w:val="24"/>
        </w:rPr>
        <w:t xml:space="preserve"> work more than 59 hours a week, putting in 10.7 hours on the average weekday. Remarkably, one in ten teachers works more than 65 hours per week. Around 40% of teachers report that they ‘</w:t>
      </w:r>
      <w:r w:rsidRPr="000B45D8">
        <w:rPr>
          <w:rFonts w:ascii="Times New Roman" w:hAnsi="Times New Roman" w:cs="Times New Roman"/>
          <w:sz w:val="24"/>
          <w:szCs w:val="24"/>
        </w:rPr>
        <w:t xml:space="preserve">usually’ work in the evening, 10% at the weekend and 7% at night. </w:t>
      </w:r>
      <w:r w:rsidRPr="000B45D8">
        <w:rPr>
          <w:rFonts w:ascii="Times New Roman" w:hAnsi="Times New Roman" w:cs="Times New Roman"/>
          <w:color w:val="000000" w:themeColor="text1"/>
          <w:sz w:val="24"/>
          <w:szCs w:val="24"/>
        </w:rPr>
        <w:t xml:space="preserve">Working hours for teachers in England are higher than almost all other countries for which comparisons can be made and are </w:t>
      </w:r>
      <w:r w:rsidR="001D09A2">
        <w:rPr>
          <w:rFonts w:ascii="Times New Roman" w:hAnsi="Times New Roman" w:cs="Times New Roman"/>
          <w:color w:val="000000" w:themeColor="text1"/>
          <w:sz w:val="24"/>
          <w:szCs w:val="24"/>
        </w:rPr>
        <w:t>eight</w:t>
      </w:r>
      <w:r w:rsidR="001D09A2" w:rsidRPr="000B45D8">
        <w:rPr>
          <w:rFonts w:ascii="Times New Roman" w:hAnsi="Times New Roman" w:cs="Times New Roman"/>
          <w:color w:val="000000" w:themeColor="text1"/>
          <w:sz w:val="24"/>
          <w:szCs w:val="24"/>
        </w:rPr>
        <w:t xml:space="preserve"> </w:t>
      </w:r>
      <w:r w:rsidRPr="000B45D8">
        <w:rPr>
          <w:rFonts w:ascii="Times New Roman" w:hAnsi="Times New Roman" w:cs="Times New Roman"/>
          <w:color w:val="000000" w:themeColor="text1"/>
          <w:sz w:val="24"/>
          <w:szCs w:val="24"/>
        </w:rPr>
        <w:t xml:space="preserve">hours (one working day) per week longer than the OECD average. The finding that teachers work long hours in England is consistent with prior research. </w:t>
      </w:r>
      <w:r w:rsidRPr="000B45D8">
        <w:rPr>
          <w:rFonts w:ascii="Times New Roman" w:hAnsi="Times New Roman" w:cs="Times New Roman"/>
          <w:color w:val="000000"/>
          <w:sz w:val="24"/>
          <w:szCs w:val="24"/>
        </w:rPr>
        <w:t>However, it is notable that all of our estimates of total hours are lower than those from both the 2013 (55.7-59.3 hours per week) and the 2016 (53.5-55.5 hours per week) government workload surveys.</w:t>
      </w:r>
    </w:p>
    <w:p w14:paraId="66388665" w14:textId="615F5D3D" w:rsidR="000B45D8" w:rsidRPr="000B45D8" w:rsidRDefault="000B45D8" w:rsidP="000B45D8">
      <w:pPr>
        <w:spacing w:line="360" w:lineRule="auto"/>
        <w:jc w:val="both"/>
        <w:rPr>
          <w:rFonts w:ascii="Times New Roman" w:hAnsi="Times New Roman" w:cs="Times New Roman"/>
          <w:sz w:val="24"/>
          <w:szCs w:val="24"/>
        </w:rPr>
      </w:pPr>
      <w:r w:rsidRPr="000B45D8">
        <w:rPr>
          <w:rFonts w:ascii="Times New Roman" w:hAnsi="Times New Roman" w:cs="Times New Roman"/>
          <w:color w:val="000000" w:themeColor="text1"/>
          <w:sz w:val="24"/>
          <w:szCs w:val="24"/>
        </w:rPr>
        <w:t>Although teachers work (on average) long hours, we find no evidence that it has increased in recent years. Indeed, t</w:t>
      </w:r>
      <w:r w:rsidRPr="000B45D8">
        <w:rPr>
          <w:rFonts w:ascii="Times New Roman" w:hAnsi="Times New Roman" w:cs="Times New Roman"/>
          <w:sz w:val="24"/>
          <w:szCs w:val="24"/>
        </w:rPr>
        <w:t xml:space="preserve">otal working hours as measured in the Labour Force Survey have remained relatively stable – between 46 and 48 hours per week – over the last </w:t>
      </w:r>
      <w:r w:rsidR="001D09A2">
        <w:rPr>
          <w:rFonts w:ascii="Times New Roman" w:hAnsi="Times New Roman" w:cs="Times New Roman"/>
          <w:sz w:val="24"/>
          <w:szCs w:val="24"/>
        </w:rPr>
        <w:t>20</w:t>
      </w:r>
      <w:r w:rsidR="001D09A2" w:rsidRPr="000B45D8">
        <w:rPr>
          <w:rFonts w:ascii="Times New Roman" w:hAnsi="Times New Roman" w:cs="Times New Roman"/>
          <w:sz w:val="24"/>
          <w:szCs w:val="24"/>
        </w:rPr>
        <w:t xml:space="preserve"> </w:t>
      </w:r>
      <w:r w:rsidRPr="000B45D8">
        <w:rPr>
          <w:rFonts w:ascii="Times New Roman" w:hAnsi="Times New Roman" w:cs="Times New Roman"/>
          <w:sz w:val="24"/>
          <w:szCs w:val="24"/>
        </w:rPr>
        <w:t xml:space="preserve">years. Similarly, the proportion of teachers who report that they ‘usually’ work evenings and weekends has also been broadly stable since 2005. There has also </w:t>
      </w:r>
      <w:r w:rsidR="001D09A2">
        <w:rPr>
          <w:rFonts w:ascii="Times New Roman" w:hAnsi="Times New Roman" w:cs="Times New Roman"/>
          <w:sz w:val="24"/>
          <w:szCs w:val="24"/>
        </w:rPr>
        <w:t xml:space="preserve">been </w:t>
      </w:r>
      <w:r w:rsidRPr="000B45D8">
        <w:rPr>
          <w:rFonts w:ascii="Times New Roman" w:hAnsi="Times New Roman" w:cs="Times New Roman"/>
          <w:sz w:val="24"/>
          <w:szCs w:val="24"/>
        </w:rPr>
        <w:t xml:space="preserve">very little change in the number of </w:t>
      </w:r>
      <w:proofErr w:type="gramStart"/>
      <w:r w:rsidRPr="000B45D8">
        <w:rPr>
          <w:rFonts w:ascii="Times New Roman" w:hAnsi="Times New Roman" w:cs="Times New Roman"/>
          <w:sz w:val="24"/>
          <w:szCs w:val="24"/>
        </w:rPr>
        <w:t>hours</w:t>
      </w:r>
      <w:proofErr w:type="gramEnd"/>
      <w:r w:rsidRPr="000B45D8">
        <w:rPr>
          <w:rFonts w:ascii="Times New Roman" w:hAnsi="Times New Roman" w:cs="Times New Roman"/>
          <w:sz w:val="24"/>
          <w:szCs w:val="24"/>
        </w:rPr>
        <w:t xml:space="preserve"> teachers report spending on specific tasks between 2013 and 2018, with teachers spending around </w:t>
      </w:r>
      <w:r w:rsidR="00414C0E">
        <w:rPr>
          <w:rFonts w:ascii="Times New Roman" w:hAnsi="Times New Roman" w:cs="Times New Roman"/>
          <w:sz w:val="24"/>
          <w:szCs w:val="24"/>
        </w:rPr>
        <w:t>eight</w:t>
      </w:r>
      <w:r w:rsidR="00414C0E" w:rsidRPr="000B45D8">
        <w:rPr>
          <w:rFonts w:ascii="Times New Roman" w:hAnsi="Times New Roman" w:cs="Times New Roman"/>
          <w:sz w:val="24"/>
          <w:szCs w:val="24"/>
        </w:rPr>
        <w:t xml:space="preserve"> </w:t>
      </w:r>
      <w:r w:rsidRPr="000B45D8">
        <w:rPr>
          <w:rFonts w:ascii="Times New Roman" w:hAnsi="Times New Roman" w:cs="Times New Roman"/>
          <w:sz w:val="24"/>
          <w:szCs w:val="24"/>
        </w:rPr>
        <w:t xml:space="preserve">hours per week on marking, </w:t>
      </w:r>
      <w:r w:rsidR="00414C0E">
        <w:rPr>
          <w:rFonts w:ascii="Times New Roman" w:hAnsi="Times New Roman" w:cs="Times New Roman"/>
          <w:sz w:val="24"/>
          <w:szCs w:val="24"/>
        </w:rPr>
        <w:t>six</w:t>
      </w:r>
      <w:r w:rsidRPr="000B45D8">
        <w:rPr>
          <w:rFonts w:ascii="Times New Roman" w:hAnsi="Times New Roman" w:cs="Times New Roman"/>
          <w:sz w:val="24"/>
          <w:szCs w:val="24"/>
        </w:rPr>
        <w:t xml:space="preserve"> hours per week on planning and </w:t>
      </w:r>
      <w:r w:rsidR="00414C0E">
        <w:rPr>
          <w:rFonts w:ascii="Times New Roman" w:hAnsi="Times New Roman" w:cs="Times New Roman"/>
          <w:sz w:val="24"/>
          <w:szCs w:val="24"/>
        </w:rPr>
        <w:t>four</w:t>
      </w:r>
      <w:r w:rsidRPr="000B45D8">
        <w:rPr>
          <w:rFonts w:ascii="Times New Roman" w:hAnsi="Times New Roman" w:cs="Times New Roman"/>
          <w:sz w:val="24"/>
          <w:szCs w:val="24"/>
        </w:rPr>
        <w:t xml:space="preserve"> hours per week on administration in both years. </w:t>
      </w:r>
    </w:p>
    <w:p w14:paraId="2188BA31" w14:textId="77241BB1" w:rsidR="00396A2D" w:rsidRDefault="000B45D8" w:rsidP="000B45D8">
      <w:pPr>
        <w:spacing w:line="360" w:lineRule="auto"/>
        <w:jc w:val="both"/>
        <w:rPr>
          <w:rFonts w:ascii="Times New Roman" w:hAnsi="Times New Roman" w:cs="Times New Roman"/>
          <w:sz w:val="24"/>
          <w:szCs w:val="24"/>
        </w:rPr>
      </w:pPr>
      <w:r w:rsidRPr="000B45D8">
        <w:rPr>
          <w:rFonts w:ascii="Times New Roman" w:hAnsi="Times New Roman" w:cs="Times New Roman"/>
          <w:sz w:val="24"/>
          <w:szCs w:val="24"/>
        </w:rPr>
        <w:t xml:space="preserve">What, then, does this imply for education policy in England? Perhaps most importantly, our findings show that five years of policy initiatives </w:t>
      </w:r>
      <w:r w:rsidR="00111F3B">
        <w:rPr>
          <w:rFonts w:ascii="Times New Roman" w:hAnsi="Times New Roman" w:cs="Times New Roman"/>
          <w:sz w:val="24"/>
          <w:szCs w:val="24"/>
        </w:rPr>
        <w:sym w:font="Symbol" w:char="F02D"/>
      </w:r>
      <w:r w:rsidRPr="000B45D8">
        <w:rPr>
          <w:rFonts w:ascii="Times New Roman" w:hAnsi="Times New Roman" w:cs="Times New Roman"/>
          <w:sz w:val="24"/>
          <w:szCs w:val="24"/>
        </w:rPr>
        <w:t xml:space="preserve"> implemented by three separate Secretaries of State for Education </w:t>
      </w:r>
      <w:r w:rsidR="00111F3B">
        <w:rPr>
          <w:rFonts w:ascii="Times New Roman" w:hAnsi="Times New Roman" w:cs="Times New Roman"/>
          <w:sz w:val="24"/>
          <w:szCs w:val="24"/>
        </w:rPr>
        <w:sym w:font="Symbol" w:char="F02D"/>
      </w:r>
      <w:r w:rsidRPr="000B45D8">
        <w:rPr>
          <w:rFonts w:ascii="Times New Roman" w:hAnsi="Times New Roman" w:cs="Times New Roman"/>
          <w:sz w:val="24"/>
          <w:szCs w:val="24"/>
        </w:rPr>
        <w:t xml:space="preserve"> have so far proven insufficient for achieving a reduction in the total number of hours worked by teachers. Reducing working hours to bring them into line with international norms will therefore likely require additional, more radical action on the part of policymakers. Indeed, our research reveals that working hours have been at the present high </w:t>
      </w:r>
      <w:r w:rsidRPr="000B45D8">
        <w:rPr>
          <w:rFonts w:ascii="Times New Roman" w:hAnsi="Times New Roman" w:cs="Times New Roman"/>
          <w:sz w:val="24"/>
          <w:szCs w:val="24"/>
        </w:rPr>
        <w:lastRenderedPageBreak/>
        <w:t xml:space="preserve">levels for many years, which suggests perhaps that they will be more difficult to shift than previously anticipated. </w:t>
      </w:r>
    </w:p>
    <w:p w14:paraId="78544821" w14:textId="77777777" w:rsidR="00396A2D" w:rsidRDefault="00396A2D">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6C3FC860" w14:textId="6B648F3F" w:rsidR="00396A2D" w:rsidRPr="00BE5E4F" w:rsidRDefault="00697230" w:rsidP="008B4E20">
      <w:pPr>
        <w:pStyle w:val="Heading1UCL"/>
        <w:rPr>
          <w:szCs w:val="40"/>
          <w:lang w:eastAsia="en-GB"/>
        </w:rPr>
      </w:pPr>
      <w:bookmarkStart w:id="24" w:name="_Toc67406017"/>
      <w:r>
        <w:rPr>
          <w:szCs w:val="40"/>
          <w:lang w:eastAsia="en-GB"/>
        </w:rPr>
        <w:lastRenderedPageBreak/>
        <w:t xml:space="preserve">Chapter 10 </w:t>
      </w:r>
      <w:proofErr w:type="gramStart"/>
      <w:r>
        <w:rPr>
          <w:szCs w:val="40"/>
          <w:lang w:eastAsia="en-GB"/>
        </w:rPr>
        <w:t>The</w:t>
      </w:r>
      <w:proofErr w:type="gramEnd"/>
      <w:r>
        <w:rPr>
          <w:szCs w:val="40"/>
          <w:lang w:eastAsia="en-GB"/>
        </w:rPr>
        <w:t xml:space="preserve"> link between teacher workload and wellbeing</w:t>
      </w:r>
      <w:bookmarkEnd w:id="24"/>
      <w:r>
        <w:rPr>
          <w:szCs w:val="40"/>
          <w:lang w:eastAsia="en-GB"/>
        </w:rPr>
        <w:t xml:space="preserve"> </w:t>
      </w:r>
    </w:p>
    <w:p w14:paraId="49022B22" w14:textId="77777777" w:rsidR="00697230" w:rsidRPr="002F4017" w:rsidRDefault="00697230" w:rsidP="008B4E20">
      <w:pPr>
        <w:pStyle w:val="Heading1UCL"/>
      </w:pPr>
    </w:p>
    <w:p w14:paraId="733D9E9A" w14:textId="77777777" w:rsidR="00697230" w:rsidRPr="00697230" w:rsidRDefault="00697230" w:rsidP="00697230">
      <w:pPr>
        <w:pStyle w:val="ListParagraph"/>
        <w:numPr>
          <w:ilvl w:val="1"/>
          <w:numId w:val="31"/>
        </w:numPr>
        <w:spacing w:after="200" w:line="360" w:lineRule="auto"/>
        <w:jc w:val="both"/>
        <w:rPr>
          <w:rFonts w:ascii="Times New Roman" w:hAnsi="Times New Roman" w:cs="Times New Roman"/>
          <w:b/>
          <w:bCs/>
          <w:sz w:val="24"/>
          <w:szCs w:val="24"/>
        </w:rPr>
      </w:pPr>
      <w:r w:rsidRPr="00697230">
        <w:rPr>
          <w:rFonts w:ascii="Times New Roman" w:hAnsi="Times New Roman" w:cs="Times New Roman"/>
          <w:b/>
          <w:bCs/>
          <w:sz w:val="24"/>
          <w:szCs w:val="24"/>
        </w:rPr>
        <w:t xml:space="preserve"> Introduction</w:t>
      </w:r>
    </w:p>
    <w:p w14:paraId="1DFA5F53" w14:textId="130C76CE"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The preceding chapter illustrated how a quarter of teachers in England work more than 59 hours per week (Allen et al</w:t>
      </w:r>
      <w:r w:rsidR="004E5F20">
        <w:rPr>
          <w:rFonts w:ascii="Times New Roman" w:hAnsi="Times New Roman" w:cs="Times New Roman"/>
          <w:sz w:val="24"/>
          <w:szCs w:val="24"/>
        </w:rPr>
        <w:t>.,</w:t>
      </w:r>
      <w:r w:rsidRPr="00697230">
        <w:rPr>
          <w:rFonts w:ascii="Times New Roman" w:hAnsi="Times New Roman" w:cs="Times New Roman"/>
          <w:sz w:val="24"/>
          <w:szCs w:val="24"/>
        </w:rPr>
        <w:t xml:space="preserve"> 2019). These long hours have been blamed for hig</w:t>
      </w:r>
      <w:r w:rsidR="00564C70">
        <w:rPr>
          <w:rFonts w:ascii="Times New Roman" w:hAnsi="Times New Roman" w:cs="Times New Roman"/>
          <w:sz w:val="24"/>
          <w:szCs w:val="24"/>
        </w:rPr>
        <w:t>h levels of work-related stress</w:t>
      </w:r>
      <w:r w:rsidRPr="00697230">
        <w:rPr>
          <w:rFonts w:ascii="Times New Roman" w:hAnsi="Times New Roman" w:cs="Times New Roman"/>
          <w:sz w:val="24"/>
          <w:szCs w:val="24"/>
        </w:rPr>
        <w:t xml:space="preserve"> and declining levels of retention among teachers (Foster 2019), while </w:t>
      </w:r>
      <w:proofErr w:type="spellStart"/>
      <w:r w:rsidRPr="00697230">
        <w:rPr>
          <w:rFonts w:ascii="Times New Roman" w:hAnsi="Times New Roman" w:cs="Times New Roman"/>
          <w:sz w:val="24"/>
          <w:szCs w:val="24"/>
        </w:rPr>
        <w:t>headteachers</w:t>
      </w:r>
      <w:proofErr w:type="spellEnd"/>
      <w:r w:rsidRPr="00697230">
        <w:rPr>
          <w:rFonts w:ascii="Times New Roman" w:hAnsi="Times New Roman" w:cs="Times New Roman"/>
          <w:sz w:val="24"/>
          <w:szCs w:val="24"/>
        </w:rPr>
        <w:t xml:space="preserve"> have suggested that this may be hindering the quality of instruction provided by schools (Jerrim </w:t>
      </w:r>
      <w:r w:rsidR="004E5F20">
        <w:rPr>
          <w:rFonts w:ascii="Times New Roman" w:hAnsi="Times New Roman" w:cs="Times New Roman"/>
          <w:sz w:val="24"/>
          <w:szCs w:val="24"/>
        </w:rPr>
        <w:t>&amp;</w:t>
      </w:r>
      <w:r w:rsidR="004E5F20" w:rsidRPr="00697230">
        <w:rPr>
          <w:rFonts w:ascii="Times New Roman" w:hAnsi="Times New Roman" w:cs="Times New Roman"/>
          <w:sz w:val="24"/>
          <w:szCs w:val="24"/>
        </w:rPr>
        <w:t xml:space="preserve"> </w:t>
      </w:r>
      <w:r w:rsidRPr="00697230">
        <w:rPr>
          <w:rFonts w:ascii="Times New Roman" w:hAnsi="Times New Roman" w:cs="Times New Roman"/>
          <w:sz w:val="24"/>
          <w:szCs w:val="24"/>
        </w:rPr>
        <w:t>Sims</w:t>
      </w:r>
      <w:r w:rsidR="004E5F20">
        <w:rPr>
          <w:rFonts w:ascii="Times New Roman" w:hAnsi="Times New Roman" w:cs="Times New Roman"/>
          <w:sz w:val="24"/>
          <w:szCs w:val="24"/>
        </w:rPr>
        <w:t>,</w:t>
      </w:r>
      <w:r w:rsidRPr="00697230">
        <w:rPr>
          <w:rFonts w:ascii="Times New Roman" w:hAnsi="Times New Roman" w:cs="Times New Roman"/>
          <w:sz w:val="24"/>
          <w:szCs w:val="24"/>
        </w:rPr>
        <w:t xml:space="preserve"> 2019). Finding out more about the relationship between teacher workload and wellbeing is hence an issue of great education policy interest, while also being a topic of much debate amongst teachers and teaching unions. </w:t>
      </w:r>
    </w:p>
    <w:p w14:paraId="2927C3DA" w14:textId="4BE217B9"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The aim of this chapter is to provide new international evidence on this matter, tackling a number of empirical challenges that have not been considered within the existing literature. Using nationally representative data on more than 10,000 teachers from five English-speaking jurisdictions (Australia, England, New Zealand, United States and Alberta</w:t>
      </w:r>
      <w:r w:rsidR="00B24B38">
        <w:rPr>
          <w:rFonts w:ascii="Times New Roman" w:hAnsi="Times New Roman" w:cs="Times New Roman"/>
          <w:sz w:val="24"/>
          <w:szCs w:val="24"/>
        </w:rPr>
        <w:t xml:space="preserve">, </w:t>
      </w:r>
      <w:r w:rsidRPr="00697230">
        <w:rPr>
          <w:rFonts w:ascii="Times New Roman" w:hAnsi="Times New Roman" w:cs="Times New Roman"/>
          <w:sz w:val="24"/>
          <w:szCs w:val="24"/>
        </w:rPr>
        <w:t xml:space="preserve">Canada) we investigate how the time teachers spend upon a selection of different tasks is related to self-reported work-related stress and workplace wellbeing. In contrast to existing work in this area, we do not simply assume that there is a linear relationship between workload and wellbeing (e.g. that each additional hour spent working has the same marginal impact upon teacher wellbeing) but explicitly consider whether there is a particular point (or a particular amount of time) where total working hours becomes </w:t>
      </w:r>
      <w:r w:rsidR="00B24B38">
        <w:rPr>
          <w:rFonts w:ascii="Times New Roman" w:hAnsi="Times New Roman" w:cs="Times New Roman"/>
          <w:sz w:val="24"/>
          <w:szCs w:val="24"/>
        </w:rPr>
        <w:t>‘</w:t>
      </w:r>
      <w:r w:rsidRPr="00697230">
        <w:rPr>
          <w:rFonts w:ascii="Times New Roman" w:hAnsi="Times New Roman" w:cs="Times New Roman"/>
          <w:sz w:val="24"/>
          <w:szCs w:val="24"/>
        </w:rPr>
        <w:t>too much</w:t>
      </w:r>
      <w:r w:rsidR="00B24B38">
        <w:rPr>
          <w:rFonts w:ascii="Times New Roman" w:hAnsi="Times New Roman" w:cs="Times New Roman"/>
          <w:sz w:val="24"/>
          <w:szCs w:val="24"/>
        </w:rPr>
        <w:t>’</w:t>
      </w:r>
      <w:r w:rsidRPr="00697230">
        <w:rPr>
          <w:rFonts w:ascii="Times New Roman" w:hAnsi="Times New Roman" w:cs="Times New Roman"/>
          <w:sz w:val="24"/>
          <w:szCs w:val="24"/>
        </w:rPr>
        <w:t xml:space="preserve">.  </w:t>
      </w:r>
    </w:p>
    <w:p w14:paraId="75914DB8" w14:textId="77777777" w:rsidR="00697230" w:rsidRPr="00697230" w:rsidRDefault="00697230" w:rsidP="00697230">
      <w:pPr>
        <w:pStyle w:val="ListParagraph"/>
        <w:numPr>
          <w:ilvl w:val="1"/>
          <w:numId w:val="31"/>
        </w:numPr>
        <w:spacing w:after="200" w:line="360" w:lineRule="auto"/>
        <w:jc w:val="both"/>
        <w:rPr>
          <w:rFonts w:ascii="Times New Roman" w:hAnsi="Times New Roman" w:cs="Times New Roman"/>
          <w:b/>
          <w:bCs/>
          <w:sz w:val="24"/>
          <w:szCs w:val="24"/>
        </w:rPr>
      </w:pPr>
      <w:r w:rsidRPr="00697230">
        <w:rPr>
          <w:rFonts w:ascii="Times New Roman" w:hAnsi="Times New Roman" w:cs="Times New Roman"/>
          <w:b/>
          <w:bCs/>
          <w:sz w:val="24"/>
          <w:szCs w:val="24"/>
        </w:rPr>
        <w:t xml:space="preserve"> Data and methodology</w:t>
      </w:r>
    </w:p>
    <w:p w14:paraId="625F8FA4" w14:textId="5BFF7111" w:rsidR="00697230" w:rsidRDefault="00697230" w:rsidP="00697230">
      <w:pPr>
        <w:spacing w:line="360" w:lineRule="auto"/>
        <w:jc w:val="both"/>
        <w:rPr>
          <w:rFonts w:ascii="Times New Roman" w:eastAsia="Times New Roman" w:hAnsi="Times New Roman" w:cs="Times New Roman"/>
          <w:sz w:val="24"/>
          <w:szCs w:val="24"/>
          <w:lang w:eastAsia="en-GB"/>
        </w:rPr>
      </w:pPr>
      <w:r w:rsidRPr="00697230">
        <w:rPr>
          <w:rFonts w:ascii="Times New Roman" w:hAnsi="Times New Roman" w:cs="Times New Roman"/>
          <w:sz w:val="24"/>
          <w:szCs w:val="24"/>
        </w:rPr>
        <w:t xml:space="preserve">This chapter draws upon data from the 2018 round of the Teaching and Learning International Study (TALIS). Across our five countries of interest, the total sample size is 11,123 full-time teachers, including </w:t>
      </w:r>
      <w:r w:rsidRPr="00697230">
        <w:rPr>
          <w:rFonts w:ascii="Times New Roman" w:eastAsia="Times New Roman" w:hAnsi="Times New Roman" w:cs="Times New Roman"/>
          <w:sz w:val="24"/>
          <w:szCs w:val="24"/>
          <w:lang w:eastAsia="en-GB"/>
        </w:rPr>
        <w:t>1,318 Key Stage 1/2 and</w:t>
      </w:r>
      <w:r w:rsidRPr="00697230">
        <w:rPr>
          <w:rFonts w:ascii="Times New Roman" w:hAnsi="Times New Roman" w:cs="Times New Roman"/>
          <w:sz w:val="24"/>
          <w:szCs w:val="24"/>
        </w:rPr>
        <w:t xml:space="preserve"> </w:t>
      </w:r>
      <w:r w:rsidRPr="00697230">
        <w:rPr>
          <w:rFonts w:ascii="Times New Roman" w:eastAsia="Times New Roman" w:hAnsi="Times New Roman" w:cs="Times New Roman"/>
          <w:sz w:val="24"/>
          <w:szCs w:val="24"/>
          <w:lang w:eastAsia="en-GB"/>
        </w:rPr>
        <w:t xml:space="preserve">1,631 Key Stage 3 </w:t>
      </w:r>
      <w:r w:rsidR="00857B78">
        <w:rPr>
          <w:rFonts w:ascii="Times New Roman" w:eastAsia="Times New Roman" w:hAnsi="Times New Roman" w:cs="Times New Roman"/>
          <w:sz w:val="24"/>
          <w:szCs w:val="24"/>
          <w:lang w:eastAsia="en-GB"/>
        </w:rPr>
        <w:t xml:space="preserve">teachers </w:t>
      </w:r>
      <w:r w:rsidRPr="00697230">
        <w:rPr>
          <w:rFonts w:ascii="Times New Roman" w:eastAsia="Times New Roman" w:hAnsi="Times New Roman" w:cs="Times New Roman"/>
          <w:sz w:val="24"/>
          <w:szCs w:val="24"/>
          <w:lang w:eastAsia="en-GB"/>
        </w:rPr>
        <w:t>in England. Within the TALIS survey, teachers were asked about their total hours of work and how this was split between different tasks. Some descriptive information on how this compares across our countries of interest can be found in Table 10.1</w:t>
      </w:r>
      <w:r w:rsidRPr="00697230">
        <w:rPr>
          <w:rStyle w:val="FootnoteReference"/>
          <w:rFonts w:ascii="Times New Roman" w:eastAsia="Times New Roman" w:hAnsi="Times New Roman" w:cs="Times New Roman"/>
          <w:sz w:val="24"/>
          <w:szCs w:val="24"/>
          <w:lang w:eastAsia="en-GB"/>
        </w:rPr>
        <w:footnoteReference w:id="26"/>
      </w:r>
      <w:r w:rsidRPr="00697230">
        <w:rPr>
          <w:rFonts w:ascii="Times New Roman" w:eastAsia="Times New Roman" w:hAnsi="Times New Roman" w:cs="Times New Roman"/>
          <w:sz w:val="24"/>
          <w:szCs w:val="24"/>
          <w:lang w:eastAsia="en-GB"/>
        </w:rPr>
        <w:t>.</w:t>
      </w:r>
    </w:p>
    <w:p w14:paraId="4DDB8D33" w14:textId="4E95DB8C" w:rsidR="00697230" w:rsidRDefault="00697230" w:rsidP="00697230">
      <w:pPr>
        <w:spacing w:after="0" w:line="240" w:lineRule="auto"/>
        <w:jc w:val="center"/>
        <w:rPr>
          <w:rFonts w:ascii="Times New Roman" w:hAnsi="Times New Roman" w:cs="Times New Roman"/>
          <w:b/>
          <w:bCs/>
        </w:rPr>
      </w:pPr>
    </w:p>
    <w:p w14:paraId="4C5B6272" w14:textId="77777777" w:rsidR="00697230" w:rsidRDefault="00697230" w:rsidP="00697230">
      <w:pPr>
        <w:spacing w:after="0" w:line="240" w:lineRule="auto"/>
        <w:jc w:val="center"/>
        <w:rPr>
          <w:rFonts w:ascii="Times New Roman" w:hAnsi="Times New Roman" w:cs="Times New Roman"/>
          <w:b/>
          <w:bCs/>
          <w:sz w:val="24"/>
          <w:szCs w:val="24"/>
        </w:rPr>
      </w:pPr>
    </w:p>
    <w:p w14:paraId="071673E7" w14:textId="3BB4F098" w:rsidR="00697230" w:rsidRDefault="00697230" w:rsidP="00697230">
      <w:pPr>
        <w:spacing w:after="0" w:line="240" w:lineRule="auto"/>
        <w:jc w:val="center"/>
        <w:rPr>
          <w:rFonts w:ascii="Times New Roman" w:hAnsi="Times New Roman" w:cs="Times New Roman"/>
          <w:b/>
          <w:bCs/>
          <w:sz w:val="24"/>
          <w:szCs w:val="24"/>
        </w:rPr>
      </w:pPr>
      <w:r w:rsidRPr="00697230">
        <w:rPr>
          <w:rFonts w:ascii="Times New Roman" w:hAnsi="Times New Roman" w:cs="Times New Roman"/>
          <w:b/>
          <w:bCs/>
          <w:sz w:val="24"/>
          <w:szCs w:val="24"/>
        </w:rPr>
        <w:t>Table 10.1 Average working hours spent on different workload tasks across countries</w:t>
      </w:r>
    </w:p>
    <w:p w14:paraId="1D3EBB2E" w14:textId="77777777" w:rsidR="00396A2D" w:rsidRPr="00697230" w:rsidRDefault="00396A2D" w:rsidP="00697230">
      <w:pPr>
        <w:spacing w:after="0" w:line="240" w:lineRule="auto"/>
        <w:jc w:val="center"/>
        <w:rPr>
          <w:rFonts w:ascii="Times New Roman" w:hAnsi="Times New Roman" w:cs="Times New Roman"/>
          <w:b/>
          <w:bCs/>
          <w:sz w:val="24"/>
          <w:szCs w:val="24"/>
        </w:rPr>
      </w:pPr>
    </w:p>
    <w:tbl>
      <w:tblPr>
        <w:tblW w:w="10960" w:type="dxa"/>
        <w:tblInd w:w="-962" w:type="dxa"/>
        <w:tblLook w:val="04A0" w:firstRow="1" w:lastRow="0" w:firstColumn="1" w:lastColumn="0" w:noHBand="0" w:noVBand="1"/>
      </w:tblPr>
      <w:tblGrid>
        <w:gridCol w:w="2200"/>
        <w:gridCol w:w="880"/>
        <w:gridCol w:w="1300"/>
        <w:gridCol w:w="1260"/>
        <w:gridCol w:w="1300"/>
        <w:gridCol w:w="1540"/>
        <w:gridCol w:w="1540"/>
        <w:gridCol w:w="940"/>
      </w:tblGrid>
      <w:tr w:rsidR="00697230" w:rsidRPr="00F6512C" w14:paraId="26F83D03" w14:textId="77777777" w:rsidTr="005E2E61">
        <w:trPr>
          <w:trHeight w:val="555"/>
        </w:trPr>
        <w:tc>
          <w:tcPr>
            <w:tcW w:w="2200" w:type="dxa"/>
            <w:tcBorders>
              <w:top w:val="single" w:sz="4" w:space="0" w:color="auto"/>
              <w:left w:val="nil"/>
              <w:bottom w:val="single" w:sz="4" w:space="0" w:color="auto"/>
              <w:right w:val="nil"/>
            </w:tcBorders>
            <w:shd w:val="clear" w:color="000000" w:fill="BDD7EE"/>
            <w:vAlign w:val="bottom"/>
            <w:hideMark/>
          </w:tcPr>
          <w:p w14:paraId="036918EC" w14:textId="77777777" w:rsidR="00697230" w:rsidRPr="00F6512C" w:rsidRDefault="00697230" w:rsidP="005E2E61">
            <w:pPr>
              <w:spacing w:after="0" w:line="240" w:lineRule="auto"/>
              <w:rPr>
                <w:rFonts w:ascii="Times New Roman" w:eastAsia="Times New Roman" w:hAnsi="Times New Roman" w:cs="Times New Roman"/>
                <w:b/>
                <w:bCs/>
                <w:color w:val="000000"/>
                <w:lang w:eastAsia="en-GB"/>
              </w:rPr>
            </w:pPr>
            <w:r w:rsidRPr="00F6512C">
              <w:rPr>
                <w:rFonts w:ascii="Times New Roman" w:eastAsia="Times New Roman" w:hAnsi="Times New Roman" w:cs="Times New Roman"/>
                <w:b/>
                <w:bCs/>
                <w:color w:val="000000"/>
                <w:lang w:eastAsia="en-GB"/>
              </w:rPr>
              <w:t>Country</w:t>
            </w:r>
          </w:p>
        </w:tc>
        <w:tc>
          <w:tcPr>
            <w:tcW w:w="880" w:type="dxa"/>
            <w:tcBorders>
              <w:top w:val="single" w:sz="4" w:space="0" w:color="auto"/>
              <w:left w:val="nil"/>
              <w:bottom w:val="single" w:sz="4" w:space="0" w:color="auto"/>
              <w:right w:val="nil"/>
            </w:tcBorders>
            <w:shd w:val="clear" w:color="000000" w:fill="BDD7EE"/>
            <w:vAlign w:val="bottom"/>
            <w:hideMark/>
          </w:tcPr>
          <w:p w14:paraId="71EDCB75" w14:textId="77777777" w:rsidR="00697230" w:rsidRPr="00F6512C" w:rsidRDefault="00697230" w:rsidP="005E2E61">
            <w:pPr>
              <w:spacing w:after="0" w:line="240" w:lineRule="auto"/>
              <w:jc w:val="center"/>
              <w:rPr>
                <w:rFonts w:ascii="Times New Roman" w:eastAsia="Times New Roman" w:hAnsi="Times New Roman" w:cs="Times New Roman"/>
                <w:b/>
                <w:bCs/>
                <w:color w:val="000000"/>
                <w:lang w:eastAsia="en-GB"/>
              </w:rPr>
            </w:pPr>
            <w:r w:rsidRPr="00F6512C">
              <w:rPr>
                <w:rFonts w:ascii="Times New Roman" w:eastAsia="Times New Roman" w:hAnsi="Times New Roman" w:cs="Times New Roman"/>
                <w:b/>
                <w:bCs/>
                <w:color w:val="000000"/>
                <w:lang w:eastAsia="en-GB"/>
              </w:rPr>
              <w:t>Total</w:t>
            </w:r>
          </w:p>
        </w:tc>
        <w:tc>
          <w:tcPr>
            <w:tcW w:w="1300" w:type="dxa"/>
            <w:tcBorders>
              <w:top w:val="single" w:sz="4" w:space="0" w:color="auto"/>
              <w:left w:val="nil"/>
              <w:bottom w:val="single" w:sz="4" w:space="0" w:color="auto"/>
              <w:right w:val="nil"/>
            </w:tcBorders>
            <w:shd w:val="clear" w:color="000000" w:fill="BDD7EE"/>
            <w:vAlign w:val="bottom"/>
            <w:hideMark/>
          </w:tcPr>
          <w:p w14:paraId="4AA32A69" w14:textId="77777777" w:rsidR="00697230" w:rsidRPr="00F6512C" w:rsidRDefault="00697230" w:rsidP="005E2E61">
            <w:pPr>
              <w:spacing w:after="0" w:line="240" w:lineRule="auto"/>
              <w:jc w:val="center"/>
              <w:rPr>
                <w:rFonts w:ascii="Times New Roman" w:eastAsia="Times New Roman" w:hAnsi="Times New Roman" w:cs="Times New Roman"/>
                <w:b/>
                <w:bCs/>
                <w:color w:val="000000"/>
                <w:lang w:eastAsia="en-GB"/>
              </w:rPr>
            </w:pPr>
            <w:r w:rsidRPr="00F6512C">
              <w:rPr>
                <w:rFonts w:ascii="Times New Roman" w:eastAsia="Times New Roman" w:hAnsi="Times New Roman" w:cs="Times New Roman"/>
                <w:b/>
                <w:bCs/>
                <w:color w:val="000000"/>
                <w:lang w:eastAsia="en-GB"/>
              </w:rPr>
              <w:t>Teaching</w:t>
            </w:r>
          </w:p>
        </w:tc>
        <w:tc>
          <w:tcPr>
            <w:tcW w:w="1260" w:type="dxa"/>
            <w:tcBorders>
              <w:top w:val="single" w:sz="4" w:space="0" w:color="auto"/>
              <w:left w:val="nil"/>
              <w:bottom w:val="single" w:sz="4" w:space="0" w:color="auto"/>
              <w:right w:val="nil"/>
            </w:tcBorders>
            <w:shd w:val="clear" w:color="000000" w:fill="BDD7EE"/>
            <w:vAlign w:val="bottom"/>
            <w:hideMark/>
          </w:tcPr>
          <w:p w14:paraId="709ECEFD" w14:textId="77777777" w:rsidR="00697230" w:rsidRPr="00F6512C" w:rsidRDefault="00697230" w:rsidP="005E2E61">
            <w:pPr>
              <w:spacing w:after="0" w:line="240" w:lineRule="auto"/>
              <w:jc w:val="center"/>
              <w:rPr>
                <w:rFonts w:ascii="Times New Roman" w:eastAsia="Times New Roman" w:hAnsi="Times New Roman" w:cs="Times New Roman"/>
                <w:b/>
                <w:bCs/>
                <w:color w:val="000000"/>
                <w:lang w:eastAsia="en-GB"/>
              </w:rPr>
            </w:pPr>
            <w:r w:rsidRPr="00F6512C">
              <w:rPr>
                <w:rFonts w:ascii="Times New Roman" w:eastAsia="Times New Roman" w:hAnsi="Times New Roman" w:cs="Times New Roman"/>
                <w:b/>
                <w:bCs/>
                <w:color w:val="000000"/>
                <w:lang w:eastAsia="en-GB"/>
              </w:rPr>
              <w:t>Planning</w:t>
            </w:r>
          </w:p>
        </w:tc>
        <w:tc>
          <w:tcPr>
            <w:tcW w:w="1300" w:type="dxa"/>
            <w:tcBorders>
              <w:top w:val="single" w:sz="4" w:space="0" w:color="auto"/>
              <w:left w:val="nil"/>
              <w:bottom w:val="single" w:sz="4" w:space="0" w:color="auto"/>
              <w:right w:val="nil"/>
            </w:tcBorders>
            <w:shd w:val="clear" w:color="000000" w:fill="BDD7EE"/>
            <w:vAlign w:val="bottom"/>
            <w:hideMark/>
          </w:tcPr>
          <w:p w14:paraId="1777BFBE" w14:textId="77777777" w:rsidR="00697230" w:rsidRPr="00F6512C" w:rsidRDefault="00697230" w:rsidP="005E2E61">
            <w:pPr>
              <w:spacing w:after="0" w:line="240" w:lineRule="auto"/>
              <w:jc w:val="center"/>
              <w:rPr>
                <w:rFonts w:ascii="Times New Roman" w:eastAsia="Times New Roman" w:hAnsi="Times New Roman" w:cs="Times New Roman"/>
                <w:b/>
                <w:bCs/>
                <w:color w:val="000000"/>
                <w:lang w:eastAsia="en-GB"/>
              </w:rPr>
            </w:pPr>
            <w:r w:rsidRPr="00F6512C">
              <w:rPr>
                <w:rFonts w:ascii="Times New Roman" w:eastAsia="Times New Roman" w:hAnsi="Times New Roman" w:cs="Times New Roman"/>
                <w:b/>
                <w:bCs/>
                <w:color w:val="000000"/>
                <w:lang w:eastAsia="en-GB"/>
              </w:rPr>
              <w:t>Marking</w:t>
            </w:r>
          </w:p>
        </w:tc>
        <w:tc>
          <w:tcPr>
            <w:tcW w:w="1540" w:type="dxa"/>
            <w:tcBorders>
              <w:top w:val="single" w:sz="4" w:space="0" w:color="auto"/>
              <w:left w:val="nil"/>
              <w:bottom w:val="single" w:sz="4" w:space="0" w:color="auto"/>
              <w:right w:val="nil"/>
            </w:tcBorders>
            <w:shd w:val="clear" w:color="000000" w:fill="BDD7EE"/>
            <w:vAlign w:val="bottom"/>
            <w:hideMark/>
          </w:tcPr>
          <w:p w14:paraId="68038B00" w14:textId="77777777" w:rsidR="00697230" w:rsidRPr="00F6512C" w:rsidRDefault="00697230" w:rsidP="005E2E61">
            <w:pPr>
              <w:spacing w:after="0" w:line="240" w:lineRule="auto"/>
              <w:jc w:val="center"/>
              <w:rPr>
                <w:rFonts w:ascii="Times New Roman" w:eastAsia="Times New Roman" w:hAnsi="Times New Roman" w:cs="Times New Roman"/>
                <w:b/>
                <w:bCs/>
                <w:color w:val="000000"/>
                <w:lang w:eastAsia="en-GB"/>
              </w:rPr>
            </w:pPr>
            <w:r w:rsidRPr="00F6512C">
              <w:rPr>
                <w:rFonts w:ascii="Times New Roman" w:eastAsia="Times New Roman" w:hAnsi="Times New Roman" w:cs="Times New Roman"/>
                <w:b/>
                <w:bCs/>
                <w:color w:val="000000"/>
                <w:lang w:eastAsia="en-GB"/>
              </w:rPr>
              <w:t>Management + admin</w:t>
            </w:r>
          </w:p>
        </w:tc>
        <w:tc>
          <w:tcPr>
            <w:tcW w:w="1540" w:type="dxa"/>
            <w:tcBorders>
              <w:top w:val="single" w:sz="4" w:space="0" w:color="auto"/>
              <w:left w:val="nil"/>
              <w:bottom w:val="single" w:sz="4" w:space="0" w:color="auto"/>
              <w:right w:val="nil"/>
            </w:tcBorders>
            <w:shd w:val="clear" w:color="000000" w:fill="BDD7EE"/>
            <w:vAlign w:val="bottom"/>
            <w:hideMark/>
          </w:tcPr>
          <w:p w14:paraId="6AF87AEE" w14:textId="77777777" w:rsidR="00697230" w:rsidRPr="00F6512C" w:rsidRDefault="00697230" w:rsidP="005E2E61">
            <w:pPr>
              <w:spacing w:after="0" w:line="240" w:lineRule="auto"/>
              <w:jc w:val="center"/>
              <w:rPr>
                <w:rFonts w:ascii="Times New Roman" w:eastAsia="Times New Roman" w:hAnsi="Times New Roman" w:cs="Times New Roman"/>
                <w:b/>
                <w:bCs/>
                <w:color w:val="000000"/>
                <w:lang w:eastAsia="en-GB"/>
              </w:rPr>
            </w:pPr>
            <w:r w:rsidRPr="00F6512C">
              <w:rPr>
                <w:rFonts w:ascii="Times New Roman" w:eastAsia="Times New Roman" w:hAnsi="Times New Roman" w:cs="Times New Roman"/>
                <w:b/>
                <w:bCs/>
                <w:color w:val="000000"/>
                <w:lang w:eastAsia="en-GB"/>
              </w:rPr>
              <w:t>Teamwork + CPD</w:t>
            </w:r>
          </w:p>
        </w:tc>
        <w:tc>
          <w:tcPr>
            <w:tcW w:w="940" w:type="dxa"/>
            <w:tcBorders>
              <w:top w:val="single" w:sz="4" w:space="0" w:color="auto"/>
              <w:left w:val="nil"/>
              <w:bottom w:val="single" w:sz="4" w:space="0" w:color="auto"/>
              <w:right w:val="nil"/>
            </w:tcBorders>
            <w:shd w:val="clear" w:color="000000" w:fill="BDD7EE"/>
            <w:vAlign w:val="bottom"/>
            <w:hideMark/>
          </w:tcPr>
          <w:p w14:paraId="5990E6EF" w14:textId="77777777" w:rsidR="00697230" w:rsidRPr="00F6512C" w:rsidRDefault="00697230" w:rsidP="005E2E61">
            <w:pPr>
              <w:spacing w:after="0" w:line="240" w:lineRule="auto"/>
              <w:jc w:val="center"/>
              <w:rPr>
                <w:rFonts w:ascii="Times New Roman" w:eastAsia="Times New Roman" w:hAnsi="Times New Roman" w:cs="Times New Roman"/>
                <w:b/>
                <w:bCs/>
                <w:color w:val="000000"/>
                <w:lang w:eastAsia="en-GB"/>
              </w:rPr>
            </w:pPr>
            <w:r w:rsidRPr="00F6512C">
              <w:rPr>
                <w:rFonts w:ascii="Times New Roman" w:eastAsia="Times New Roman" w:hAnsi="Times New Roman" w:cs="Times New Roman"/>
                <w:b/>
                <w:bCs/>
                <w:color w:val="000000"/>
                <w:lang w:eastAsia="en-GB"/>
              </w:rPr>
              <w:t>Other</w:t>
            </w:r>
          </w:p>
        </w:tc>
      </w:tr>
      <w:tr w:rsidR="00697230" w:rsidRPr="00F6512C" w14:paraId="0634FA80" w14:textId="77777777" w:rsidTr="005E2E61">
        <w:trPr>
          <w:trHeight w:val="300"/>
        </w:trPr>
        <w:tc>
          <w:tcPr>
            <w:tcW w:w="2200" w:type="dxa"/>
            <w:tcBorders>
              <w:top w:val="nil"/>
              <w:left w:val="nil"/>
              <w:bottom w:val="nil"/>
              <w:right w:val="nil"/>
            </w:tcBorders>
            <w:shd w:val="clear" w:color="auto" w:fill="auto"/>
            <w:noWrap/>
            <w:vAlign w:val="bottom"/>
            <w:hideMark/>
          </w:tcPr>
          <w:p w14:paraId="1C495BEE" w14:textId="77777777" w:rsidR="00697230" w:rsidRPr="00F6512C" w:rsidRDefault="00697230" w:rsidP="005E2E61">
            <w:pPr>
              <w:spacing w:after="0" w:line="240" w:lineRule="auto"/>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England - primary</w:t>
            </w:r>
          </w:p>
        </w:tc>
        <w:tc>
          <w:tcPr>
            <w:tcW w:w="880" w:type="dxa"/>
            <w:tcBorders>
              <w:top w:val="nil"/>
              <w:left w:val="nil"/>
              <w:bottom w:val="nil"/>
              <w:right w:val="nil"/>
            </w:tcBorders>
            <w:shd w:val="clear" w:color="auto" w:fill="auto"/>
            <w:noWrap/>
            <w:vAlign w:val="bottom"/>
            <w:hideMark/>
          </w:tcPr>
          <w:p w14:paraId="45588A02"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54.3</w:t>
            </w:r>
          </w:p>
        </w:tc>
        <w:tc>
          <w:tcPr>
            <w:tcW w:w="1300" w:type="dxa"/>
            <w:tcBorders>
              <w:top w:val="nil"/>
              <w:left w:val="nil"/>
              <w:bottom w:val="nil"/>
              <w:right w:val="nil"/>
            </w:tcBorders>
            <w:shd w:val="clear" w:color="auto" w:fill="auto"/>
            <w:noWrap/>
            <w:vAlign w:val="bottom"/>
            <w:hideMark/>
          </w:tcPr>
          <w:p w14:paraId="70B352AE"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24.0</w:t>
            </w:r>
          </w:p>
        </w:tc>
        <w:tc>
          <w:tcPr>
            <w:tcW w:w="1260" w:type="dxa"/>
            <w:tcBorders>
              <w:top w:val="nil"/>
              <w:left w:val="nil"/>
              <w:bottom w:val="nil"/>
              <w:right w:val="nil"/>
            </w:tcBorders>
            <w:shd w:val="clear" w:color="auto" w:fill="auto"/>
            <w:noWrap/>
            <w:vAlign w:val="bottom"/>
            <w:hideMark/>
          </w:tcPr>
          <w:p w14:paraId="2A77C2E4"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7.1</w:t>
            </w:r>
          </w:p>
        </w:tc>
        <w:tc>
          <w:tcPr>
            <w:tcW w:w="1300" w:type="dxa"/>
            <w:tcBorders>
              <w:top w:val="nil"/>
              <w:left w:val="nil"/>
              <w:bottom w:val="nil"/>
              <w:right w:val="nil"/>
            </w:tcBorders>
            <w:shd w:val="clear" w:color="auto" w:fill="auto"/>
            <w:noWrap/>
            <w:vAlign w:val="bottom"/>
            <w:hideMark/>
          </w:tcPr>
          <w:p w14:paraId="4F7C6B09"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5.8</w:t>
            </w:r>
          </w:p>
        </w:tc>
        <w:tc>
          <w:tcPr>
            <w:tcW w:w="1540" w:type="dxa"/>
            <w:tcBorders>
              <w:top w:val="nil"/>
              <w:left w:val="nil"/>
              <w:bottom w:val="nil"/>
              <w:right w:val="nil"/>
            </w:tcBorders>
            <w:shd w:val="clear" w:color="auto" w:fill="auto"/>
            <w:noWrap/>
            <w:vAlign w:val="bottom"/>
            <w:hideMark/>
          </w:tcPr>
          <w:p w14:paraId="732319AC"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5.4</w:t>
            </w:r>
          </w:p>
        </w:tc>
        <w:tc>
          <w:tcPr>
            <w:tcW w:w="1540" w:type="dxa"/>
            <w:tcBorders>
              <w:top w:val="nil"/>
              <w:left w:val="nil"/>
              <w:bottom w:val="nil"/>
              <w:right w:val="nil"/>
            </w:tcBorders>
            <w:shd w:val="clear" w:color="auto" w:fill="auto"/>
            <w:noWrap/>
            <w:vAlign w:val="bottom"/>
            <w:hideMark/>
          </w:tcPr>
          <w:p w14:paraId="249CE0C9"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4.5</w:t>
            </w:r>
          </w:p>
        </w:tc>
        <w:tc>
          <w:tcPr>
            <w:tcW w:w="940" w:type="dxa"/>
            <w:tcBorders>
              <w:top w:val="nil"/>
              <w:left w:val="nil"/>
              <w:bottom w:val="nil"/>
              <w:right w:val="nil"/>
            </w:tcBorders>
            <w:shd w:val="clear" w:color="auto" w:fill="auto"/>
            <w:noWrap/>
            <w:vAlign w:val="bottom"/>
            <w:hideMark/>
          </w:tcPr>
          <w:p w14:paraId="316837E4"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5.8</w:t>
            </w:r>
          </w:p>
        </w:tc>
      </w:tr>
      <w:tr w:rsidR="00697230" w:rsidRPr="00F6512C" w14:paraId="5327965E" w14:textId="77777777" w:rsidTr="005E2E61">
        <w:trPr>
          <w:trHeight w:val="300"/>
        </w:trPr>
        <w:tc>
          <w:tcPr>
            <w:tcW w:w="2200" w:type="dxa"/>
            <w:tcBorders>
              <w:top w:val="nil"/>
              <w:left w:val="nil"/>
              <w:bottom w:val="nil"/>
              <w:right w:val="nil"/>
            </w:tcBorders>
            <w:shd w:val="clear" w:color="auto" w:fill="auto"/>
            <w:noWrap/>
            <w:vAlign w:val="bottom"/>
            <w:hideMark/>
          </w:tcPr>
          <w:p w14:paraId="397ABDB8" w14:textId="77777777" w:rsidR="00697230" w:rsidRPr="00F6512C" w:rsidRDefault="00697230" w:rsidP="005E2E61">
            <w:pPr>
              <w:spacing w:after="0" w:line="240" w:lineRule="auto"/>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England - secondary</w:t>
            </w:r>
          </w:p>
        </w:tc>
        <w:tc>
          <w:tcPr>
            <w:tcW w:w="880" w:type="dxa"/>
            <w:tcBorders>
              <w:top w:val="nil"/>
              <w:left w:val="nil"/>
              <w:bottom w:val="nil"/>
              <w:right w:val="nil"/>
            </w:tcBorders>
            <w:shd w:val="clear" w:color="auto" w:fill="auto"/>
            <w:noWrap/>
            <w:vAlign w:val="bottom"/>
            <w:hideMark/>
          </w:tcPr>
          <w:p w14:paraId="34CCFEAE"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51.8</w:t>
            </w:r>
          </w:p>
        </w:tc>
        <w:tc>
          <w:tcPr>
            <w:tcW w:w="1300" w:type="dxa"/>
            <w:tcBorders>
              <w:top w:val="nil"/>
              <w:left w:val="nil"/>
              <w:bottom w:val="nil"/>
              <w:right w:val="nil"/>
            </w:tcBorders>
            <w:shd w:val="clear" w:color="auto" w:fill="auto"/>
            <w:noWrap/>
            <w:vAlign w:val="bottom"/>
            <w:hideMark/>
          </w:tcPr>
          <w:p w14:paraId="375333F3"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20.1</w:t>
            </w:r>
          </w:p>
        </w:tc>
        <w:tc>
          <w:tcPr>
            <w:tcW w:w="1260" w:type="dxa"/>
            <w:tcBorders>
              <w:top w:val="nil"/>
              <w:left w:val="nil"/>
              <w:bottom w:val="nil"/>
              <w:right w:val="nil"/>
            </w:tcBorders>
            <w:shd w:val="clear" w:color="auto" w:fill="auto"/>
            <w:noWrap/>
            <w:vAlign w:val="bottom"/>
            <w:hideMark/>
          </w:tcPr>
          <w:p w14:paraId="0DFCC9D9"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7.2</w:t>
            </w:r>
          </w:p>
        </w:tc>
        <w:tc>
          <w:tcPr>
            <w:tcW w:w="1300" w:type="dxa"/>
            <w:tcBorders>
              <w:top w:val="nil"/>
              <w:left w:val="nil"/>
              <w:bottom w:val="nil"/>
              <w:right w:val="nil"/>
            </w:tcBorders>
            <w:shd w:val="clear" w:color="auto" w:fill="auto"/>
            <w:noWrap/>
            <w:vAlign w:val="bottom"/>
            <w:hideMark/>
          </w:tcPr>
          <w:p w14:paraId="35D831C5"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6.1</w:t>
            </w:r>
          </w:p>
        </w:tc>
        <w:tc>
          <w:tcPr>
            <w:tcW w:w="1540" w:type="dxa"/>
            <w:tcBorders>
              <w:top w:val="nil"/>
              <w:left w:val="nil"/>
              <w:bottom w:val="nil"/>
              <w:right w:val="nil"/>
            </w:tcBorders>
            <w:shd w:val="clear" w:color="auto" w:fill="auto"/>
            <w:noWrap/>
            <w:vAlign w:val="bottom"/>
            <w:hideMark/>
          </w:tcPr>
          <w:p w14:paraId="41FA254A"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5.5</w:t>
            </w:r>
          </w:p>
        </w:tc>
        <w:tc>
          <w:tcPr>
            <w:tcW w:w="1540" w:type="dxa"/>
            <w:tcBorders>
              <w:top w:val="nil"/>
              <w:left w:val="nil"/>
              <w:bottom w:val="nil"/>
              <w:right w:val="nil"/>
            </w:tcBorders>
            <w:shd w:val="clear" w:color="auto" w:fill="auto"/>
            <w:noWrap/>
            <w:vAlign w:val="bottom"/>
            <w:hideMark/>
          </w:tcPr>
          <w:p w14:paraId="34754FBD"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3.9</w:t>
            </w:r>
          </w:p>
        </w:tc>
        <w:tc>
          <w:tcPr>
            <w:tcW w:w="940" w:type="dxa"/>
            <w:tcBorders>
              <w:top w:val="nil"/>
              <w:left w:val="nil"/>
              <w:bottom w:val="nil"/>
              <w:right w:val="nil"/>
            </w:tcBorders>
            <w:shd w:val="clear" w:color="auto" w:fill="auto"/>
            <w:noWrap/>
            <w:vAlign w:val="bottom"/>
            <w:hideMark/>
          </w:tcPr>
          <w:p w14:paraId="1380E6EC"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7.2</w:t>
            </w:r>
          </w:p>
        </w:tc>
      </w:tr>
      <w:tr w:rsidR="00697230" w:rsidRPr="00F6512C" w14:paraId="7BCA2BB4" w14:textId="77777777" w:rsidTr="005E2E61">
        <w:trPr>
          <w:trHeight w:val="300"/>
        </w:trPr>
        <w:tc>
          <w:tcPr>
            <w:tcW w:w="2200" w:type="dxa"/>
            <w:tcBorders>
              <w:top w:val="nil"/>
              <w:left w:val="nil"/>
              <w:bottom w:val="nil"/>
              <w:right w:val="nil"/>
            </w:tcBorders>
            <w:shd w:val="clear" w:color="auto" w:fill="auto"/>
            <w:noWrap/>
            <w:vAlign w:val="bottom"/>
            <w:hideMark/>
          </w:tcPr>
          <w:p w14:paraId="30C07B8D" w14:textId="2E055EE7" w:rsidR="00697230" w:rsidRPr="00F6512C" w:rsidRDefault="00697230" w:rsidP="005E2E61">
            <w:pPr>
              <w:spacing w:after="0" w:line="240" w:lineRule="auto"/>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Alberta</w:t>
            </w:r>
            <w:r w:rsidR="00E223D4">
              <w:rPr>
                <w:rFonts w:ascii="Times New Roman" w:eastAsia="Times New Roman" w:hAnsi="Times New Roman" w:cs="Times New Roman"/>
                <w:color w:val="000000"/>
                <w:lang w:eastAsia="en-GB"/>
              </w:rPr>
              <w:t>, Canada</w:t>
            </w:r>
          </w:p>
        </w:tc>
        <w:tc>
          <w:tcPr>
            <w:tcW w:w="880" w:type="dxa"/>
            <w:tcBorders>
              <w:top w:val="nil"/>
              <w:left w:val="nil"/>
              <w:bottom w:val="nil"/>
              <w:right w:val="nil"/>
            </w:tcBorders>
            <w:shd w:val="clear" w:color="auto" w:fill="auto"/>
            <w:noWrap/>
            <w:vAlign w:val="bottom"/>
            <w:hideMark/>
          </w:tcPr>
          <w:p w14:paraId="63509D2C"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51.1</w:t>
            </w:r>
          </w:p>
        </w:tc>
        <w:tc>
          <w:tcPr>
            <w:tcW w:w="1300" w:type="dxa"/>
            <w:tcBorders>
              <w:top w:val="nil"/>
              <w:left w:val="nil"/>
              <w:bottom w:val="nil"/>
              <w:right w:val="nil"/>
            </w:tcBorders>
            <w:shd w:val="clear" w:color="auto" w:fill="auto"/>
            <w:noWrap/>
            <w:vAlign w:val="bottom"/>
            <w:hideMark/>
          </w:tcPr>
          <w:p w14:paraId="26AA8FBB"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27.7</w:t>
            </w:r>
          </w:p>
        </w:tc>
        <w:tc>
          <w:tcPr>
            <w:tcW w:w="1260" w:type="dxa"/>
            <w:tcBorders>
              <w:top w:val="nil"/>
              <w:left w:val="nil"/>
              <w:bottom w:val="nil"/>
              <w:right w:val="nil"/>
            </w:tcBorders>
            <w:shd w:val="clear" w:color="auto" w:fill="auto"/>
            <w:noWrap/>
            <w:vAlign w:val="bottom"/>
            <w:hideMark/>
          </w:tcPr>
          <w:p w14:paraId="7858BE3D"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6.7</w:t>
            </w:r>
          </w:p>
        </w:tc>
        <w:tc>
          <w:tcPr>
            <w:tcW w:w="1300" w:type="dxa"/>
            <w:tcBorders>
              <w:top w:val="nil"/>
              <w:left w:val="nil"/>
              <w:bottom w:val="nil"/>
              <w:right w:val="nil"/>
            </w:tcBorders>
            <w:shd w:val="clear" w:color="auto" w:fill="auto"/>
            <w:noWrap/>
            <w:vAlign w:val="bottom"/>
            <w:hideMark/>
          </w:tcPr>
          <w:p w14:paraId="7F872B09"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4.5</w:t>
            </w:r>
          </w:p>
        </w:tc>
        <w:tc>
          <w:tcPr>
            <w:tcW w:w="1540" w:type="dxa"/>
            <w:tcBorders>
              <w:top w:val="nil"/>
              <w:left w:val="nil"/>
              <w:bottom w:val="nil"/>
              <w:right w:val="nil"/>
            </w:tcBorders>
            <w:shd w:val="clear" w:color="auto" w:fill="auto"/>
            <w:noWrap/>
            <w:vAlign w:val="bottom"/>
            <w:hideMark/>
          </w:tcPr>
          <w:p w14:paraId="7F8AE24A"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2.8</w:t>
            </w:r>
          </w:p>
        </w:tc>
        <w:tc>
          <w:tcPr>
            <w:tcW w:w="1540" w:type="dxa"/>
            <w:tcBorders>
              <w:top w:val="nil"/>
              <w:left w:val="nil"/>
              <w:bottom w:val="nil"/>
              <w:right w:val="nil"/>
            </w:tcBorders>
            <w:shd w:val="clear" w:color="auto" w:fill="auto"/>
            <w:noWrap/>
            <w:vAlign w:val="bottom"/>
            <w:hideMark/>
          </w:tcPr>
          <w:p w14:paraId="0E1831FD"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3.5</w:t>
            </w:r>
          </w:p>
        </w:tc>
        <w:tc>
          <w:tcPr>
            <w:tcW w:w="940" w:type="dxa"/>
            <w:tcBorders>
              <w:top w:val="nil"/>
              <w:left w:val="nil"/>
              <w:bottom w:val="nil"/>
              <w:right w:val="nil"/>
            </w:tcBorders>
            <w:shd w:val="clear" w:color="auto" w:fill="auto"/>
            <w:noWrap/>
            <w:vAlign w:val="bottom"/>
            <w:hideMark/>
          </w:tcPr>
          <w:p w14:paraId="51426930"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5.8</w:t>
            </w:r>
          </w:p>
        </w:tc>
      </w:tr>
      <w:tr w:rsidR="00697230" w:rsidRPr="00F6512C" w14:paraId="037F0345" w14:textId="77777777" w:rsidTr="005E2E61">
        <w:trPr>
          <w:trHeight w:val="300"/>
        </w:trPr>
        <w:tc>
          <w:tcPr>
            <w:tcW w:w="2200" w:type="dxa"/>
            <w:tcBorders>
              <w:top w:val="nil"/>
              <w:left w:val="nil"/>
              <w:bottom w:val="nil"/>
              <w:right w:val="nil"/>
            </w:tcBorders>
            <w:shd w:val="clear" w:color="auto" w:fill="auto"/>
            <w:noWrap/>
            <w:vAlign w:val="bottom"/>
            <w:hideMark/>
          </w:tcPr>
          <w:p w14:paraId="15FB8D5B" w14:textId="77777777" w:rsidR="00697230" w:rsidRPr="00F6512C" w:rsidRDefault="00697230" w:rsidP="005E2E61">
            <w:pPr>
              <w:spacing w:after="0" w:line="240" w:lineRule="auto"/>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Australia - primary</w:t>
            </w:r>
          </w:p>
        </w:tc>
        <w:tc>
          <w:tcPr>
            <w:tcW w:w="880" w:type="dxa"/>
            <w:tcBorders>
              <w:top w:val="nil"/>
              <w:left w:val="nil"/>
              <w:bottom w:val="nil"/>
              <w:right w:val="nil"/>
            </w:tcBorders>
            <w:shd w:val="clear" w:color="auto" w:fill="auto"/>
            <w:noWrap/>
            <w:vAlign w:val="bottom"/>
            <w:hideMark/>
          </w:tcPr>
          <w:p w14:paraId="6E6AA45D"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50.1</w:t>
            </w:r>
          </w:p>
        </w:tc>
        <w:tc>
          <w:tcPr>
            <w:tcW w:w="1300" w:type="dxa"/>
            <w:tcBorders>
              <w:top w:val="nil"/>
              <w:left w:val="nil"/>
              <w:bottom w:val="nil"/>
              <w:right w:val="nil"/>
            </w:tcBorders>
            <w:shd w:val="clear" w:color="auto" w:fill="auto"/>
            <w:noWrap/>
            <w:vAlign w:val="bottom"/>
            <w:hideMark/>
          </w:tcPr>
          <w:p w14:paraId="0C30687E"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24.4</w:t>
            </w:r>
          </w:p>
        </w:tc>
        <w:tc>
          <w:tcPr>
            <w:tcW w:w="1260" w:type="dxa"/>
            <w:tcBorders>
              <w:top w:val="nil"/>
              <w:left w:val="nil"/>
              <w:bottom w:val="nil"/>
              <w:right w:val="nil"/>
            </w:tcBorders>
            <w:shd w:val="clear" w:color="auto" w:fill="auto"/>
            <w:noWrap/>
            <w:vAlign w:val="bottom"/>
            <w:hideMark/>
          </w:tcPr>
          <w:p w14:paraId="3825620C"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7.4</w:t>
            </w:r>
          </w:p>
        </w:tc>
        <w:tc>
          <w:tcPr>
            <w:tcW w:w="1300" w:type="dxa"/>
            <w:tcBorders>
              <w:top w:val="nil"/>
              <w:left w:val="nil"/>
              <w:bottom w:val="nil"/>
              <w:right w:val="nil"/>
            </w:tcBorders>
            <w:shd w:val="clear" w:color="auto" w:fill="auto"/>
            <w:noWrap/>
            <w:vAlign w:val="bottom"/>
            <w:hideMark/>
          </w:tcPr>
          <w:p w14:paraId="0D2F29A6"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3.1</w:t>
            </w:r>
          </w:p>
        </w:tc>
        <w:tc>
          <w:tcPr>
            <w:tcW w:w="1540" w:type="dxa"/>
            <w:tcBorders>
              <w:top w:val="nil"/>
              <w:left w:val="nil"/>
              <w:bottom w:val="nil"/>
              <w:right w:val="nil"/>
            </w:tcBorders>
            <w:shd w:val="clear" w:color="auto" w:fill="auto"/>
            <w:noWrap/>
            <w:vAlign w:val="bottom"/>
            <w:hideMark/>
          </w:tcPr>
          <w:p w14:paraId="655D7D20"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4.5</w:t>
            </w:r>
          </w:p>
        </w:tc>
        <w:tc>
          <w:tcPr>
            <w:tcW w:w="1540" w:type="dxa"/>
            <w:tcBorders>
              <w:top w:val="nil"/>
              <w:left w:val="nil"/>
              <w:bottom w:val="nil"/>
              <w:right w:val="nil"/>
            </w:tcBorders>
            <w:shd w:val="clear" w:color="auto" w:fill="auto"/>
            <w:noWrap/>
            <w:vAlign w:val="bottom"/>
            <w:hideMark/>
          </w:tcPr>
          <w:p w14:paraId="4E961AD4"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4.7</w:t>
            </w:r>
          </w:p>
        </w:tc>
        <w:tc>
          <w:tcPr>
            <w:tcW w:w="940" w:type="dxa"/>
            <w:tcBorders>
              <w:top w:val="nil"/>
              <w:left w:val="nil"/>
              <w:bottom w:val="nil"/>
              <w:right w:val="nil"/>
            </w:tcBorders>
            <w:shd w:val="clear" w:color="auto" w:fill="auto"/>
            <w:noWrap/>
            <w:vAlign w:val="bottom"/>
            <w:hideMark/>
          </w:tcPr>
          <w:p w14:paraId="6F900790"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5.9</w:t>
            </w:r>
          </w:p>
        </w:tc>
      </w:tr>
      <w:tr w:rsidR="00697230" w:rsidRPr="00F6512C" w14:paraId="24E914B3" w14:textId="77777777" w:rsidTr="005E2E61">
        <w:trPr>
          <w:trHeight w:val="300"/>
        </w:trPr>
        <w:tc>
          <w:tcPr>
            <w:tcW w:w="2200" w:type="dxa"/>
            <w:tcBorders>
              <w:top w:val="nil"/>
              <w:left w:val="nil"/>
              <w:bottom w:val="nil"/>
              <w:right w:val="nil"/>
            </w:tcBorders>
            <w:shd w:val="clear" w:color="auto" w:fill="auto"/>
            <w:noWrap/>
            <w:vAlign w:val="bottom"/>
            <w:hideMark/>
          </w:tcPr>
          <w:p w14:paraId="3AAD2D88" w14:textId="77777777" w:rsidR="00697230" w:rsidRPr="00F6512C" w:rsidRDefault="00697230" w:rsidP="005E2E61">
            <w:pPr>
              <w:spacing w:after="0" w:line="240" w:lineRule="auto"/>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USA</w:t>
            </w:r>
          </w:p>
        </w:tc>
        <w:tc>
          <w:tcPr>
            <w:tcW w:w="880" w:type="dxa"/>
            <w:tcBorders>
              <w:top w:val="nil"/>
              <w:left w:val="nil"/>
              <w:bottom w:val="nil"/>
              <w:right w:val="nil"/>
            </w:tcBorders>
            <w:shd w:val="clear" w:color="auto" w:fill="auto"/>
            <w:noWrap/>
            <w:vAlign w:val="bottom"/>
            <w:hideMark/>
          </w:tcPr>
          <w:p w14:paraId="20B88E7A"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50.1</w:t>
            </w:r>
          </w:p>
        </w:tc>
        <w:tc>
          <w:tcPr>
            <w:tcW w:w="1300" w:type="dxa"/>
            <w:tcBorders>
              <w:top w:val="nil"/>
              <w:left w:val="nil"/>
              <w:bottom w:val="nil"/>
              <w:right w:val="nil"/>
            </w:tcBorders>
            <w:shd w:val="clear" w:color="auto" w:fill="auto"/>
            <w:noWrap/>
            <w:vAlign w:val="bottom"/>
            <w:hideMark/>
          </w:tcPr>
          <w:p w14:paraId="633EB084"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27.3</w:t>
            </w:r>
          </w:p>
        </w:tc>
        <w:tc>
          <w:tcPr>
            <w:tcW w:w="1260" w:type="dxa"/>
            <w:tcBorders>
              <w:top w:val="nil"/>
              <w:left w:val="nil"/>
              <w:bottom w:val="nil"/>
              <w:right w:val="nil"/>
            </w:tcBorders>
            <w:shd w:val="clear" w:color="auto" w:fill="auto"/>
            <w:noWrap/>
            <w:vAlign w:val="bottom"/>
            <w:hideMark/>
          </w:tcPr>
          <w:p w14:paraId="77069BC1"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6.3</w:t>
            </w:r>
          </w:p>
        </w:tc>
        <w:tc>
          <w:tcPr>
            <w:tcW w:w="1300" w:type="dxa"/>
            <w:tcBorders>
              <w:top w:val="nil"/>
              <w:left w:val="nil"/>
              <w:bottom w:val="nil"/>
              <w:right w:val="nil"/>
            </w:tcBorders>
            <w:shd w:val="clear" w:color="auto" w:fill="auto"/>
            <w:noWrap/>
            <w:vAlign w:val="bottom"/>
            <w:hideMark/>
          </w:tcPr>
          <w:p w14:paraId="53923937"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4.5</w:t>
            </w:r>
          </w:p>
        </w:tc>
        <w:tc>
          <w:tcPr>
            <w:tcW w:w="1540" w:type="dxa"/>
            <w:tcBorders>
              <w:top w:val="nil"/>
              <w:left w:val="nil"/>
              <w:bottom w:val="nil"/>
              <w:right w:val="nil"/>
            </w:tcBorders>
            <w:shd w:val="clear" w:color="auto" w:fill="auto"/>
            <w:noWrap/>
            <w:vAlign w:val="bottom"/>
            <w:hideMark/>
          </w:tcPr>
          <w:p w14:paraId="2BA9E7CC"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2.4</w:t>
            </w:r>
          </w:p>
        </w:tc>
        <w:tc>
          <w:tcPr>
            <w:tcW w:w="1540" w:type="dxa"/>
            <w:tcBorders>
              <w:top w:val="nil"/>
              <w:left w:val="nil"/>
              <w:bottom w:val="nil"/>
              <w:right w:val="nil"/>
            </w:tcBorders>
            <w:shd w:val="clear" w:color="auto" w:fill="auto"/>
            <w:noWrap/>
            <w:vAlign w:val="bottom"/>
            <w:hideMark/>
          </w:tcPr>
          <w:p w14:paraId="302E3768"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3.6</w:t>
            </w:r>
          </w:p>
        </w:tc>
        <w:tc>
          <w:tcPr>
            <w:tcW w:w="940" w:type="dxa"/>
            <w:tcBorders>
              <w:top w:val="nil"/>
              <w:left w:val="nil"/>
              <w:bottom w:val="nil"/>
              <w:right w:val="nil"/>
            </w:tcBorders>
            <w:shd w:val="clear" w:color="auto" w:fill="auto"/>
            <w:noWrap/>
            <w:vAlign w:val="bottom"/>
            <w:hideMark/>
          </w:tcPr>
          <w:p w14:paraId="78105064"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9.0</w:t>
            </w:r>
          </w:p>
        </w:tc>
      </w:tr>
      <w:tr w:rsidR="00697230" w:rsidRPr="00F6512C" w14:paraId="131A52D9" w14:textId="77777777" w:rsidTr="005E2E61">
        <w:trPr>
          <w:trHeight w:val="300"/>
        </w:trPr>
        <w:tc>
          <w:tcPr>
            <w:tcW w:w="2200" w:type="dxa"/>
            <w:tcBorders>
              <w:top w:val="nil"/>
              <w:left w:val="nil"/>
              <w:bottom w:val="nil"/>
              <w:right w:val="nil"/>
            </w:tcBorders>
            <w:shd w:val="clear" w:color="auto" w:fill="auto"/>
            <w:noWrap/>
            <w:vAlign w:val="bottom"/>
            <w:hideMark/>
          </w:tcPr>
          <w:p w14:paraId="1CCBE0FC" w14:textId="77777777" w:rsidR="00697230" w:rsidRPr="00F6512C" w:rsidRDefault="00697230" w:rsidP="005E2E61">
            <w:pPr>
              <w:spacing w:after="0" w:line="240" w:lineRule="auto"/>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New Zealand</w:t>
            </w:r>
          </w:p>
        </w:tc>
        <w:tc>
          <w:tcPr>
            <w:tcW w:w="880" w:type="dxa"/>
            <w:tcBorders>
              <w:top w:val="nil"/>
              <w:left w:val="nil"/>
              <w:bottom w:val="nil"/>
              <w:right w:val="nil"/>
            </w:tcBorders>
            <w:shd w:val="clear" w:color="auto" w:fill="auto"/>
            <w:noWrap/>
            <w:vAlign w:val="bottom"/>
            <w:hideMark/>
          </w:tcPr>
          <w:p w14:paraId="5482E1BD"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49.3</w:t>
            </w:r>
          </w:p>
        </w:tc>
        <w:tc>
          <w:tcPr>
            <w:tcW w:w="1300" w:type="dxa"/>
            <w:tcBorders>
              <w:top w:val="nil"/>
              <w:left w:val="nil"/>
              <w:bottom w:val="nil"/>
              <w:right w:val="nil"/>
            </w:tcBorders>
            <w:shd w:val="clear" w:color="auto" w:fill="auto"/>
            <w:noWrap/>
            <w:vAlign w:val="bottom"/>
            <w:hideMark/>
          </w:tcPr>
          <w:p w14:paraId="3C1AE05C"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19.7</w:t>
            </w:r>
          </w:p>
        </w:tc>
        <w:tc>
          <w:tcPr>
            <w:tcW w:w="1260" w:type="dxa"/>
            <w:tcBorders>
              <w:top w:val="nil"/>
              <w:left w:val="nil"/>
              <w:bottom w:val="nil"/>
              <w:right w:val="nil"/>
            </w:tcBorders>
            <w:shd w:val="clear" w:color="auto" w:fill="auto"/>
            <w:noWrap/>
            <w:vAlign w:val="bottom"/>
            <w:hideMark/>
          </w:tcPr>
          <w:p w14:paraId="6E1DF4F2"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6.4</w:t>
            </w:r>
          </w:p>
        </w:tc>
        <w:tc>
          <w:tcPr>
            <w:tcW w:w="1300" w:type="dxa"/>
            <w:tcBorders>
              <w:top w:val="nil"/>
              <w:left w:val="nil"/>
              <w:bottom w:val="nil"/>
              <w:right w:val="nil"/>
            </w:tcBorders>
            <w:shd w:val="clear" w:color="auto" w:fill="auto"/>
            <w:noWrap/>
            <w:vAlign w:val="bottom"/>
            <w:hideMark/>
          </w:tcPr>
          <w:p w14:paraId="0E4AEBB7"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4.4</w:t>
            </w:r>
          </w:p>
        </w:tc>
        <w:tc>
          <w:tcPr>
            <w:tcW w:w="1540" w:type="dxa"/>
            <w:tcBorders>
              <w:top w:val="nil"/>
              <w:left w:val="nil"/>
              <w:bottom w:val="nil"/>
              <w:right w:val="nil"/>
            </w:tcBorders>
            <w:shd w:val="clear" w:color="auto" w:fill="auto"/>
            <w:noWrap/>
            <w:vAlign w:val="bottom"/>
            <w:hideMark/>
          </w:tcPr>
          <w:p w14:paraId="6B41926F"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5.7</w:t>
            </w:r>
          </w:p>
        </w:tc>
        <w:tc>
          <w:tcPr>
            <w:tcW w:w="1540" w:type="dxa"/>
            <w:tcBorders>
              <w:top w:val="nil"/>
              <w:left w:val="nil"/>
              <w:bottom w:val="nil"/>
              <w:right w:val="nil"/>
            </w:tcBorders>
            <w:shd w:val="clear" w:color="auto" w:fill="auto"/>
            <w:noWrap/>
            <w:vAlign w:val="bottom"/>
            <w:hideMark/>
          </w:tcPr>
          <w:p w14:paraId="4D9BAD0D"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4.9</w:t>
            </w:r>
          </w:p>
        </w:tc>
        <w:tc>
          <w:tcPr>
            <w:tcW w:w="940" w:type="dxa"/>
            <w:tcBorders>
              <w:top w:val="nil"/>
              <w:left w:val="nil"/>
              <w:bottom w:val="nil"/>
              <w:right w:val="nil"/>
            </w:tcBorders>
            <w:shd w:val="clear" w:color="auto" w:fill="auto"/>
            <w:noWrap/>
            <w:vAlign w:val="bottom"/>
            <w:hideMark/>
          </w:tcPr>
          <w:p w14:paraId="684AA7F5"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7.2</w:t>
            </w:r>
          </w:p>
        </w:tc>
      </w:tr>
      <w:tr w:rsidR="00697230" w:rsidRPr="00F6512C" w14:paraId="22540319" w14:textId="77777777" w:rsidTr="005E2E61">
        <w:trPr>
          <w:trHeight w:val="300"/>
        </w:trPr>
        <w:tc>
          <w:tcPr>
            <w:tcW w:w="2200" w:type="dxa"/>
            <w:tcBorders>
              <w:top w:val="nil"/>
              <w:left w:val="nil"/>
              <w:bottom w:val="single" w:sz="4" w:space="0" w:color="auto"/>
              <w:right w:val="nil"/>
            </w:tcBorders>
            <w:shd w:val="clear" w:color="auto" w:fill="auto"/>
            <w:noWrap/>
            <w:vAlign w:val="bottom"/>
            <w:hideMark/>
          </w:tcPr>
          <w:p w14:paraId="73E9176F" w14:textId="77777777" w:rsidR="00697230" w:rsidRPr="00F6512C" w:rsidRDefault="00697230" w:rsidP="005E2E61">
            <w:pPr>
              <w:spacing w:after="0" w:line="240" w:lineRule="auto"/>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Australia - secondary</w:t>
            </w:r>
          </w:p>
        </w:tc>
        <w:tc>
          <w:tcPr>
            <w:tcW w:w="880" w:type="dxa"/>
            <w:tcBorders>
              <w:top w:val="nil"/>
              <w:left w:val="nil"/>
              <w:bottom w:val="single" w:sz="4" w:space="0" w:color="auto"/>
              <w:right w:val="nil"/>
            </w:tcBorders>
            <w:shd w:val="clear" w:color="auto" w:fill="auto"/>
            <w:noWrap/>
            <w:vAlign w:val="bottom"/>
            <w:hideMark/>
          </w:tcPr>
          <w:p w14:paraId="5034FDE7"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49.2</w:t>
            </w:r>
          </w:p>
        </w:tc>
        <w:tc>
          <w:tcPr>
            <w:tcW w:w="1300" w:type="dxa"/>
            <w:tcBorders>
              <w:top w:val="nil"/>
              <w:left w:val="nil"/>
              <w:bottom w:val="single" w:sz="4" w:space="0" w:color="auto"/>
              <w:right w:val="nil"/>
            </w:tcBorders>
            <w:shd w:val="clear" w:color="auto" w:fill="auto"/>
            <w:noWrap/>
            <w:vAlign w:val="bottom"/>
            <w:hideMark/>
          </w:tcPr>
          <w:p w14:paraId="1BFD5512"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19.5</w:t>
            </w:r>
          </w:p>
        </w:tc>
        <w:tc>
          <w:tcPr>
            <w:tcW w:w="1260" w:type="dxa"/>
            <w:tcBorders>
              <w:top w:val="nil"/>
              <w:left w:val="nil"/>
              <w:bottom w:val="single" w:sz="4" w:space="0" w:color="auto"/>
              <w:right w:val="nil"/>
            </w:tcBorders>
            <w:shd w:val="clear" w:color="auto" w:fill="auto"/>
            <w:noWrap/>
            <w:vAlign w:val="bottom"/>
            <w:hideMark/>
          </w:tcPr>
          <w:p w14:paraId="60B55852"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6.9</w:t>
            </w:r>
          </w:p>
        </w:tc>
        <w:tc>
          <w:tcPr>
            <w:tcW w:w="1300" w:type="dxa"/>
            <w:tcBorders>
              <w:top w:val="nil"/>
              <w:left w:val="nil"/>
              <w:bottom w:val="single" w:sz="4" w:space="0" w:color="auto"/>
              <w:right w:val="nil"/>
            </w:tcBorders>
            <w:shd w:val="clear" w:color="auto" w:fill="auto"/>
            <w:noWrap/>
            <w:vAlign w:val="bottom"/>
            <w:hideMark/>
          </w:tcPr>
          <w:p w14:paraId="280A3841"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4.6</w:t>
            </w:r>
          </w:p>
        </w:tc>
        <w:tc>
          <w:tcPr>
            <w:tcW w:w="1540" w:type="dxa"/>
            <w:tcBorders>
              <w:top w:val="nil"/>
              <w:left w:val="nil"/>
              <w:bottom w:val="single" w:sz="4" w:space="0" w:color="auto"/>
              <w:right w:val="nil"/>
            </w:tcBorders>
            <w:shd w:val="clear" w:color="auto" w:fill="auto"/>
            <w:noWrap/>
            <w:vAlign w:val="bottom"/>
            <w:hideMark/>
          </w:tcPr>
          <w:p w14:paraId="2B1CCFC2"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5.7</w:t>
            </w:r>
          </w:p>
        </w:tc>
        <w:tc>
          <w:tcPr>
            <w:tcW w:w="1540" w:type="dxa"/>
            <w:tcBorders>
              <w:top w:val="nil"/>
              <w:left w:val="nil"/>
              <w:bottom w:val="single" w:sz="4" w:space="0" w:color="auto"/>
              <w:right w:val="nil"/>
            </w:tcBorders>
            <w:shd w:val="clear" w:color="auto" w:fill="auto"/>
            <w:noWrap/>
            <w:vAlign w:val="bottom"/>
            <w:hideMark/>
          </w:tcPr>
          <w:p w14:paraId="0B5B1D85"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5.0</w:t>
            </w:r>
          </w:p>
        </w:tc>
        <w:tc>
          <w:tcPr>
            <w:tcW w:w="940" w:type="dxa"/>
            <w:tcBorders>
              <w:top w:val="nil"/>
              <w:left w:val="nil"/>
              <w:bottom w:val="single" w:sz="4" w:space="0" w:color="auto"/>
              <w:right w:val="nil"/>
            </w:tcBorders>
            <w:shd w:val="clear" w:color="auto" w:fill="auto"/>
            <w:noWrap/>
            <w:vAlign w:val="bottom"/>
            <w:hideMark/>
          </w:tcPr>
          <w:p w14:paraId="41883B34" w14:textId="77777777" w:rsidR="00697230" w:rsidRPr="00F6512C" w:rsidRDefault="00697230" w:rsidP="005E2E61">
            <w:pPr>
              <w:spacing w:after="0" w:line="240" w:lineRule="auto"/>
              <w:jc w:val="center"/>
              <w:rPr>
                <w:rFonts w:ascii="Times New Roman" w:eastAsia="Times New Roman" w:hAnsi="Times New Roman" w:cs="Times New Roman"/>
                <w:color w:val="000000"/>
                <w:lang w:eastAsia="en-GB"/>
              </w:rPr>
            </w:pPr>
            <w:r w:rsidRPr="00F6512C">
              <w:rPr>
                <w:rFonts w:ascii="Times New Roman" w:eastAsia="Times New Roman" w:hAnsi="Times New Roman" w:cs="Times New Roman"/>
                <w:color w:val="000000"/>
                <w:lang w:eastAsia="en-GB"/>
              </w:rPr>
              <w:t>6.9</w:t>
            </w:r>
          </w:p>
        </w:tc>
      </w:tr>
    </w:tbl>
    <w:p w14:paraId="0C079B52" w14:textId="4AFF5E49" w:rsidR="00697230" w:rsidRPr="007400F9" w:rsidRDefault="00697230" w:rsidP="008B4E20">
      <w:pPr>
        <w:spacing w:after="240" w:line="240" w:lineRule="auto"/>
        <w:jc w:val="both"/>
        <w:rPr>
          <w:rFonts w:ascii="Times New Roman" w:hAnsi="Times New Roman" w:cs="Times New Roman"/>
          <w:sz w:val="20"/>
          <w:szCs w:val="20"/>
        </w:rPr>
      </w:pPr>
      <w:r w:rsidRPr="007400F9">
        <w:rPr>
          <w:rFonts w:ascii="Times New Roman" w:hAnsi="Times New Roman" w:cs="Times New Roman"/>
          <w:sz w:val="20"/>
          <w:szCs w:val="20"/>
        </w:rPr>
        <w:t xml:space="preserve">Note: Sum of each task does not equal the total, as information is drawn from different questions. </w:t>
      </w:r>
      <w:r w:rsidR="00875EB6">
        <w:rPr>
          <w:rFonts w:ascii="Times New Roman" w:hAnsi="Times New Roman" w:cs="Times New Roman"/>
          <w:sz w:val="20"/>
          <w:szCs w:val="20"/>
        </w:rPr>
        <w:t>Source = TALIS 2018 dataset.</w:t>
      </w:r>
    </w:p>
    <w:p w14:paraId="1ADE45F9" w14:textId="63C942BD"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 xml:space="preserve">Teachers were also asked a set of questions about the aspects of their job that cause them stress, and the impact that they believe this has upon their health. Teachers’ responses to these questions have then been converted into quasi-continuous scales by the OECD, which form the outcome variables used within our analysis. The first is the </w:t>
      </w:r>
      <w:r w:rsidR="00023E2B">
        <w:rPr>
          <w:rFonts w:ascii="Times New Roman" w:hAnsi="Times New Roman" w:cs="Times New Roman"/>
          <w:sz w:val="24"/>
          <w:szCs w:val="24"/>
        </w:rPr>
        <w:t>‘</w:t>
      </w:r>
      <w:r w:rsidRPr="00697230">
        <w:rPr>
          <w:rFonts w:ascii="Times New Roman" w:hAnsi="Times New Roman" w:cs="Times New Roman"/>
          <w:sz w:val="24"/>
          <w:szCs w:val="24"/>
        </w:rPr>
        <w:t>workplace wellbeing and stress</w:t>
      </w:r>
      <w:r w:rsidR="00023E2B">
        <w:rPr>
          <w:rFonts w:ascii="Times New Roman" w:hAnsi="Times New Roman" w:cs="Times New Roman"/>
          <w:sz w:val="24"/>
          <w:szCs w:val="24"/>
        </w:rPr>
        <w:t>’</w:t>
      </w:r>
      <w:r w:rsidRPr="00697230">
        <w:rPr>
          <w:rFonts w:ascii="Times New Roman" w:hAnsi="Times New Roman" w:cs="Times New Roman"/>
          <w:sz w:val="24"/>
          <w:szCs w:val="24"/>
        </w:rPr>
        <w:t xml:space="preserve"> scale, based upon </w:t>
      </w:r>
      <w:proofErr w:type="gramStart"/>
      <w:r w:rsidRPr="00697230">
        <w:rPr>
          <w:rFonts w:ascii="Times New Roman" w:hAnsi="Times New Roman" w:cs="Times New Roman"/>
          <w:sz w:val="24"/>
          <w:szCs w:val="24"/>
        </w:rPr>
        <w:t>teachers</w:t>
      </w:r>
      <w:proofErr w:type="gramEnd"/>
      <w:r w:rsidRPr="00697230">
        <w:rPr>
          <w:rFonts w:ascii="Times New Roman" w:hAnsi="Times New Roman" w:cs="Times New Roman"/>
          <w:sz w:val="24"/>
          <w:szCs w:val="24"/>
        </w:rPr>
        <w:t xml:space="preserve"> responses to questions such as </w:t>
      </w:r>
      <w:r w:rsidR="00023E2B">
        <w:rPr>
          <w:rFonts w:ascii="Times New Roman" w:hAnsi="Times New Roman" w:cs="Times New Roman"/>
          <w:sz w:val="24"/>
          <w:szCs w:val="24"/>
        </w:rPr>
        <w:t>‘</w:t>
      </w:r>
      <w:r w:rsidRPr="00697230">
        <w:rPr>
          <w:rFonts w:ascii="Times New Roman" w:hAnsi="Times New Roman" w:cs="Times New Roman"/>
          <w:i/>
          <w:sz w:val="24"/>
          <w:szCs w:val="24"/>
        </w:rPr>
        <w:t>I experience stress in my work</w:t>
      </w:r>
      <w:r w:rsidR="00023E2B">
        <w:rPr>
          <w:rFonts w:ascii="Times New Roman" w:hAnsi="Times New Roman" w:cs="Times New Roman"/>
          <w:sz w:val="24"/>
          <w:szCs w:val="24"/>
        </w:rPr>
        <w:t>’</w:t>
      </w:r>
      <w:r w:rsidRPr="00697230">
        <w:rPr>
          <w:rFonts w:ascii="Times New Roman" w:hAnsi="Times New Roman" w:cs="Times New Roman"/>
          <w:sz w:val="24"/>
          <w:szCs w:val="24"/>
        </w:rPr>
        <w:t xml:space="preserve"> and </w:t>
      </w:r>
      <w:r w:rsidR="00023E2B">
        <w:rPr>
          <w:rFonts w:ascii="Times New Roman" w:hAnsi="Times New Roman" w:cs="Times New Roman"/>
          <w:sz w:val="24"/>
          <w:szCs w:val="24"/>
        </w:rPr>
        <w:t>‘</w:t>
      </w:r>
      <w:r w:rsidRPr="00697230">
        <w:rPr>
          <w:rFonts w:ascii="Times New Roman" w:hAnsi="Times New Roman" w:cs="Times New Roman"/>
          <w:i/>
          <w:sz w:val="24"/>
          <w:szCs w:val="24"/>
        </w:rPr>
        <w:t>my job negatively impacts my mental health</w:t>
      </w:r>
      <w:r w:rsidR="00023E2B">
        <w:rPr>
          <w:rFonts w:ascii="Times New Roman" w:hAnsi="Times New Roman" w:cs="Times New Roman"/>
          <w:sz w:val="24"/>
          <w:szCs w:val="24"/>
        </w:rPr>
        <w:t>’</w:t>
      </w:r>
      <w:r w:rsidRPr="00697230">
        <w:rPr>
          <w:rFonts w:ascii="Times New Roman" w:hAnsi="Times New Roman" w:cs="Times New Roman"/>
          <w:sz w:val="24"/>
          <w:szCs w:val="24"/>
        </w:rPr>
        <w:t xml:space="preserve">. It is therefore a scale that has been designed to capture teachers’ subjective views about the impact that their job has upon their wellbeing. </w:t>
      </w:r>
    </w:p>
    <w:p w14:paraId="5C2F293D" w14:textId="723D51CD" w:rsidR="00697230" w:rsidRPr="00697230" w:rsidRDefault="00697230" w:rsidP="00697230">
      <w:pPr>
        <w:spacing w:after="0" w:line="360" w:lineRule="auto"/>
        <w:jc w:val="both"/>
        <w:rPr>
          <w:rFonts w:ascii="Times New Roman" w:hAnsi="Times New Roman" w:cs="Times New Roman"/>
          <w:sz w:val="24"/>
          <w:szCs w:val="24"/>
        </w:rPr>
      </w:pPr>
      <w:r w:rsidRPr="00697230">
        <w:rPr>
          <w:rFonts w:ascii="Times New Roman" w:hAnsi="Times New Roman" w:cs="Times New Roman"/>
          <w:sz w:val="24"/>
          <w:szCs w:val="24"/>
        </w:rPr>
        <w:t xml:space="preserve">The second scale focuses upon work-related stress captured by a question </w:t>
      </w:r>
      <w:r w:rsidR="00EA54E4" w:rsidRPr="00697230">
        <w:rPr>
          <w:rFonts w:ascii="Times New Roman" w:hAnsi="Times New Roman" w:cs="Times New Roman"/>
          <w:sz w:val="24"/>
          <w:szCs w:val="24"/>
        </w:rPr>
        <w:t>ask</w:t>
      </w:r>
      <w:r w:rsidR="00EA54E4">
        <w:rPr>
          <w:rFonts w:ascii="Times New Roman" w:hAnsi="Times New Roman" w:cs="Times New Roman"/>
          <w:sz w:val="24"/>
          <w:szCs w:val="24"/>
        </w:rPr>
        <w:t>ing</w:t>
      </w:r>
      <w:r w:rsidR="00EA54E4" w:rsidRPr="00697230">
        <w:rPr>
          <w:rFonts w:ascii="Times New Roman" w:hAnsi="Times New Roman" w:cs="Times New Roman"/>
          <w:sz w:val="24"/>
          <w:szCs w:val="24"/>
        </w:rPr>
        <w:t xml:space="preserve"> </w:t>
      </w:r>
      <w:r w:rsidRPr="00697230">
        <w:rPr>
          <w:rFonts w:ascii="Times New Roman" w:hAnsi="Times New Roman" w:cs="Times New Roman"/>
          <w:sz w:val="24"/>
          <w:szCs w:val="24"/>
        </w:rPr>
        <w:t xml:space="preserve">teachers to report how much various different tasks (e.g. marking, lesson preparation, administration) cause them stress at work. Table 10.2 provides descriptive statistics for how responses to each wellbeing question varies across our countries of interest. </w:t>
      </w:r>
    </w:p>
    <w:p w14:paraId="184DE374" w14:textId="35781065" w:rsidR="00697230" w:rsidRDefault="00697230" w:rsidP="00697230">
      <w:pPr>
        <w:spacing w:after="0"/>
        <w:jc w:val="center"/>
        <w:rPr>
          <w:rFonts w:ascii="Times New Roman" w:hAnsi="Times New Roman" w:cs="Times New Roman"/>
          <w:b/>
          <w:bCs/>
          <w:sz w:val="24"/>
          <w:szCs w:val="24"/>
        </w:rPr>
      </w:pPr>
      <w:r w:rsidRPr="00697230">
        <w:rPr>
          <w:rFonts w:ascii="Times New Roman" w:hAnsi="Times New Roman" w:cs="Times New Roman"/>
          <w:b/>
          <w:bCs/>
          <w:sz w:val="24"/>
          <w:szCs w:val="24"/>
        </w:rPr>
        <w:t xml:space="preserve">Table 10.2 </w:t>
      </w:r>
      <w:proofErr w:type="gramStart"/>
      <w:r w:rsidRPr="00697230">
        <w:rPr>
          <w:rFonts w:ascii="Times New Roman" w:hAnsi="Times New Roman" w:cs="Times New Roman"/>
          <w:b/>
          <w:bCs/>
          <w:sz w:val="24"/>
          <w:szCs w:val="24"/>
        </w:rPr>
        <w:t>The</w:t>
      </w:r>
      <w:proofErr w:type="gramEnd"/>
      <w:r w:rsidRPr="00697230">
        <w:rPr>
          <w:rFonts w:ascii="Times New Roman" w:hAnsi="Times New Roman" w:cs="Times New Roman"/>
          <w:b/>
          <w:bCs/>
          <w:sz w:val="24"/>
          <w:szCs w:val="24"/>
        </w:rPr>
        <w:t xml:space="preserve"> distribution of teacher wellbeing measures across selected countries</w:t>
      </w:r>
    </w:p>
    <w:p w14:paraId="76551A1B" w14:textId="77777777" w:rsidR="00396A2D" w:rsidRPr="00697230" w:rsidRDefault="00396A2D" w:rsidP="00697230">
      <w:pPr>
        <w:spacing w:after="0"/>
        <w:jc w:val="center"/>
        <w:rPr>
          <w:rFonts w:ascii="Times New Roman" w:hAnsi="Times New Roman" w:cs="Times New Roman"/>
          <w:b/>
          <w:bCs/>
          <w:sz w:val="24"/>
          <w:szCs w:val="24"/>
        </w:rPr>
      </w:pPr>
    </w:p>
    <w:tbl>
      <w:tblPr>
        <w:tblW w:w="10817" w:type="dxa"/>
        <w:tblInd w:w="-797" w:type="dxa"/>
        <w:tblLook w:val="04A0" w:firstRow="1" w:lastRow="0" w:firstColumn="1" w:lastColumn="0" w:noHBand="0" w:noVBand="1"/>
      </w:tblPr>
      <w:tblGrid>
        <w:gridCol w:w="2560"/>
        <w:gridCol w:w="1160"/>
        <w:gridCol w:w="1340"/>
        <w:gridCol w:w="992"/>
        <w:gridCol w:w="1179"/>
        <w:gridCol w:w="1281"/>
        <w:gridCol w:w="1100"/>
        <w:gridCol w:w="1260"/>
      </w:tblGrid>
      <w:tr w:rsidR="00697230" w:rsidRPr="00597963" w14:paraId="1E29B6AF" w14:textId="77777777" w:rsidTr="005E2E61">
        <w:trPr>
          <w:trHeight w:val="585"/>
        </w:trPr>
        <w:tc>
          <w:tcPr>
            <w:tcW w:w="2560" w:type="dxa"/>
            <w:tcBorders>
              <w:top w:val="single" w:sz="4" w:space="0" w:color="auto"/>
              <w:left w:val="nil"/>
              <w:bottom w:val="single" w:sz="4" w:space="0" w:color="auto"/>
              <w:right w:val="nil"/>
            </w:tcBorders>
            <w:shd w:val="clear" w:color="000000" w:fill="BDD7EE"/>
            <w:noWrap/>
            <w:vAlign w:val="bottom"/>
            <w:hideMark/>
          </w:tcPr>
          <w:p w14:paraId="7F1B87E4" w14:textId="77777777" w:rsidR="00697230" w:rsidRPr="00597963" w:rsidRDefault="00697230" w:rsidP="005E2E61">
            <w:pPr>
              <w:spacing w:after="0" w:line="240" w:lineRule="auto"/>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 </w:t>
            </w:r>
          </w:p>
        </w:tc>
        <w:tc>
          <w:tcPr>
            <w:tcW w:w="1160" w:type="dxa"/>
            <w:tcBorders>
              <w:top w:val="single" w:sz="4" w:space="0" w:color="auto"/>
              <w:left w:val="nil"/>
              <w:bottom w:val="single" w:sz="4" w:space="0" w:color="auto"/>
              <w:right w:val="nil"/>
            </w:tcBorders>
            <w:shd w:val="clear" w:color="000000" w:fill="BDD7EE"/>
            <w:vAlign w:val="bottom"/>
            <w:hideMark/>
          </w:tcPr>
          <w:p w14:paraId="5E394337" w14:textId="77777777" w:rsidR="00697230" w:rsidRPr="00597963" w:rsidRDefault="00697230" w:rsidP="005E2E61">
            <w:pPr>
              <w:spacing w:after="0" w:line="240" w:lineRule="auto"/>
              <w:jc w:val="center"/>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Australia - primary</w:t>
            </w:r>
          </w:p>
        </w:tc>
        <w:tc>
          <w:tcPr>
            <w:tcW w:w="1340" w:type="dxa"/>
            <w:tcBorders>
              <w:top w:val="single" w:sz="4" w:space="0" w:color="auto"/>
              <w:left w:val="nil"/>
              <w:bottom w:val="single" w:sz="4" w:space="0" w:color="auto"/>
              <w:right w:val="nil"/>
            </w:tcBorders>
            <w:shd w:val="clear" w:color="000000" w:fill="BDD7EE"/>
            <w:vAlign w:val="bottom"/>
            <w:hideMark/>
          </w:tcPr>
          <w:p w14:paraId="55D48BE4" w14:textId="77777777" w:rsidR="00697230" w:rsidRPr="00597963" w:rsidRDefault="00697230" w:rsidP="005E2E61">
            <w:pPr>
              <w:spacing w:after="0" w:line="240" w:lineRule="auto"/>
              <w:jc w:val="center"/>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Australia - secondary</w:t>
            </w:r>
          </w:p>
        </w:tc>
        <w:tc>
          <w:tcPr>
            <w:tcW w:w="937" w:type="dxa"/>
            <w:tcBorders>
              <w:top w:val="single" w:sz="4" w:space="0" w:color="auto"/>
              <w:left w:val="nil"/>
              <w:bottom w:val="single" w:sz="4" w:space="0" w:color="auto"/>
              <w:right w:val="nil"/>
            </w:tcBorders>
            <w:shd w:val="clear" w:color="000000" w:fill="BDD7EE"/>
            <w:vAlign w:val="bottom"/>
            <w:hideMark/>
          </w:tcPr>
          <w:p w14:paraId="56078DC8" w14:textId="6ADAEAC0" w:rsidR="00697230" w:rsidRPr="00597963" w:rsidRDefault="00697230" w:rsidP="005E2E61">
            <w:pPr>
              <w:spacing w:after="0" w:line="240" w:lineRule="auto"/>
              <w:jc w:val="center"/>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Alberta</w:t>
            </w:r>
            <w:r w:rsidR="00EA54E4">
              <w:rPr>
                <w:rFonts w:ascii="Times New Roman" w:eastAsia="Times New Roman" w:hAnsi="Times New Roman" w:cs="Times New Roman"/>
                <w:b/>
                <w:bCs/>
                <w:color w:val="000000"/>
                <w:lang w:eastAsia="en-GB"/>
              </w:rPr>
              <w:t>, Canada</w:t>
            </w:r>
          </w:p>
        </w:tc>
        <w:tc>
          <w:tcPr>
            <w:tcW w:w="1179" w:type="dxa"/>
            <w:tcBorders>
              <w:top w:val="single" w:sz="4" w:space="0" w:color="auto"/>
              <w:left w:val="nil"/>
              <w:bottom w:val="single" w:sz="4" w:space="0" w:color="auto"/>
              <w:right w:val="nil"/>
            </w:tcBorders>
            <w:shd w:val="clear" w:color="000000" w:fill="BDD7EE"/>
            <w:vAlign w:val="bottom"/>
            <w:hideMark/>
          </w:tcPr>
          <w:p w14:paraId="7AD71755" w14:textId="77777777" w:rsidR="00697230" w:rsidRPr="00597963" w:rsidRDefault="00697230" w:rsidP="005E2E61">
            <w:pPr>
              <w:spacing w:after="0" w:line="240" w:lineRule="auto"/>
              <w:jc w:val="center"/>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England - primary</w:t>
            </w:r>
          </w:p>
        </w:tc>
        <w:tc>
          <w:tcPr>
            <w:tcW w:w="1281" w:type="dxa"/>
            <w:tcBorders>
              <w:top w:val="single" w:sz="4" w:space="0" w:color="auto"/>
              <w:left w:val="nil"/>
              <w:bottom w:val="single" w:sz="4" w:space="0" w:color="auto"/>
              <w:right w:val="nil"/>
            </w:tcBorders>
            <w:shd w:val="clear" w:color="000000" w:fill="BDD7EE"/>
            <w:vAlign w:val="bottom"/>
            <w:hideMark/>
          </w:tcPr>
          <w:p w14:paraId="28A70460" w14:textId="77777777" w:rsidR="00697230" w:rsidRPr="00597963" w:rsidRDefault="00697230" w:rsidP="005E2E61">
            <w:pPr>
              <w:spacing w:after="0" w:line="240" w:lineRule="auto"/>
              <w:jc w:val="center"/>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England - secondary</w:t>
            </w:r>
          </w:p>
        </w:tc>
        <w:tc>
          <w:tcPr>
            <w:tcW w:w="1100" w:type="dxa"/>
            <w:tcBorders>
              <w:top w:val="single" w:sz="4" w:space="0" w:color="auto"/>
              <w:left w:val="nil"/>
              <w:bottom w:val="single" w:sz="4" w:space="0" w:color="auto"/>
              <w:right w:val="nil"/>
            </w:tcBorders>
            <w:shd w:val="clear" w:color="000000" w:fill="BDD7EE"/>
            <w:vAlign w:val="bottom"/>
            <w:hideMark/>
          </w:tcPr>
          <w:p w14:paraId="2A5FB151" w14:textId="77777777" w:rsidR="00697230" w:rsidRPr="00597963" w:rsidRDefault="00697230" w:rsidP="005E2E61">
            <w:pPr>
              <w:spacing w:after="0" w:line="240" w:lineRule="auto"/>
              <w:jc w:val="center"/>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New Zealand</w:t>
            </w:r>
          </w:p>
        </w:tc>
        <w:tc>
          <w:tcPr>
            <w:tcW w:w="1260" w:type="dxa"/>
            <w:tcBorders>
              <w:top w:val="single" w:sz="4" w:space="0" w:color="auto"/>
              <w:left w:val="nil"/>
              <w:bottom w:val="single" w:sz="4" w:space="0" w:color="auto"/>
              <w:right w:val="nil"/>
            </w:tcBorders>
            <w:shd w:val="clear" w:color="000000" w:fill="BDD7EE"/>
            <w:vAlign w:val="bottom"/>
            <w:hideMark/>
          </w:tcPr>
          <w:p w14:paraId="34222D1E" w14:textId="77777777" w:rsidR="00697230" w:rsidRPr="00597963" w:rsidRDefault="00697230" w:rsidP="005E2E61">
            <w:pPr>
              <w:spacing w:after="0" w:line="240" w:lineRule="auto"/>
              <w:jc w:val="center"/>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USA</w:t>
            </w:r>
          </w:p>
        </w:tc>
      </w:tr>
      <w:tr w:rsidR="00697230" w:rsidRPr="00597963" w14:paraId="6E8C0D56" w14:textId="77777777" w:rsidTr="005E2E61">
        <w:trPr>
          <w:trHeight w:val="300"/>
        </w:trPr>
        <w:tc>
          <w:tcPr>
            <w:tcW w:w="2560" w:type="dxa"/>
            <w:tcBorders>
              <w:top w:val="nil"/>
              <w:left w:val="nil"/>
              <w:bottom w:val="nil"/>
              <w:right w:val="nil"/>
            </w:tcBorders>
            <w:shd w:val="clear" w:color="auto" w:fill="auto"/>
            <w:noWrap/>
            <w:vAlign w:val="bottom"/>
            <w:hideMark/>
          </w:tcPr>
          <w:p w14:paraId="415228CC" w14:textId="77777777" w:rsidR="00697230" w:rsidRPr="00597963" w:rsidRDefault="00697230" w:rsidP="005E2E61">
            <w:pPr>
              <w:spacing w:after="0" w:line="240" w:lineRule="auto"/>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Workplace wellbeing</w:t>
            </w:r>
          </w:p>
        </w:tc>
        <w:tc>
          <w:tcPr>
            <w:tcW w:w="1160" w:type="dxa"/>
            <w:tcBorders>
              <w:top w:val="nil"/>
              <w:left w:val="nil"/>
              <w:bottom w:val="nil"/>
              <w:right w:val="nil"/>
            </w:tcBorders>
            <w:shd w:val="clear" w:color="auto" w:fill="auto"/>
            <w:noWrap/>
            <w:vAlign w:val="bottom"/>
            <w:hideMark/>
          </w:tcPr>
          <w:p w14:paraId="07F3F00E" w14:textId="77777777" w:rsidR="00697230" w:rsidRPr="00597963" w:rsidRDefault="00697230" w:rsidP="005E2E61">
            <w:pPr>
              <w:spacing w:after="0" w:line="240" w:lineRule="auto"/>
              <w:rPr>
                <w:rFonts w:ascii="Times New Roman" w:eastAsia="Times New Roman" w:hAnsi="Times New Roman" w:cs="Times New Roman"/>
                <w:b/>
                <w:bCs/>
                <w:color w:val="000000"/>
                <w:lang w:eastAsia="en-GB"/>
              </w:rPr>
            </w:pPr>
          </w:p>
        </w:tc>
        <w:tc>
          <w:tcPr>
            <w:tcW w:w="1340" w:type="dxa"/>
            <w:tcBorders>
              <w:top w:val="nil"/>
              <w:left w:val="nil"/>
              <w:bottom w:val="nil"/>
              <w:right w:val="nil"/>
            </w:tcBorders>
            <w:shd w:val="clear" w:color="auto" w:fill="auto"/>
            <w:noWrap/>
            <w:vAlign w:val="bottom"/>
            <w:hideMark/>
          </w:tcPr>
          <w:p w14:paraId="344D09AD"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937" w:type="dxa"/>
            <w:tcBorders>
              <w:top w:val="nil"/>
              <w:left w:val="nil"/>
              <w:bottom w:val="nil"/>
              <w:right w:val="nil"/>
            </w:tcBorders>
            <w:shd w:val="clear" w:color="auto" w:fill="auto"/>
            <w:noWrap/>
            <w:vAlign w:val="bottom"/>
            <w:hideMark/>
          </w:tcPr>
          <w:p w14:paraId="0A78FB5B"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1179" w:type="dxa"/>
            <w:tcBorders>
              <w:top w:val="nil"/>
              <w:left w:val="nil"/>
              <w:bottom w:val="nil"/>
              <w:right w:val="nil"/>
            </w:tcBorders>
            <w:shd w:val="clear" w:color="auto" w:fill="auto"/>
            <w:noWrap/>
            <w:vAlign w:val="bottom"/>
            <w:hideMark/>
          </w:tcPr>
          <w:p w14:paraId="5E4F8CCD"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1281" w:type="dxa"/>
            <w:tcBorders>
              <w:top w:val="nil"/>
              <w:left w:val="nil"/>
              <w:bottom w:val="nil"/>
              <w:right w:val="nil"/>
            </w:tcBorders>
            <w:shd w:val="clear" w:color="auto" w:fill="auto"/>
            <w:noWrap/>
            <w:vAlign w:val="bottom"/>
            <w:hideMark/>
          </w:tcPr>
          <w:p w14:paraId="2CD97DE6"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1100" w:type="dxa"/>
            <w:tcBorders>
              <w:top w:val="nil"/>
              <w:left w:val="nil"/>
              <w:bottom w:val="nil"/>
              <w:right w:val="nil"/>
            </w:tcBorders>
            <w:shd w:val="clear" w:color="auto" w:fill="auto"/>
            <w:noWrap/>
            <w:vAlign w:val="bottom"/>
            <w:hideMark/>
          </w:tcPr>
          <w:p w14:paraId="2EBFA9D6"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1260" w:type="dxa"/>
            <w:tcBorders>
              <w:top w:val="nil"/>
              <w:left w:val="nil"/>
              <w:bottom w:val="nil"/>
              <w:right w:val="nil"/>
            </w:tcBorders>
            <w:shd w:val="clear" w:color="auto" w:fill="auto"/>
            <w:noWrap/>
            <w:vAlign w:val="bottom"/>
            <w:hideMark/>
          </w:tcPr>
          <w:p w14:paraId="09E342F3"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r>
      <w:tr w:rsidR="00697230" w:rsidRPr="00597963" w14:paraId="66A996CB" w14:textId="77777777" w:rsidTr="005E2E61">
        <w:trPr>
          <w:trHeight w:val="300"/>
        </w:trPr>
        <w:tc>
          <w:tcPr>
            <w:tcW w:w="2560" w:type="dxa"/>
            <w:tcBorders>
              <w:top w:val="nil"/>
              <w:left w:val="nil"/>
              <w:bottom w:val="nil"/>
              <w:right w:val="nil"/>
            </w:tcBorders>
            <w:shd w:val="clear" w:color="auto" w:fill="auto"/>
            <w:noWrap/>
            <w:vAlign w:val="bottom"/>
            <w:hideMark/>
          </w:tcPr>
          <w:p w14:paraId="0DE88AC4"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Experience stress</w:t>
            </w:r>
          </w:p>
        </w:tc>
        <w:tc>
          <w:tcPr>
            <w:tcW w:w="1160" w:type="dxa"/>
            <w:tcBorders>
              <w:top w:val="nil"/>
              <w:left w:val="nil"/>
              <w:bottom w:val="nil"/>
              <w:right w:val="nil"/>
            </w:tcBorders>
            <w:shd w:val="clear" w:color="auto" w:fill="auto"/>
            <w:noWrap/>
            <w:vAlign w:val="bottom"/>
            <w:hideMark/>
          </w:tcPr>
          <w:p w14:paraId="2D2031AF"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58%</w:t>
            </w:r>
          </w:p>
        </w:tc>
        <w:tc>
          <w:tcPr>
            <w:tcW w:w="1340" w:type="dxa"/>
            <w:tcBorders>
              <w:top w:val="nil"/>
              <w:left w:val="nil"/>
              <w:bottom w:val="nil"/>
              <w:right w:val="nil"/>
            </w:tcBorders>
            <w:shd w:val="clear" w:color="auto" w:fill="auto"/>
            <w:noWrap/>
            <w:vAlign w:val="bottom"/>
            <w:hideMark/>
          </w:tcPr>
          <w:p w14:paraId="471ECE0E"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59%</w:t>
            </w:r>
          </w:p>
        </w:tc>
        <w:tc>
          <w:tcPr>
            <w:tcW w:w="937" w:type="dxa"/>
            <w:tcBorders>
              <w:top w:val="nil"/>
              <w:left w:val="nil"/>
              <w:bottom w:val="nil"/>
              <w:right w:val="nil"/>
            </w:tcBorders>
            <w:shd w:val="clear" w:color="auto" w:fill="auto"/>
            <w:noWrap/>
            <w:vAlign w:val="bottom"/>
            <w:hideMark/>
          </w:tcPr>
          <w:p w14:paraId="03D3D3DE"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60%</w:t>
            </w:r>
          </w:p>
        </w:tc>
        <w:tc>
          <w:tcPr>
            <w:tcW w:w="1179" w:type="dxa"/>
            <w:tcBorders>
              <w:top w:val="nil"/>
              <w:left w:val="nil"/>
              <w:bottom w:val="nil"/>
              <w:right w:val="nil"/>
            </w:tcBorders>
            <w:shd w:val="clear" w:color="auto" w:fill="auto"/>
            <w:noWrap/>
            <w:vAlign w:val="bottom"/>
            <w:hideMark/>
          </w:tcPr>
          <w:p w14:paraId="7073AAE3"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66%</w:t>
            </w:r>
          </w:p>
        </w:tc>
        <w:tc>
          <w:tcPr>
            <w:tcW w:w="1281" w:type="dxa"/>
            <w:tcBorders>
              <w:top w:val="nil"/>
              <w:left w:val="nil"/>
              <w:bottom w:val="nil"/>
              <w:right w:val="nil"/>
            </w:tcBorders>
            <w:shd w:val="clear" w:color="auto" w:fill="auto"/>
            <w:noWrap/>
            <w:vAlign w:val="bottom"/>
            <w:hideMark/>
          </w:tcPr>
          <w:p w14:paraId="206FABFF"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71%</w:t>
            </w:r>
          </w:p>
        </w:tc>
        <w:tc>
          <w:tcPr>
            <w:tcW w:w="1100" w:type="dxa"/>
            <w:tcBorders>
              <w:top w:val="nil"/>
              <w:left w:val="nil"/>
              <w:bottom w:val="nil"/>
              <w:right w:val="nil"/>
            </w:tcBorders>
            <w:shd w:val="clear" w:color="auto" w:fill="auto"/>
            <w:noWrap/>
            <w:vAlign w:val="bottom"/>
            <w:hideMark/>
          </w:tcPr>
          <w:p w14:paraId="77260DE8"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61%</w:t>
            </w:r>
          </w:p>
        </w:tc>
        <w:tc>
          <w:tcPr>
            <w:tcW w:w="1260" w:type="dxa"/>
            <w:tcBorders>
              <w:top w:val="nil"/>
              <w:left w:val="nil"/>
              <w:bottom w:val="nil"/>
              <w:right w:val="nil"/>
            </w:tcBorders>
            <w:shd w:val="clear" w:color="auto" w:fill="auto"/>
            <w:noWrap/>
            <w:vAlign w:val="bottom"/>
            <w:hideMark/>
          </w:tcPr>
          <w:p w14:paraId="09F066EF"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56%</w:t>
            </w:r>
          </w:p>
        </w:tc>
      </w:tr>
      <w:tr w:rsidR="00697230" w:rsidRPr="00597963" w14:paraId="0D5B68CD" w14:textId="77777777" w:rsidTr="005E2E61">
        <w:trPr>
          <w:trHeight w:val="300"/>
        </w:trPr>
        <w:tc>
          <w:tcPr>
            <w:tcW w:w="2560" w:type="dxa"/>
            <w:tcBorders>
              <w:top w:val="nil"/>
              <w:left w:val="nil"/>
              <w:bottom w:val="nil"/>
              <w:right w:val="nil"/>
            </w:tcBorders>
            <w:shd w:val="clear" w:color="auto" w:fill="auto"/>
            <w:noWrap/>
            <w:vAlign w:val="bottom"/>
            <w:hideMark/>
          </w:tcPr>
          <w:p w14:paraId="130ADDE3"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Time for personal life</w:t>
            </w:r>
          </w:p>
        </w:tc>
        <w:tc>
          <w:tcPr>
            <w:tcW w:w="1160" w:type="dxa"/>
            <w:tcBorders>
              <w:top w:val="nil"/>
              <w:left w:val="nil"/>
              <w:bottom w:val="nil"/>
              <w:right w:val="nil"/>
            </w:tcBorders>
            <w:shd w:val="clear" w:color="auto" w:fill="auto"/>
            <w:noWrap/>
            <w:vAlign w:val="bottom"/>
            <w:hideMark/>
          </w:tcPr>
          <w:p w14:paraId="22EF15C6"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28%</w:t>
            </w:r>
          </w:p>
        </w:tc>
        <w:tc>
          <w:tcPr>
            <w:tcW w:w="1340" w:type="dxa"/>
            <w:tcBorders>
              <w:top w:val="nil"/>
              <w:left w:val="nil"/>
              <w:bottom w:val="nil"/>
              <w:right w:val="nil"/>
            </w:tcBorders>
            <w:shd w:val="clear" w:color="auto" w:fill="auto"/>
            <w:noWrap/>
            <w:vAlign w:val="bottom"/>
            <w:hideMark/>
          </w:tcPr>
          <w:p w14:paraId="49230B45"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33%</w:t>
            </w:r>
          </w:p>
        </w:tc>
        <w:tc>
          <w:tcPr>
            <w:tcW w:w="937" w:type="dxa"/>
            <w:tcBorders>
              <w:top w:val="nil"/>
              <w:left w:val="nil"/>
              <w:bottom w:val="nil"/>
              <w:right w:val="nil"/>
            </w:tcBorders>
            <w:shd w:val="clear" w:color="auto" w:fill="auto"/>
            <w:noWrap/>
            <w:vAlign w:val="bottom"/>
            <w:hideMark/>
          </w:tcPr>
          <w:p w14:paraId="607434B3"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27%</w:t>
            </w:r>
          </w:p>
        </w:tc>
        <w:tc>
          <w:tcPr>
            <w:tcW w:w="1179" w:type="dxa"/>
            <w:tcBorders>
              <w:top w:val="nil"/>
              <w:left w:val="nil"/>
              <w:bottom w:val="nil"/>
              <w:right w:val="nil"/>
            </w:tcBorders>
            <w:shd w:val="clear" w:color="auto" w:fill="auto"/>
            <w:noWrap/>
            <w:vAlign w:val="bottom"/>
            <w:hideMark/>
          </w:tcPr>
          <w:p w14:paraId="6516A0AD"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23%</w:t>
            </w:r>
          </w:p>
        </w:tc>
        <w:tc>
          <w:tcPr>
            <w:tcW w:w="1281" w:type="dxa"/>
            <w:tcBorders>
              <w:top w:val="nil"/>
              <w:left w:val="nil"/>
              <w:bottom w:val="nil"/>
              <w:right w:val="nil"/>
            </w:tcBorders>
            <w:shd w:val="clear" w:color="auto" w:fill="auto"/>
            <w:noWrap/>
            <w:vAlign w:val="bottom"/>
            <w:hideMark/>
          </w:tcPr>
          <w:p w14:paraId="301EEB09"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22%</w:t>
            </w:r>
          </w:p>
        </w:tc>
        <w:tc>
          <w:tcPr>
            <w:tcW w:w="1100" w:type="dxa"/>
            <w:tcBorders>
              <w:top w:val="nil"/>
              <w:left w:val="nil"/>
              <w:bottom w:val="nil"/>
              <w:right w:val="nil"/>
            </w:tcBorders>
            <w:shd w:val="clear" w:color="auto" w:fill="auto"/>
            <w:noWrap/>
            <w:vAlign w:val="bottom"/>
            <w:hideMark/>
          </w:tcPr>
          <w:p w14:paraId="2D2B781C"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30%</w:t>
            </w:r>
          </w:p>
        </w:tc>
        <w:tc>
          <w:tcPr>
            <w:tcW w:w="1260" w:type="dxa"/>
            <w:tcBorders>
              <w:top w:val="nil"/>
              <w:left w:val="nil"/>
              <w:bottom w:val="nil"/>
              <w:right w:val="nil"/>
            </w:tcBorders>
            <w:shd w:val="clear" w:color="auto" w:fill="auto"/>
            <w:noWrap/>
            <w:vAlign w:val="bottom"/>
            <w:hideMark/>
          </w:tcPr>
          <w:p w14:paraId="77AB9AB7"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48%</w:t>
            </w:r>
          </w:p>
        </w:tc>
      </w:tr>
      <w:tr w:rsidR="00697230" w:rsidRPr="00597963" w14:paraId="61C15ACE" w14:textId="77777777" w:rsidTr="005E2E61">
        <w:trPr>
          <w:trHeight w:val="300"/>
        </w:trPr>
        <w:tc>
          <w:tcPr>
            <w:tcW w:w="2560" w:type="dxa"/>
            <w:tcBorders>
              <w:top w:val="nil"/>
              <w:left w:val="nil"/>
              <w:bottom w:val="nil"/>
              <w:right w:val="nil"/>
            </w:tcBorders>
            <w:shd w:val="clear" w:color="auto" w:fill="auto"/>
            <w:noWrap/>
            <w:vAlign w:val="bottom"/>
            <w:hideMark/>
          </w:tcPr>
          <w:p w14:paraId="06D03FF1"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Impacts mental health</w:t>
            </w:r>
          </w:p>
        </w:tc>
        <w:tc>
          <w:tcPr>
            <w:tcW w:w="1160" w:type="dxa"/>
            <w:tcBorders>
              <w:top w:val="nil"/>
              <w:left w:val="nil"/>
              <w:bottom w:val="nil"/>
              <w:right w:val="nil"/>
            </w:tcBorders>
            <w:shd w:val="clear" w:color="auto" w:fill="auto"/>
            <w:noWrap/>
            <w:vAlign w:val="bottom"/>
            <w:hideMark/>
          </w:tcPr>
          <w:p w14:paraId="7E31AE41"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26%</w:t>
            </w:r>
          </w:p>
        </w:tc>
        <w:tc>
          <w:tcPr>
            <w:tcW w:w="1340" w:type="dxa"/>
            <w:tcBorders>
              <w:top w:val="nil"/>
              <w:left w:val="nil"/>
              <w:bottom w:val="nil"/>
              <w:right w:val="nil"/>
            </w:tcBorders>
            <w:shd w:val="clear" w:color="auto" w:fill="auto"/>
            <w:noWrap/>
            <w:vAlign w:val="bottom"/>
            <w:hideMark/>
          </w:tcPr>
          <w:p w14:paraId="52F6EC2C"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24%</w:t>
            </w:r>
          </w:p>
        </w:tc>
        <w:tc>
          <w:tcPr>
            <w:tcW w:w="937" w:type="dxa"/>
            <w:tcBorders>
              <w:top w:val="nil"/>
              <w:left w:val="nil"/>
              <w:bottom w:val="nil"/>
              <w:right w:val="nil"/>
            </w:tcBorders>
            <w:shd w:val="clear" w:color="auto" w:fill="auto"/>
            <w:noWrap/>
            <w:vAlign w:val="bottom"/>
            <w:hideMark/>
          </w:tcPr>
          <w:p w14:paraId="65CF37DD"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25%</w:t>
            </w:r>
          </w:p>
        </w:tc>
        <w:tc>
          <w:tcPr>
            <w:tcW w:w="1179" w:type="dxa"/>
            <w:tcBorders>
              <w:top w:val="nil"/>
              <w:left w:val="nil"/>
              <w:bottom w:val="nil"/>
              <w:right w:val="nil"/>
            </w:tcBorders>
            <w:shd w:val="clear" w:color="auto" w:fill="auto"/>
            <w:noWrap/>
            <w:vAlign w:val="bottom"/>
            <w:hideMark/>
          </w:tcPr>
          <w:p w14:paraId="599EF7FE"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28%</w:t>
            </w:r>
          </w:p>
        </w:tc>
        <w:tc>
          <w:tcPr>
            <w:tcW w:w="1281" w:type="dxa"/>
            <w:tcBorders>
              <w:top w:val="nil"/>
              <w:left w:val="nil"/>
              <w:bottom w:val="nil"/>
              <w:right w:val="nil"/>
            </w:tcBorders>
            <w:shd w:val="clear" w:color="auto" w:fill="auto"/>
            <w:noWrap/>
            <w:vAlign w:val="bottom"/>
            <w:hideMark/>
          </w:tcPr>
          <w:p w14:paraId="429CBBE4"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35%</w:t>
            </w:r>
          </w:p>
        </w:tc>
        <w:tc>
          <w:tcPr>
            <w:tcW w:w="1100" w:type="dxa"/>
            <w:tcBorders>
              <w:top w:val="nil"/>
              <w:left w:val="nil"/>
              <w:bottom w:val="nil"/>
              <w:right w:val="nil"/>
            </w:tcBorders>
            <w:shd w:val="clear" w:color="auto" w:fill="auto"/>
            <w:noWrap/>
            <w:vAlign w:val="bottom"/>
            <w:hideMark/>
          </w:tcPr>
          <w:p w14:paraId="11E0F3E5"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27%</w:t>
            </w:r>
          </w:p>
        </w:tc>
        <w:tc>
          <w:tcPr>
            <w:tcW w:w="1260" w:type="dxa"/>
            <w:tcBorders>
              <w:top w:val="nil"/>
              <w:left w:val="nil"/>
              <w:bottom w:val="nil"/>
              <w:right w:val="nil"/>
            </w:tcBorders>
            <w:shd w:val="clear" w:color="auto" w:fill="auto"/>
            <w:noWrap/>
            <w:vAlign w:val="bottom"/>
            <w:hideMark/>
          </w:tcPr>
          <w:p w14:paraId="7DF95867"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16%</w:t>
            </w:r>
          </w:p>
        </w:tc>
      </w:tr>
      <w:tr w:rsidR="00697230" w:rsidRPr="00597963" w14:paraId="60A41038" w14:textId="77777777" w:rsidTr="005E2E61">
        <w:trPr>
          <w:trHeight w:val="300"/>
        </w:trPr>
        <w:tc>
          <w:tcPr>
            <w:tcW w:w="2560" w:type="dxa"/>
            <w:tcBorders>
              <w:top w:val="nil"/>
              <w:left w:val="nil"/>
              <w:bottom w:val="nil"/>
              <w:right w:val="nil"/>
            </w:tcBorders>
            <w:shd w:val="clear" w:color="auto" w:fill="auto"/>
            <w:noWrap/>
            <w:vAlign w:val="bottom"/>
            <w:hideMark/>
          </w:tcPr>
          <w:p w14:paraId="51C5868C"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Impacts physical health</w:t>
            </w:r>
          </w:p>
        </w:tc>
        <w:tc>
          <w:tcPr>
            <w:tcW w:w="1160" w:type="dxa"/>
            <w:tcBorders>
              <w:top w:val="nil"/>
              <w:left w:val="nil"/>
              <w:bottom w:val="nil"/>
              <w:right w:val="nil"/>
            </w:tcBorders>
            <w:shd w:val="clear" w:color="auto" w:fill="auto"/>
            <w:noWrap/>
            <w:vAlign w:val="bottom"/>
            <w:hideMark/>
          </w:tcPr>
          <w:p w14:paraId="21C7906A"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20%</w:t>
            </w:r>
          </w:p>
        </w:tc>
        <w:tc>
          <w:tcPr>
            <w:tcW w:w="1340" w:type="dxa"/>
            <w:tcBorders>
              <w:top w:val="nil"/>
              <w:left w:val="nil"/>
              <w:bottom w:val="nil"/>
              <w:right w:val="nil"/>
            </w:tcBorders>
            <w:shd w:val="clear" w:color="auto" w:fill="auto"/>
            <w:noWrap/>
            <w:vAlign w:val="bottom"/>
            <w:hideMark/>
          </w:tcPr>
          <w:p w14:paraId="7FFBE707"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21%</w:t>
            </w:r>
          </w:p>
        </w:tc>
        <w:tc>
          <w:tcPr>
            <w:tcW w:w="937" w:type="dxa"/>
            <w:tcBorders>
              <w:top w:val="nil"/>
              <w:left w:val="nil"/>
              <w:bottom w:val="nil"/>
              <w:right w:val="nil"/>
            </w:tcBorders>
            <w:shd w:val="clear" w:color="auto" w:fill="auto"/>
            <w:noWrap/>
            <w:vAlign w:val="bottom"/>
            <w:hideMark/>
          </w:tcPr>
          <w:p w14:paraId="7DDB0468"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18%</w:t>
            </w:r>
          </w:p>
        </w:tc>
        <w:tc>
          <w:tcPr>
            <w:tcW w:w="1179" w:type="dxa"/>
            <w:tcBorders>
              <w:top w:val="nil"/>
              <w:left w:val="nil"/>
              <w:bottom w:val="nil"/>
              <w:right w:val="nil"/>
            </w:tcBorders>
            <w:shd w:val="clear" w:color="auto" w:fill="auto"/>
            <w:noWrap/>
            <w:vAlign w:val="bottom"/>
            <w:hideMark/>
          </w:tcPr>
          <w:p w14:paraId="5644F634"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22%</w:t>
            </w:r>
          </w:p>
        </w:tc>
        <w:tc>
          <w:tcPr>
            <w:tcW w:w="1281" w:type="dxa"/>
            <w:tcBorders>
              <w:top w:val="nil"/>
              <w:left w:val="nil"/>
              <w:bottom w:val="nil"/>
              <w:right w:val="nil"/>
            </w:tcBorders>
            <w:shd w:val="clear" w:color="auto" w:fill="auto"/>
            <w:noWrap/>
            <w:vAlign w:val="bottom"/>
            <w:hideMark/>
          </w:tcPr>
          <w:p w14:paraId="2EA5FC70"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27%</w:t>
            </w:r>
          </w:p>
        </w:tc>
        <w:tc>
          <w:tcPr>
            <w:tcW w:w="1100" w:type="dxa"/>
            <w:tcBorders>
              <w:top w:val="nil"/>
              <w:left w:val="nil"/>
              <w:bottom w:val="nil"/>
              <w:right w:val="nil"/>
            </w:tcBorders>
            <w:shd w:val="clear" w:color="auto" w:fill="auto"/>
            <w:noWrap/>
            <w:vAlign w:val="bottom"/>
            <w:hideMark/>
          </w:tcPr>
          <w:p w14:paraId="30D21C78"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21%</w:t>
            </w:r>
          </w:p>
        </w:tc>
        <w:tc>
          <w:tcPr>
            <w:tcW w:w="1260" w:type="dxa"/>
            <w:tcBorders>
              <w:top w:val="nil"/>
              <w:left w:val="nil"/>
              <w:bottom w:val="nil"/>
              <w:right w:val="nil"/>
            </w:tcBorders>
            <w:shd w:val="clear" w:color="auto" w:fill="auto"/>
            <w:noWrap/>
            <w:vAlign w:val="bottom"/>
            <w:hideMark/>
          </w:tcPr>
          <w:p w14:paraId="079B01E3"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14%</w:t>
            </w:r>
          </w:p>
        </w:tc>
      </w:tr>
      <w:tr w:rsidR="00697230" w:rsidRPr="00597963" w14:paraId="183C2830" w14:textId="77777777" w:rsidTr="005E2E61">
        <w:trPr>
          <w:trHeight w:val="300"/>
        </w:trPr>
        <w:tc>
          <w:tcPr>
            <w:tcW w:w="2560" w:type="dxa"/>
            <w:tcBorders>
              <w:top w:val="nil"/>
              <w:left w:val="nil"/>
              <w:bottom w:val="nil"/>
              <w:right w:val="nil"/>
            </w:tcBorders>
            <w:shd w:val="clear" w:color="auto" w:fill="auto"/>
            <w:noWrap/>
            <w:vAlign w:val="bottom"/>
            <w:hideMark/>
          </w:tcPr>
          <w:p w14:paraId="110F1B60" w14:textId="77777777" w:rsidR="00697230" w:rsidRPr="00597963" w:rsidRDefault="00697230" w:rsidP="005E2E61">
            <w:pPr>
              <w:spacing w:after="0" w:line="240" w:lineRule="auto"/>
              <w:rPr>
                <w:rFonts w:ascii="Times New Roman" w:eastAsia="Times New Roman" w:hAnsi="Times New Roman" w:cs="Times New Roman"/>
                <w:b/>
                <w:bCs/>
                <w:color w:val="000000"/>
                <w:lang w:eastAsia="en-GB"/>
              </w:rPr>
            </w:pPr>
            <w:r w:rsidRPr="00597963">
              <w:rPr>
                <w:rFonts w:ascii="Times New Roman" w:eastAsia="Times New Roman" w:hAnsi="Times New Roman" w:cs="Times New Roman"/>
                <w:b/>
                <w:bCs/>
                <w:color w:val="000000"/>
                <w:lang w:eastAsia="en-GB"/>
              </w:rPr>
              <w:t>Workload stress</w:t>
            </w:r>
          </w:p>
        </w:tc>
        <w:tc>
          <w:tcPr>
            <w:tcW w:w="1160" w:type="dxa"/>
            <w:tcBorders>
              <w:top w:val="nil"/>
              <w:left w:val="nil"/>
              <w:bottom w:val="nil"/>
              <w:right w:val="nil"/>
            </w:tcBorders>
            <w:shd w:val="clear" w:color="auto" w:fill="auto"/>
            <w:noWrap/>
            <w:vAlign w:val="bottom"/>
            <w:hideMark/>
          </w:tcPr>
          <w:p w14:paraId="0B99DBFD" w14:textId="77777777" w:rsidR="00697230" w:rsidRPr="00597963" w:rsidRDefault="00697230" w:rsidP="005E2E61">
            <w:pPr>
              <w:spacing w:after="0" w:line="240" w:lineRule="auto"/>
              <w:rPr>
                <w:rFonts w:ascii="Times New Roman" w:eastAsia="Times New Roman" w:hAnsi="Times New Roman" w:cs="Times New Roman"/>
                <w:b/>
                <w:bCs/>
                <w:color w:val="000000"/>
                <w:lang w:eastAsia="en-GB"/>
              </w:rPr>
            </w:pPr>
          </w:p>
        </w:tc>
        <w:tc>
          <w:tcPr>
            <w:tcW w:w="1340" w:type="dxa"/>
            <w:tcBorders>
              <w:top w:val="nil"/>
              <w:left w:val="nil"/>
              <w:bottom w:val="nil"/>
              <w:right w:val="nil"/>
            </w:tcBorders>
            <w:shd w:val="clear" w:color="auto" w:fill="auto"/>
            <w:noWrap/>
            <w:vAlign w:val="bottom"/>
            <w:hideMark/>
          </w:tcPr>
          <w:p w14:paraId="28992F89"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937" w:type="dxa"/>
            <w:tcBorders>
              <w:top w:val="nil"/>
              <w:left w:val="nil"/>
              <w:bottom w:val="nil"/>
              <w:right w:val="nil"/>
            </w:tcBorders>
            <w:shd w:val="clear" w:color="auto" w:fill="auto"/>
            <w:noWrap/>
            <w:vAlign w:val="bottom"/>
            <w:hideMark/>
          </w:tcPr>
          <w:p w14:paraId="17C15E35"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1179" w:type="dxa"/>
            <w:tcBorders>
              <w:top w:val="nil"/>
              <w:left w:val="nil"/>
              <w:bottom w:val="nil"/>
              <w:right w:val="nil"/>
            </w:tcBorders>
            <w:shd w:val="clear" w:color="auto" w:fill="auto"/>
            <w:noWrap/>
            <w:vAlign w:val="bottom"/>
            <w:hideMark/>
          </w:tcPr>
          <w:p w14:paraId="7047DD02"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1281" w:type="dxa"/>
            <w:tcBorders>
              <w:top w:val="nil"/>
              <w:left w:val="nil"/>
              <w:bottom w:val="nil"/>
              <w:right w:val="nil"/>
            </w:tcBorders>
            <w:shd w:val="clear" w:color="auto" w:fill="auto"/>
            <w:noWrap/>
            <w:vAlign w:val="bottom"/>
            <w:hideMark/>
          </w:tcPr>
          <w:p w14:paraId="0FF69A0E"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1100" w:type="dxa"/>
            <w:tcBorders>
              <w:top w:val="nil"/>
              <w:left w:val="nil"/>
              <w:bottom w:val="nil"/>
              <w:right w:val="nil"/>
            </w:tcBorders>
            <w:shd w:val="clear" w:color="auto" w:fill="auto"/>
            <w:noWrap/>
            <w:vAlign w:val="bottom"/>
            <w:hideMark/>
          </w:tcPr>
          <w:p w14:paraId="0280B62C"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c>
          <w:tcPr>
            <w:tcW w:w="1260" w:type="dxa"/>
            <w:tcBorders>
              <w:top w:val="nil"/>
              <w:left w:val="nil"/>
              <w:bottom w:val="nil"/>
              <w:right w:val="nil"/>
            </w:tcBorders>
            <w:shd w:val="clear" w:color="auto" w:fill="auto"/>
            <w:noWrap/>
            <w:vAlign w:val="bottom"/>
            <w:hideMark/>
          </w:tcPr>
          <w:p w14:paraId="1ED97A79" w14:textId="77777777" w:rsidR="00697230" w:rsidRPr="00597963" w:rsidRDefault="00697230" w:rsidP="005E2E61">
            <w:pPr>
              <w:spacing w:after="0" w:line="240" w:lineRule="auto"/>
              <w:jc w:val="center"/>
              <w:rPr>
                <w:rFonts w:ascii="Times New Roman" w:eastAsia="Times New Roman" w:hAnsi="Times New Roman" w:cs="Times New Roman"/>
                <w:sz w:val="20"/>
                <w:szCs w:val="20"/>
                <w:lang w:eastAsia="en-GB"/>
              </w:rPr>
            </w:pPr>
          </w:p>
        </w:tc>
      </w:tr>
      <w:tr w:rsidR="00697230" w:rsidRPr="00597963" w14:paraId="54ECEE82" w14:textId="77777777" w:rsidTr="005E2E61">
        <w:trPr>
          <w:trHeight w:val="300"/>
        </w:trPr>
        <w:tc>
          <w:tcPr>
            <w:tcW w:w="2560" w:type="dxa"/>
            <w:tcBorders>
              <w:top w:val="nil"/>
              <w:left w:val="nil"/>
              <w:bottom w:val="nil"/>
              <w:right w:val="nil"/>
            </w:tcBorders>
            <w:shd w:val="clear" w:color="auto" w:fill="auto"/>
            <w:noWrap/>
            <w:vAlign w:val="bottom"/>
            <w:hideMark/>
          </w:tcPr>
          <w:p w14:paraId="56DE74B4"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Too much prep</w:t>
            </w:r>
          </w:p>
        </w:tc>
        <w:tc>
          <w:tcPr>
            <w:tcW w:w="1160" w:type="dxa"/>
            <w:tcBorders>
              <w:top w:val="nil"/>
              <w:left w:val="nil"/>
              <w:bottom w:val="nil"/>
              <w:right w:val="nil"/>
            </w:tcBorders>
            <w:shd w:val="clear" w:color="auto" w:fill="auto"/>
            <w:noWrap/>
            <w:vAlign w:val="bottom"/>
            <w:hideMark/>
          </w:tcPr>
          <w:p w14:paraId="2F30113B"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40%</w:t>
            </w:r>
          </w:p>
        </w:tc>
        <w:tc>
          <w:tcPr>
            <w:tcW w:w="1340" w:type="dxa"/>
            <w:tcBorders>
              <w:top w:val="nil"/>
              <w:left w:val="nil"/>
              <w:bottom w:val="nil"/>
              <w:right w:val="nil"/>
            </w:tcBorders>
            <w:shd w:val="clear" w:color="auto" w:fill="auto"/>
            <w:noWrap/>
            <w:vAlign w:val="bottom"/>
            <w:hideMark/>
          </w:tcPr>
          <w:p w14:paraId="6211D73A"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32%</w:t>
            </w:r>
          </w:p>
        </w:tc>
        <w:tc>
          <w:tcPr>
            <w:tcW w:w="937" w:type="dxa"/>
            <w:tcBorders>
              <w:top w:val="nil"/>
              <w:left w:val="nil"/>
              <w:bottom w:val="nil"/>
              <w:right w:val="nil"/>
            </w:tcBorders>
            <w:shd w:val="clear" w:color="auto" w:fill="auto"/>
            <w:noWrap/>
            <w:vAlign w:val="bottom"/>
            <w:hideMark/>
          </w:tcPr>
          <w:p w14:paraId="617AC142"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32%</w:t>
            </w:r>
          </w:p>
        </w:tc>
        <w:tc>
          <w:tcPr>
            <w:tcW w:w="1179" w:type="dxa"/>
            <w:tcBorders>
              <w:top w:val="nil"/>
              <w:left w:val="nil"/>
              <w:bottom w:val="nil"/>
              <w:right w:val="nil"/>
            </w:tcBorders>
            <w:shd w:val="clear" w:color="auto" w:fill="auto"/>
            <w:noWrap/>
            <w:vAlign w:val="bottom"/>
            <w:hideMark/>
          </w:tcPr>
          <w:p w14:paraId="3D54DE1D"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45%</w:t>
            </w:r>
          </w:p>
        </w:tc>
        <w:tc>
          <w:tcPr>
            <w:tcW w:w="1281" w:type="dxa"/>
            <w:tcBorders>
              <w:top w:val="nil"/>
              <w:left w:val="nil"/>
              <w:bottom w:val="nil"/>
              <w:right w:val="nil"/>
            </w:tcBorders>
            <w:shd w:val="clear" w:color="auto" w:fill="auto"/>
            <w:noWrap/>
            <w:vAlign w:val="bottom"/>
            <w:hideMark/>
          </w:tcPr>
          <w:p w14:paraId="7BD9CFE7"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40%</w:t>
            </w:r>
          </w:p>
        </w:tc>
        <w:tc>
          <w:tcPr>
            <w:tcW w:w="1100" w:type="dxa"/>
            <w:tcBorders>
              <w:top w:val="nil"/>
              <w:left w:val="nil"/>
              <w:bottom w:val="nil"/>
              <w:right w:val="nil"/>
            </w:tcBorders>
            <w:shd w:val="clear" w:color="auto" w:fill="auto"/>
            <w:noWrap/>
            <w:vAlign w:val="bottom"/>
            <w:hideMark/>
          </w:tcPr>
          <w:p w14:paraId="6E09DB28"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30%</w:t>
            </w:r>
          </w:p>
        </w:tc>
        <w:tc>
          <w:tcPr>
            <w:tcW w:w="1260" w:type="dxa"/>
            <w:tcBorders>
              <w:top w:val="nil"/>
              <w:left w:val="nil"/>
              <w:bottom w:val="nil"/>
              <w:right w:val="nil"/>
            </w:tcBorders>
            <w:shd w:val="clear" w:color="auto" w:fill="auto"/>
            <w:noWrap/>
            <w:vAlign w:val="bottom"/>
            <w:hideMark/>
          </w:tcPr>
          <w:p w14:paraId="0B2992AF"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30%</w:t>
            </w:r>
          </w:p>
        </w:tc>
      </w:tr>
      <w:tr w:rsidR="00697230" w:rsidRPr="00597963" w14:paraId="329C2FF0" w14:textId="77777777" w:rsidTr="005E2E61">
        <w:trPr>
          <w:trHeight w:val="300"/>
        </w:trPr>
        <w:tc>
          <w:tcPr>
            <w:tcW w:w="2560" w:type="dxa"/>
            <w:tcBorders>
              <w:top w:val="nil"/>
              <w:left w:val="nil"/>
              <w:bottom w:val="nil"/>
              <w:right w:val="nil"/>
            </w:tcBorders>
            <w:shd w:val="clear" w:color="auto" w:fill="auto"/>
            <w:noWrap/>
            <w:vAlign w:val="bottom"/>
            <w:hideMark/>
          </w:tcPr>
          <w:p w14:paraId="2086CE24"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Too many lessons</w:t>
            </w:r>
          </w:p>
        </w:tc>
        <w:tc>
          <w:tcPr>
            <w:tcW w:w="1160" w:type="dxa"/>
            <w:tcBorders>
              <w:top w:val="nil"/>
              <w:left w:val="nil"/>
              <w:bottom w:val="nil"/>
              <w:right w:val="nil"/>
            </w:tcBorders>
            <w:shd w:val="clear" w:color="auto" w:fill="auto"/>
            <w:noWrap/>
            <w:vAlign w:val="bottom"/>
            <w:hideMark/>
          </w:tcPr>
          <w:p w14:paraId="6E9EF78B"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30%</w:t>
            </w:r>
          </w:p>
        </w:tc>
        <w:tc>
          <w:tcPr>
            <w:tcW w:w="1340" w:type="dxa"/>
            <w:tcBorders>
              <w:top w:val="nil"/>
              <w:left w:val="nil"/>
              <w:bottom w:val="nil"/>
              <w:right w:val="nil"/>
            </w:tcBorders>
            <w:shd w:val="clear" w:color="auto" w:fill="auto"/>
            <w:noWrap/>
            <w:vAlign w:val="bottom"/>
            <w:hideMark/>
          </w:tcPr>
          <w:p w14:paraId="638B7FBD"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25%</w:t>
            </w:r>
          </w:p>
        </w:tc>
        <w:tc>
          <w:tcPr>
            <w:tcW w:w="937" w:type="dxa"/>
            <w:tcBorders>
              <w:top w:val="nil"/>
              <w:left w:val="nil"/>
              <w:bottom w:val="nil"/>
              <w:right w:val="nil"/>
            </w:tcBorders>
            <w:shd w:val="clear" w:color="auto" w:fill="auto"/>
            <w:noWrap/>
            <w:vAlign w:val="bottom"/>
            <w:hideMark/>
          </w:tcPr>
          <w:p w14:paraId="79B05364"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26%</w:t>
            </w:r>
          </w:p>
        </w:tc>
        <w:tc>
          <w:tcPr>
            <w:tcW w:w="1179" w:type="dxa"/>
            <w:tcBorders>
              <w:top w:val="nil"/>
              <w:left w:val="nil"/>
              <w:bottom w:val="nil"/>
              <w:right w:val="nil"/>
            </w:tcBorders>
            <w:shd w:val="clear" w:color="auto" w:fill="auto"/>
            <w:noWrap/>
            <w:vAlign w:val="bottom"/>
            <w:hideMark/>
          </w:tcPr>
          <w:p w14:paraId="7C7C2C72"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29%</w:t>
            </w:r>
          </w:p>
        </w:tc>
        <w:tc>
          <w:tcPr>
            <w:tcW w:w="1281" w:type="dxa"/>
            <w:tcBorders>
              <w:top w:val="nil"/>
              <w:left w:val="nil"/>
              <w:bottom w:val="nil"/>
              <w:right w:val="nil"/>
            </w:tcBorders>
            <w:shd w:val="clear" w:color="auto" w:fill="auto"/>
            <w:noWrap/>
            <w:vAlign w:val="bottom"/>
            <w:hideMark/>
          </w:tcPr>
          <w:p w14:paraId="42C1FAD7"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40%</w:t>
            </w:r>
          </w:p>
        </w:tc>
        <w:tc>
          <w:tcPr>
            <w:tcW w:w="1100" w:type="dxa"/>
            <w:tcBorders>
              <w:top w:val="nil"/>
              <w:left w:val="nil"/>
              <w:bottom w:val="nil"/>
              <w:right w:val="nil"/>
            </w:tcBorders>
            <w:shd w:val="clear" w:color="auto" w:fill="auto"/>
            <w:noWrap/>
            <w:vAlign w:val="bottom"/>
            <w:hideMark/>
          </w:tcPr>
          <w:p w14:paraId="26C0D376"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24%</w:t>
            </w:r>
          </w:p>
        </w:tc>
        <w:tc>
          <w:tcPr>
            <w:tcW w:w="1260" w:type="dxa"/>
            <w:tcBorders>
              <w:top w:val="nil"/>
              <w:left w:val="nil"/>
              <w:bottom w:val="nil"/>
              <w:right w:val="nil"/>
            </w:tcBorders>
            <w:shd w:val="clear" w:color="auto" w:fill="auto"/>
            <w:noWrap/>
            <w:vAlign w:val="bottom"/>
            <w:hideMark/>
          </w:tcPr>
          <w:p w14:paraId="4E7D2909"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22%</w:t>
            </w:r>
          </w:p>
        </w:tc>
      </w:tr>
      <w:tr w:rsidR="00697230" w:rsidRPr="00597963" w14:paraId="77E2B99A" w14:textId="77777777" w:rsidTr="005E2E61">
        <w:trPr>
          <w:trHeight w:val="300"/>
        </w:trPr>
        <w:tc>
          <w:tcPr>
            <w:tcW w:w="2560" w:type="dxa"/>
            <w:tcBorders>
              <w:top w:val="nil"/>
              <w:left w:val="nil"/>
              <w:bottom w:val="nil"/>
              <w:right w:val="nil"/>
            </w:tcBorders>
            <w:shd w:val="clear" w:color="auto" w:fill="auto"/>
            <w:noWrap/>
            <w:vAlign w:val="bottom"/>
            <w:hideMark/>
          </w:tcPr>
          <w:p w14:paraId="2CE7D2B8"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Too much marking</w:t>
            </w:r>
          </w:p>
        </w:tc>
        <w:tc>
          <w:tcPr>
            <w:tcW w:w="1160" w:type="dxa"/>
            <w:tcBorders>
              <w:top w:val="nil"/>
              <w:left w:val="nil"/>
              <w:bottom w:val="nil"/>
              <w:right w:val="nil"/>
            </w:tcBorders>
            <w:shd w:val="clear" w:color="auto" w:fill="auto"/>
            <w:noWrap/>
            <w:vAlign w:val="bottom"/>
            <w:hideMark/>
          </w:tcPr>
          <w:p w14:paraId="548BB017"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33%</w:t>
            </w:r>
          </w:p>
        </w:tc>
        <w:tc>
          <w:tcPr>
            <w:tcW w:w="1340" w:type="dxa"/>
            <w:tcBorders>
              <w:top w:val="nil"/>
              <w:left w:val="nil"/>
              <w:bottom w:val="nil"/>
              <w:right w:val="nil"/>
            </w:tcBorders>
            <w:shd w:val="clear" w:color="auto" w:fill="auto"/>
            <w:noWrap/>
            <w:vAlign w:val="bottom"/>
            <w:hideMark/>
          </w:tcPr>
          <w:p w14:paraId="0DEF34A1"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45%</w:t>
            </w:r>
          </w:p>
        </w:tc>
        <w:tc>
          <w:tcPr>
            <w:tcW w:w="937" w:type="dxa"/>
            <w:tcBorders>
              <w:top w:val="nil"/>
              <w:left w:val="nil"/>
              <w:bottom w:val="nil"/>
              <w:right w:val="nil"/>
            </w:tcBorders>
            <w:shd w:val="clear" w:color="auto" w:fill="auto"/>
            <w:noWrap/>
            <w:vAlign w:val="bottom"/>
            <w:hideMark/>
          </w:tcPr>
          <w:p w14:paraId="2CC2C8E6"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43%</w:t>
            </w:r>
          </w:p>
        </w:tc>
        <w:tc>
          <w:tcPr>
            <w:tcW w:w="1179" w:type="dxa"/>
            <w:tcBorders>
              <w:top w:val="nil"/>
              <w:left w:val="nil"/>
              <w:bottom w:val="nil"/>
              <w:right w:val="nil"/>
            </w:tcBorders>
            <w:shd w:val="clear" w:color="auto" w:fill="auto"/>
            <w:noWrap/>
            <w:vAlign w:val="bottom"/>
            <w:hideMark/>
          </w:tcPr>
          <w:p w14:paraId="47A1F32D"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54%</w:t>
            </w:r>
          </w:p>
        </w:tc>
        <w:tc>
          <w:tcPr>
            <w:tcW w:w="1281" w:type="dxa"/>
            <w:tcBorders>
              <w:top w:val="nil"/>
              <w:left w:val="nil"/>
              <w:bottom w:val="nil"/>
              <w:right w:val="nil"/>
            </w:tcBorders>
            <w:shd w:val="clear" w:color="auto" w:fill="auto"/>
            <w:noWrap/>
            <w:vAlign w:val="bottom"/>
            <w:hideMark/>
          </w:tcPr>
          <w:p w14:paraId="2AFAD419"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71%</w:t>
            </w:r>
          </w:p>
        </w:tc>
        <w:tc>
          <w:tcPr>
            <w:tcW w:w="1100" w:type="dxa"/>
            <w:tcBorders>
              <w:top w:val="nil"/>
              <w:left w:val="nil"/>
              <w:bottom w:val="nil"/>
              <w:right w:val="nil"/>
            </w:tcBorders>
            <w:shd w:val="clear" w:color="auto" w:fill="auto"/>
            <w:noWrap/>
            <w:vAlign w:val="bottom"/>
            <w:hideMark/>
          </w:tcPr>
          <w:p w14:paraId="73A7993F"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51%</w:t>
            </w:r>
          </w:p>
        </w:tc>
        <w:tc>
          <w:tcPr>
            <w:tcW w:w="1260" w:type="dxa"/>
            <w:tcBorders>
              <w:top w:val="nil"/>
              <w:left w:val="nil"/>
              <w:bottom w:val="nil"/>
              <w:right w:val="nil"/>
            </w:tcBorders>
            <w:shd w:val="clear" w:color="auto" w:fill="auto"/>
            <w:noWrap/>
            <w:vAlign w:val="bottom"/>
            <w:hideMark/>
          </w:tcPr>
          <w:p w14:paraId="7FAF01BD"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38%</w:t>
            </w:r>
          </w:p>
        </w:tc>
      </w:tr>
      <w:tr w:rsidR="00697230" w:rsidRPr="00597963" w14:paraId="1282D41D" w14:textId="77777777" w:rsidTr="005E2E61">
        <w:trPr>
          <w:trHeight w:val="300"/>
        </w:trPr>
        <w:tc>
          <w:tcPr>
            <w:tcW w:w="2560" w:type="dxa"/>
            <w:tcBorders>
              <w:top w:val="nil"/>
              <w:left w:val="nil"/>
              <w:bottom w:val="nil"/>
              <w:right w:val="nil"/>
            </w:tcBorders>
            <w:shd w:val="clear" w:color="auto" w:fill="auto"/>
            <w:noWrap/>
            <w:vAlign w:val="bottom"/>
            <w:hideMark/>
          </w:tcPr>
          <w:p w14:paraId="4FF73238"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Too much admin</w:t>
            </w:r>
          </w:p>
        </w:tc>
        <w:tc>
          <w:tcPr>
            <w:tcW w:w="1160" w:type="dxa"/>
            <w:tcBorders>
              <w:top w:val="nil"/>
              <w:left w:val="nil"/>
              <w:bottom w:val="nil"/>
              <w:right w:val="nil"/>
            </w:tcBorders>
            <w:shd w:val="clear" w:color="auto" w:fill="auto"/>
            <w:noWrap/>
            <w:vAlign w:val="bottom"/>
            <w:hideMark/>
          </w:tcPr>
          <w:p w14:paraId="594E7020"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50%</w:t>
            </w:r>
          </w:p>
        </w:tc>
        <w:tc>
          <w:tcPr>
            <w:tcW w:w="1340" w:type="dxa"/>
            <w:tcBorders>
              <w:top w:val="nil"/>
              <w:left w:val="nil"/>
              <w:bottom w:val="nil"/>
              <w:right w:val="nil"/>
            </w:tcBorders>
            <w:shd w:val="clear" w:color="auto" w:fill="auto"/>
            <w:noWrap/>
            <w:vAlign w:val="bottom"/>
            <w:hideMark/>
          </w:tcPr>
          <w:p w14:paraId="3130570A"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57%</w:t>
            </w:r>
          </w:p>
        </w:tc>
        <w:tc>
          <w:tcPr>
            <w:tcW w:w="937" w:type="dxa"/>
            <w:tcBorders>
              <w:top w:val="nil"/>
              <w:left w:val="nil"/>
              <w:bottom w:val="nil"/>
              <w:right w:val="nil"/>
            </w:tcBorders>
            <w:shd w:val="clear" w:color="auto" w:fill="auto"/>
            <w:noWrap/>
            <w:vAlign w:val="bottom"/>
            <w:hideMark/>
          </w:tcPr>
          <w:p w14:paraId="2687E530"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31%</w:t>
            </w:r>
          </w:p>
        </w:tc>
        <w:tc>
          <w:tcPr>
            <w:tcW w:w="1179" w:type="dxa"/>
            <w:tcBorders>
              <w:top w:val="nil"/>
              <w:left w:val="nil"/>
              <w:bottom w:val="nil"/>
              <w:right w:val="nil"/>
            </w:tcBorders>
            <w:shd w:val="clear" w:color="auto" w:fill="auto"/>
            <w:noWrap/>
            <w:vAlign w:val="bottom"/>
            <w:hideMark/>
          </w:tcPr>
          <w:p w14:paraId="46703203"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59%</w:t>
            </w:r>
          </w:p>
        </w:tc>
        <w:tc>
          <w:tcPr>
            <w:tcW w:w="1281" w:type="dxa"/>
            <w:tcBorders>
              <w:top w:val="nil"/>
              <w:left w:val="nil"/>
              <w:bottom w:val="nil"/>
              <w:right w:val="nil"/>
            </w:tcBorders>
            <w:shd w:val="clear" w:color="auto" w:fill="auto"/>
            <w:noWrap/>
            <w:vAlign w:val="bottom"/>
            <w:hideMark/>
          </w:tcPr>
          <w:p w14:paraId="593B732E"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66%</w:t>
            </w:r>
          </w:p>
        </w:tc>
        <w:tc>
          <w:tcPr>
            <w:tcW w:w="1100" w:type="dxa"/>
            <w:tcBorders>
              <w:top w:val="nil"/>
              <w:left w:val="nil"/>
              <w:bottom w:val="nil"/>
              <w:right w:val="nil"/>
            </w:tcBorders>
            <w:shd w:val="clear" w:color="auto" w:fill="auto"/>
            <w:noWrap/>
            <w:vAlign w:val="bottom"/>
            <w:hideMark/>
          </w:tcPr>
          <w:p w14:paraId="58BEA099"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67%</w:t>
            </w:r>
          </w:p>
        </w:tc>
        <w:tc>
          <w:tcPr>
            <w:tcW w:w="1260" w:type="dxa"/>
            <w:tcBorders>
              <w:top w:val="nil"/>
              <w:left w:val="nil"/>
              <w:bottom w:val="nil"/>
              <w:right w:val="nil"/>
            </w:tcBorders>
            <w:shd w:val="clear" w:color="auto" w:fill="auto"/>
            <w:noWrap/>
            <w:vAlign w:val="bottom"/>
            <w:hideMark/>
          </w:tcPr>
          <w:p w14:paraId="2423F536"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32%</w:t>
            </w:r>
          </w:p>
        </w:tc>
      </w:tr>
      <w:tr w:rsidR="00697230" w:rsidRPr="00597963" w14:paraId="105D038B" w14:textId="77777777" w:rsidTr="005E2E61">
        <w:trPr>
          <w:trHeight w:val="300"/>
        </w:trPr>
        <w:tc>
          <w:tcPr>
            <w:tcW w:w="2560" w:type="dxa"/>
            <w:tcBorders>
              <w:top w:val="nil"/>
              <w:left w:val="nil"/>
              <w:bottom w:val="single" w:sz="4" w:space="0" w:color="auto"/>
              <w:right w:val="nil"/>
            </w:tcBorders>
            <w:shd w:val="clear" w:color="auto" w:fill="auto"/>
            <w:noWrap/>
            <w:vAlign w:val="bottom"/>
            <w:hideMark/>
          </w:tcPr>
          <w:p w14:paraId="4010188E" w14:textId="77777777" w:rsidR="00697230" w:rsidRPr="00597963" w:rsidRDefault="00697230" w:rsidP="005E2E61">
            <w:pPr>
              <w:spacing w:after="0" w:line="240" w:lineRule="auto"/>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Extra duties</w:t>
            </w:r>
          </w:p>
        </w:tc>
        <w:tc>
          <w:tcPr>
            <w:tcW w:w="1160" w:type="dxa"/>
            <w:tcBorders>
              <w:top w:val="nil"/>
              <w:left w:val="nil"/>
              <w:bottom w:val="single" w:sz="4" w:space="0" w:color="auto"/>
              <w:right w:val="nil"/>
            </w:tcBorders>
            <w:shd w:val="clear" w:color="auto" w:fill="auto"/>
            <w:noWrap/>
            <w:vAlign w:val="bottom"/>
            <w:hideMark/>
          </w:tcPr>
          <w:p w14:paraId="448AC605"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14%</w:t>
            </w:r>
          </w:p>
        </w:tc>
        <w:tc>
          <w:tcPr>
            <w:tcW w:w="1340" w:type="dxa"/>
            <w:tcBorders>
              <w:top w:val="nil"/>
              <w:left w:val="nil"/>
              <w:bottom w:val="single" w:sz="4" w:space="0" w:color="auto"/>
              <w:right w:val="nil"/>
            </w:tcBorders>
            <w:shd w:val="clear" w:color="auto" w:fill="auto"/>
            <w:noWrap/>
            <w:vAlign w:val="bottom"/>
            <w:hideMark/>
          </w:tcPr>
          <w:p w14:paraId="1ADB7DC4"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24%</w:t>
            </w:r>
          </w:p>
        </w:tc>
        <w:tc>
          <w:tcPr>
            <w:tcW w:w="937" w:type="dxa"/>
            <w:tcBorders>
              <w:top w:val="nil"/>
              <w:left w:val="nil"/>
              <w:bottom w:val="single" w:sz="4" w:space="0" w:color="auto"/>
              <w:right w:val="nil"/>
            </w:tcBorders>
            <w:shd w:val="clear" w:color="auto" w:fill="auto"/>
            <w:noWrap/>
            <w:vAlign w:val="bottom"/>
            <w:hideMark/>
          </w:tcPr>
          <w:p w14:paraId="71749AC5"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12%</w:t>
            </w:r>
          </w:p>
        </w:tc>
        <w:tc>
          <w:tcPr>
            <w:tcW w:w="1179" w:type="dxa"/>
            <w:tcBorders>
              <w:top w:val="nil"/>
              <w:left w:val="nil"/>
              <w:bottom w:val="single" w:sz="4" w:space="0" w:color="auto"/>
              <w:right w:val="nil"/>
            </w:tcBorders>
            <w:shd w:val="clear" w:color="auto" w:fill="auto"/>
            <w:noWrap/>
            <w:vAlign w:val="bottom"/>
            <w:hideMark/>
          </w:tcPr>
          <w:p w14:paraId="21627E37"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21%</w:t>
            </w:r>
          </w:p>
        </w:tc>
        <w:tc>
          <w:tcPr>
            <w:tcW w:w="1281" w:type="dxa"/>
            <w:tcBorders>
              <w:top w:val="nil"/>
              <w:left w:val="nil"/>
              <w:bottom w:val="single" w:sz="4" w:space="0" w:color="auto"/>
              <w:right w:val="nil"/>
            </w:tcBorders>
            <w:shd w:val="clear" w:color="auto" w:fill="auto"/>
            <w:noWrap/>
            <w:vAlign w:val="bottom"/>
            <w:hideMark/>
          </w:tcPr>
          <w:p w14:paraId="5A90C731"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31%</w:t>
            </w:r>
          </w:p>
        </w:tc>
        <w:tc>
          <w:tcPr>
            <w:tcW w:w="1100" w:type="dxa"/>
            <w:tcBorders>
              <w:top w:val="nil"/>
              <w:left w:val="nil"/>
              <w:bottom w:val="single" w:sz="4" w:space="0" w:color="auto"/>
              <w:right w:val="nil"/>
            </w:tcBorders>
            <w:shd w:val="clear" w:color="auto" w:fill="auto"/>
            <w:noWrap/>
            <w:vAlign w:val="bottom"/>
            <w:hideMark/>
          </w:tcPr>
          <w:p w14:paraId="7F367A04"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23%</w:t>
            </w:r>
          </w:p>
        </w:tc>
        <w:tc>
          <w:tcPr>
            <w:tcW w:w="1260" w:type="dxa"/>
            <w:tcBorders>
              <w:top w:val="nil"/>
              <w:left w:val="nil"/>
              <w:bottom w:val="single" w:sz="4" w:space="0" w:color="auto"/>
              <w:right w:val="nil"/>
            </w:tcBorders>
            <w:shd w:val="clear" w:color="auto" w:fill="auto"/>
            <w:noWrap/>
            <w:vAlign w:val="bottom"/>
            <w:hideMark/>
          </w:tcPr>
          <w:p w14:paraId="67F3D5C6" w14:textId="77777777" w:rsidR="00697230" w:rsidRPr="00597963" w:rsidRDefault="00697230" w:rsidP="005E2E61">
            <w:pPr>
              <w:spacing w:after="0" w:line="240" w:lineRule="auto"/>
              <w:jc w:val="center"/>
              <w:rPr>
                <w:rFonts w:ascii="Times New Roman" w:eastAsia="Times New Roman" w:hAnsi="Times New Roman" w:cs="Times New Roman"/>
                <w:color w:val="000000"/>
                <w:lang w:eastAsia="en-GB"/>
              </w:rPr>
            </w:pPr>
            <w:r w:rsidRPr="00597963">
              <w:rPr>
                <w:rFonts w:ascii="Times New Roman" w:eastAsia="Times New Roman" w:hAnsi="Times New Roman" w:cs="Times New Roman"/>
                <w:color w:val="000000"/>
                <w:lang w:eastAsia="en-GB"/>
              </w:rPr>
              <w:t>11%</w:t>
            </w:r>
          </w:p>
        </w:tc>
      </w:tr>
    </w:tbl>
    <w:p w14:paraId="5B5DB393" w14:textId="1C391981" w:rsidR="00697230" w:rsidRPr="00C05DC9" w:rsidRDefault="00697230" w:rsidP="00697230">
      <w:pPr>
        <w:jc w:val="both"/>
        <w:rPr>
          <w:rFonts w:ascii="Times New Roman" w:hAnsi="Times New Roman" w:cs="Times New Roman"/>
          <w:sz w:val="20"/>
          <w:szCs w:val="20"/>
        </w:rPr>
      </w:pPr>
      <w:r w:rsidRPr="007400F9">
        <w:rPr>
          <w:rFonts w:ascii="Times New Roman" w:hAnsi="Times New Roman" w:cs="Times New Roman"/>
          <w:sz w:val="20"/>
          <w:szCs w:val="20"/>
        </w:rPr>
        <w:t xml:space="preserve">Note Figures refer to percentage of teachers who selected either </w:t>
      </w:r>
      <w:r w:rsidR="00EA54E4">
        <w:rPr>
          <w:rFonts w:ascii="Times New Roman" w:hAnsi="Times New Roman" w:cs="Times New Roman"/>
          <w:sz w:val="20"/>
          <w:szCs w:val="20"/>
        </w:rPr>
        <w:t>‘</w:t>
      </w:r>
      <w:r w:rsidRPr="007400F9">
        <w:rPr>
          <w:rFonts w:ascii="Times New Roman" w:hAnsi="Times New Roman" w:cs="Times New Roman"/>
          <w:sz w:val="20"/>
          <w:szCs w:val="20"/>
        </w:rPr>
        <w:t>quite a bit</w:t>
      </w:r>
      <w:r w:rsidR="00EA54E4">
        <w:rPr>
          <w:rFonts w:ascii="Times New Roman" w:hAnsi="Times New Roman" w:cs="Times New Roman"/>
          <w:sz w:val="20"/>
          <w:szCs w:val="20"/>
        </w:rPr>
        <w:t>’</w:t>
      </w:r>
      <w:r w:rsidRPr="007400F9">
        <w:rPr>
          <w:rFonts w:ascii="Times New Roman" w:hAnsi="Times New Roman" w:cs="Times New Roman"/>
          <w:sz w:val="20"/>
          <w:szCs w:val="20"/>
        </w:rPr>
        <w:t xml:space="preserve"> or </w:t>
      </w:r>
      <w:r w:rsidR="00EA54E4">
        <w:rPr>
          <w:rFonts w:ascii="Times New Roman" w:hAnsi="Times New Roman" w:cs="Times New Roman"/>
          <w:sz w:val="20"/>
          <w:szCs w:val="20"/>
        </w:rPr>
        <w:t>‘</w:t>
      </w:r>
      <w:r w:rsidRPr="007400F9">
        <w:rPr>
          <w:rFonts w:ascii="Times New Roman" w:hAnsi="Times New Roman" w:cs="Times New Roman"/>
          <w:sz w:val="20"/>
          <w:szCs w:val="20"/>
        </w:rPr>
        <w:t>a lot</w:t>
      </w:r>
      <w:r w:rsidR="00EA54E4">
        <w:rPr>
          <w:rFonts w:ascii="Times New Roman" w:hAnsi="Times New Roman" w:cs="Times New Roman"/>
          <w:sz w:val="20"/>
          <w:szCs w:val="20"/>
        </w:rPr>
        <w:t>’</w:t>
      </w:r>
      <w:r w:rsidRPr="007400F9">
        <w:rPr>
          <w:rFonts w:ascii="Times New Roman" w:hAnsi="Times New Roman" w:cs="Times New Roman"/>
          <w:sz w:val="20"/>
          <w:szCs w:val="20"/>
        </w:rPr>
        <w:t xml:space="preserve">. </w:t>
      </w:r>
      <w:r w:rsidR="00875EB6">
        <w:rPr>
          <w:rFonts w:ascii="Times New Roman" w:hAnsi="Times New Roman" w:cs="Times New Roman"/>
          <w:sz w:val="20"/>
          <w:szCs w:val="20"/>
        </w:rPr>
        <w:t>Source = TALIS 2018 dataset.</w:t>
      </w:r>
    </w:p>
    <w:p w14:paraId="3DB2062D" w14:textId="77777777" w:rsidR="00697230" w:rsidRDefault="00697230" w:rsidP="00697230">
      <w:pPr>
        <w:spacing w:line="360" w:lineRule="auto"/>
        <w:jc w:val="both"/>
        <w:rPr>
          <w:rFonts w:ascii="Times New Roman" w:hAnsi="Times New Roman" w:cs="Times New Roman"/>
          <w:sz w:val="24"/>
          <w:szCs w:val="24"/>
        </w:rPr>
      </w:pPr>
    </w:p>
    <w:p w14:paraId="34BF0491" w14:textId="119C9198"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Using the TALIS data we begin by estimating an Ordinary Least Squares regression model to examine the relationship between total working hours and teachers’ workload, stress and workplace wellbeing</w:t>
      </w:r>
      <w:r w:rsidRPr="00697230">
        <w:rPr>
          <w:rStyle w:val="FootnoteReference"/>
          <w:rFonts w:ascii="Times New Roman" w:hAnsi="Times New Roman" w:cs="Times New Roman"/>
          <w:sz w:val="24"/>
          <w:szCs w:val="24"/>
        </w:rPr>
        <w:footnoteReference w:id="27"/>
      </w:r>
      <w:r w:rsidRPr="00697230">
        <w:rPr>
          <w:rFonts w:ascii="Times New Roman" w:hAnsi="Times New Roman" w:cs="Times New Roman"/>
          <w:sz w:val="24"/>
          <w:szCs w:val="24"/>
        </w:rPr>
        <w:t>, with results reported in terms of effect sizes. We then re-estimate this model but now using non-parametric regression</w:t>
      </w:r>
      <w:r w:rsidRPr="00697230">
        <w:rPr>
          <w:rStyle w:val="FootnoteReference"/>
          <w:rFonts w:ascii="Times New Roman" w:hAnsi="Times New Roman" w:cs="Times New Roman"/>
          <w:sz w:val="24"/>
          <w:szCs w:val="24"/>
        </w:rPr>
        <w:footnoteReference w:id="28"/>
      </w:r>
      <w:r w:rsidRPr="00697230">
        <w:rPr>
          <w:rFonts w:ascii="Times New Roman" w:hAnsi="Times New Roman" w:cs="Times New Roman"/>
          <w:sz w:val="24"/>
          <w:szCs w:val="24"/>
        </w:rPr>
        <w:t xml:space="preserve">. This allows us to explore whether the relationship between teacher workload and wellbeing is linear, or if there is a certain maximum tolerable length of working week which, if exceeded, has a major negative impact upon teachers’ lives. Then, rather than focusing upon total working hours, we turn our attention to the time teachers spend upon six different tasks (teaching, lesson planning, marking, management and administration, </w:t>
      </w:r>
      <w:proofErr w:type="spellStart"/>
      <w:r w:rsidRPr="00697230">
        <w:rPr>
          <w:rFonts w:ascii="Times New Roman" w:hAnsi="Times New Roman" w:cs="Times New Roman"/>
          <w:sz w:val="24"/>
          <w:szCs w:val="24"/>
        </w:rPr>
        <w:t>teamworking</w:t>
      </w:r>
      <w:proofErr w:type="spellEnd"/>
      <w:r w:rsidRPr="00697230">
        <w:rPr>
          <w:rFonts w:ascii="Times New Roman" w:hAnsi="Times New Roman" w:cs="Times New Roman"/>
          <w:sz w:val="24"/>
          <w:szCs w:val="24"/>
        </w:rPr>
        <w:t xml:space="preserve"> and professional development, and other) and how this relates to their workload stress and wellbeing. This is done using the same regression modelling approach (OLS and non-parametric) outlined above. See Jerrim and Sims (2020b) for further details.</w:t>
      </w:r>
    </w:p>
    <w:p w14:paraId="1F1EF350" w14:textId="77777777" w:rsidR="00697230" w:rsidRPr="00697230" w:rsidRDefault="00697230" w:rsidP="008B4E20">
      <w:pPr>
        <w:pStyle w:val="ListParagraph"/>
        <w:numPr>
          <w:ilvl w:val="1"/>
          <w:numId w:val="31"/>
        </w:numPr>
        <w:spacing w:after="0" w:line="360" w:lineRule="auto"/>
        <w:jc w:val="both"/>
        <w:rPr>
          <w:rFonts w:ascii="Times New Roman" w:hAnsi="Times New Roman" w:cs="Times New Roman"/>
          <w:b/>
          <w:bCs/>
          <w:sz w:val="24"/>
          <w:szCs w:val="24"/>
        </w:rPr>
      </w:pPr>
      <w:r w:rsidRPr="00697230">
        <w:rPr>
          <w:rFonts w:ascii="Times New Roman" w:hAnsi="Times New Roman" w:cs="Times New Roman"/>
          <w:b/>
          <w:bCs/>
          <w:sz w:val="24"/>
          <w:szCs w:val="24"/>
        </w:rPr>
        <w:t xml:space="preserve"> The link between total working hours, workplace wellbeing and workload stress </w:t>
      </w:r>
    </w:p>
    <w:p w14:paraId="0169063A" w14:textId="3E8A2C91"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Table 10.3 begins by presenting OLS estimates of the relationship between teachers’ total working hours and their wellbeing. Results are provided for the association with both the workplace wellbeing and the workload stress scale. In all English-speaking jurisdictions, a modest positive association is observed. For a ten-hour increase in total working hours (roughly the difference between teachers’ total working hours in England and the OECD average), workplace stress increases by around 0.15 standard deviations. This pattern is consistent across countries, with few statistically significant cross-national differences in the estimated workload</w:t>
      </w:r>
      <w:r w:rsidR="00F941D7">
        <w:rPr>
          <w:rFonts w:ascii="Times New Roman" w:hAnsi="Times New Roman" w:cs="Times New Roman"/>
          <w:sz w:val="24"/>
          <w:szCs w:val="24"/>
        </w:rPr>
        <w:sym w:font="Symbol" w:char="F02D"/>
      </w:r>
      <w:r w:rsidRPr="00697230">
        <w:rPr>
          <w:rFonts w:ascii="Times New Roman" w:hAnsi="Times New Roman" w:cs="Times New Roman"/>
          <w:sz w:val="24"/>
          <w:szCs w:val="24"/>
        </w:rPr>
        <w:t xml:space="preserve">wellbeing relationship. </w:t>
      </w:r>
    </w:p>
    <w:p w14:paraId="3520A175" w14:textId="77777777" w:rsidR="00697230" w:rsidRDefault="00697230" w:rsidP="00697230">
      <w:pPr>
        <w:jc w:val="both"/>
        <w:rPr>
          <w:rFonts w:ascii="Times New Roman" w:hAnsi="Times New Roman" w:cs="Times New Roman"/>
        </w:rPr>
      </w:pPr>
    </w:p>
    <w:p w14:paraId="64C3CD5C" w14:textId="4F2C41EB" w:rsidR="00697230" w:rsidRDefault="00697230" w:rsidP="00697230">
      <w:pPr>
        <w:jc w:val="both"/>
        <w:rPr>
          <w:rFonts w:ascii="Times New Roman" w:hAnsi="Times New Roman" w:cs="Times New Roman"/>
        </w:rPr>
      </w:pPr>
    </w:p>
    <w:p w14:paraId="6FE9BCBE" w14:textId="74FAC632" w:rsidR="00697230" w:rsidRDefault="00697230" w:rsidP="00697230">
      <w:pPr>
        <w:jc w:val="both"/>
        <w:rPr>
          <w:rFonts w:ascii="Times New Roman" w:hAnsi="Times New Roman" w:cs="Times New Roman"/>
        </w:rPr>
      </w:pPr>
    </w:p>
    <w:p w14:paraId="5392720F" w14:textId="342E9A11" w:rsidR="00697230" w:rsidRDefault="00697230" w:rsidP="00697230">
      <w:pPr>
        <w:jc w:val="both"/>
        <w:rPr>
          <w:rFonts w:ascii="Times New Roman" w:hAnsi="Times New Roman" w:cs="Times New Roman"/>
        </w:rPr>
      </w:pPr>
    </w:p>
    <w:p w14:paraId="7AD9583C" w14:textId="7F1B02BC" w:rsidR="00697230" w:rsidRDefault="00697230" w:rsidP="00697230">
      <w:pPr>
        <w:jc w:val="both"/>
        <w:rPr>
          <w:rFonts w:ascii="Times New Roman" w:hAnsi="Times New Roman" w:cs="Times New Roman"/>
        </w:rPr>
      </w:pPr>
    </w:p>
    <w:p w14:paraId="4A44D9C3" w14:textId="4E62E43B" w:rsidR="00697230" w:rsidRDefault="00697230" w:rsidP="00697230">
      <w:pPr>
        <w:jc w:val="both"/>
        <w:rPr>
          <w:rFonts w:ascii="Times New Roman" w:hAnsi="Times New Roman" w:cs="Times New Roman"/>
        </w:rPr>
      </w:pPr>
    </w:p>
    <w:p w14:paraId="42DA95D5" w14:textId="77777777" w:rsidR="00697230" w:rsidRDefault="00697230" w:rsidP="00697230">
      <w:pPr>
        <w:jc w:val="both"/>
        <w:rPr>
          <w:rFonts w:ascii="Times New Roman" w:hAnsi="Times New Roman" w:cs="Times New Roman"/>
        </w:rPr>
      </w:pPr>
    </w:p>
    <w:p w14:paraId="69E7552C" w14:textId="074B0487" w:rsidR="00697230" w:rsidRPr="00697230" w:rsidRDefault="00697230" w:rsidP="00697230">
      <w:pPr>
        <w:spacing w:line="240" w:lineRule="auto"/>
        <w:jc w:val="center"/>
        <w:rPr>
          <w:rFonts w:ascii="Times New Roman" w:hAnsi="Times New Roman" w:cs="Times New Roman"/>
          <w:sz w:val="24"/>
          <w:szCs w:val="24"/>
        </w:rPr>
      </w:pPr>
      <w:r w:rsidRPr="00697230">
        <w:rPr>
          <w:rFonts w:ascii="Times New Roman" w:hAnsi="Times New Roman" w:cs="Times New Roman"/>
          <w:b/>
          <w:bCs/>
          <w:sz w:val="24"/>
          <w:szCs w:val="24"/>
        </w:rPr>
        <w:t>Table 10.3 OLS estimates of the relationship between total working hours and teacher wellbeing</w:t>
      </w:r>
    </w:p>
    <w:tbl>
      <w:tblPr>
        <w:tblW w:w="8120" w:type="dxa"/>
        <w:jc w:val="center"/>
        <w:tblLook w:val="04A0" w:firstRow="1" w:lastRow="0" w:firstColumn="1" w:lastColumn="0" w:noHBand="0" w:noVBand="1"/>
      </w:tblPr>
      <w:tblGrid>
        <w:gridCol w:w="2540"/>
        <w:gridCol w:w="1930"/>
        <w:gridCol w:w="810"/>
        <w:gridCol w:w="2001"/>
        <w:gridCol w:w="839"/>
      </w:tblGrid>
      <w:tr w:rsidR="00697230" w:rsidRPr="00A7676E" w14:paraId="3B44C543" w14:textId="77777777" w:rsidTr="005E2E61">
        <w:trPr>
          <w:trHeight w:val="300"/>
          <w:jc w:val="center"/>
        </w:trPr>
        <w:tc>
          <w:tcPr>
            <w:tcW w:w="2540" w:type="dxa"/>
            <w:tcBorders>
              <w:top w:val="single" w:sz="4" w:space="0" w:color="auto"/>
              <w:left w:val="nil"/>
              <w:bottom w:val="nil"/>
              <w:right w:val="nil"/>
            </w:tcBorders>
            <w:shd w:val="clear" w:color="000000" w:fill="DDEBF7"/>
            <w:noWrap/>
            <w:vAlign w:val="bottom"/>
            <w:hideMark/>
          </w:tcPr>
          <w:p w14:paraId="6ABB71B1" w14:textId="77777777" w:rsidR="00697230" w:rsidRPr="00A7676E" w:rsidRDefault="00697230" w:rsidP="005E2E61">
            <w:pPr>
              <w:spacing w:after="0" w:line="240" w:lineRule="auto"/>
              <w:rPr>
                <w:rFonts w:ascii="Times New Roman" w:eastAsia="Times New Roman" w:hAnsi="Times New Roman" w:cs="Times New Roman"/>
                <w:b/>
                <w:bCs/>
                <w:color w:val="000000"/>
                <w:lang w:eastAsia="en-GB"/>
              </w:rPr>
            </w:pPr>
            <w:r w:rsidRPr="00A7676E">
              <w:rPr>
                <w:rFonts w:ascii="Times New Roman" w:eastAsia="Times New Roman" w:hAnsi="Times New Roman" w:cs="Times New Roman"/>
                <w:b/>
                <w:bCs/>
                <w:color w:val="000000"/>
                <w:lang w:eastAsia="en-GB"/>
              </w:rPr>
              <w:t> </w:t>
            </w:r>
          </w:p>
        </w:tc>
        <w:tc>
          <w:tcPr>
            <w:tcW w:w="2740" w:type="dxa"/>
            <w:gridSpan w:val="2"/>
            <w:tcBorders>
              <w:top w:val="single" w:sz="4" w:space="0" w:color="auto"/>
              <w:left w:val="nil"/>
              <w:bottom w:val="nil"/>
              <w:right w:val="nil"/>
            </w:tcBorders>
            <w:shd w:val="clear" w:color="000000" w:fill="DDEBF7"/>
            <w:noWrap/>
            <w:vAlign w:val="bottom"/>
            <w:hideMark/>
          </w:tcPr>
          <w:p w14:paraId="3405850B" w14:textId="63F96F41" w:rsidR="00697230" w:rsidRPr="00A7676E" w:rsidRDefault="00697230" w:rsidP="005E2E61">
            <w:pPr>
              <w:spacing w:after="0" w:line="240" w:lineRule="auto"/>
              <w:jc w:val="center"/>
              <w:rPr>
                <w:rFonts w:ascii="Times New Roman" w:eastAsia="Times New Roman" w:hAnsi="Times New Roman" w:cs="Times New Roman"/>
                <w:b/>
                <w:bCs/>
                <w:color w:val="000000"/>
                <w:lang w:eastAsia="en-GB"/>
              </w:rPr>
            </w:pPr>
            <w:r w:rsidRPr="00A7676E">
              <w:rPr>
                <w:rFonts w:ascii="Times New Roman" w:eastAsia="Times New Roman" w:hAnsi="Times New Roman" w:cs="Times New Roman"/>
                <w:b/>
                <w:bCs/>
                <w:color w:val="000000"/>
                <w:lang w:eastAsia="en-GB"/>
              </w:rPr>
              <w:t>Workplace wellbeing</w:t>
            </w:r>
          </w:p>
        </w:tc>
        <w:tc>
          <w:tcPr>
            <w:tcW w:w="2840" w:type="dxa"/>
            <w:gridSpan w:val="2"/>
            <w:tcBorders>
              <w:top w:val="single" w:sz="4" w:space="0" w:color="auto"/>
              <w:left w:val="nil"/>
              <w:bottom w:val="nil"/>
              <w:right w:val="nil"/>
            </w:tcBorders>
            <w:shd w:val="clear" w:color="000000" w:fill="DDEBF7"/>
            <w:noWrap/>
            <w:vAlign w:val="bottom"/>
            <w:hideMark/>
          </w:tcPr>
          <w:p w14:paraId="52CDC67F" w14:textId="77777777" w:rsidR="00697230" w:rsidRPr="00A7676E" w:rsidRDefault="00697230" w:rsidP="005E2E61">
            <w:pPr>
              <w:spacing w:after="0" w:line="240" w:lineRule="auto"/>
              <w:jc w:val="center"/>
              <w:rPr>
                <w:rFonts w:ascii="Times New Roman" w:eastAsia="Times New Roman" w:hAnsi="Times New Roman" w:cs="Times New Roman"/>
                <w:b/>
                <w:bCs/>
                <w:color w:val="000000"/>
                <w:lang w:eastAsia="en-GB"/>
              </w:rPr>
            </w:pPr>
            <w:r w:rsidRPr="00A7676E">
              <w:rPr>
                <w:rFonts w:ascii="Times New Roman" w:eastAsia="Times New Roman" w:hAnsi="Times New Roman" w:cs="Times New Roman"/>
                <w:b/>
                <w:bCs/>
                <w:color w:val="000000"/>
                <w:lang w:eastAsia="en-GB"/>
              </w:rPr>
              <w:t>Workload stress</w:t>
            </w:r>
          </w:p>
        </w:tc>
      </w:tr>
      <w:tr w:rsidR="00697230" w:rsidRPr="00A7676E" w14:paraId="62D121A5" w14:textId="77777777" w:rsidTr="005E2E61">
        <w:trPr>
          <w:trHeight w:val="300"/>
          <w:jc w:val="center"/>
        </w:trPr>
        <w:tc>
          <w:tcPr>
            <w:tcW w:w="2540" w:type="dxa"/>
            <w:tcBorders>
              <w:top w:val="nil"/>
              <w:left w:val="nil"/>
              <w:bottom w:val="single" w:sz="4" w:space="0" w:color="auto"/>
              <w:right w:val="nil"/>
            </w:tcBorders>
            <w:shd w:val="clear" w:color="000000" w:fill="DDEBF7"/>
            <w:noWrap/>
            <w:vAlign w:val="bottom"/>
            <w:hideMark/>
          </w:tcPr>
          <w:p w14:paraId="58506DFC" w14:textId="77777777" w:rsidR="00697230" w:rsidRPr="00A7676E" w:rsidRDefault="00697230" w:rsidP="005E2E61">
            <w:pPr>
              <w:spacing w:after="0" w:line="240" w:lineRule="auto"/>
              <w:rPr>
                <w:rFonts w:ascii="Times New Roman" w:eastAsia="Times New Roman" w:hAnsi="Times New Roman" w:cs="Times New Roman"/>
                <w:b/>
                <w:bCs/>
                <w:color w:val="000000"/>
                <w:lang w:eastAsia="en-GB"/>
              </w:rPr>
            </w:pPr>
            <w:r w:rsidRPr="00A7676E">
              <w:rPr>
                <w:rFonts w:ascii="Times New Roman" w:eastAsia="Times New Roman" w:hAnsi="Times New Roman" w:cs="Times New Roman"/>
                <w:b/>
                <w:bCs/>
                <w:color w:val="000000"/>
                <w:lang w:eastAsia="en-GB"/>
              </w:rPr>
              <w:t> </w:t>
            </w:r>
          </w:p>
        </w:tc>
        <w:tc>
          <w:tcPr>
            <w:tcW w:w="1930" w:type="dxa"/>
            <w:tcBorders>
              <w:top w:val="nil"/>
              <w:left w:val="nil"/>
              <w:bottom w:val="single" w:sz="4" w:space="0" w:color="auto"/>
              <w:right w:val="nil"/>
            </w:tcBorders>
            <w:shd w:val="clear" w:color="000000" w:fill="DDEBF7"/>
            <w:noWrap/>
            <w:vAlign w:val="bottom"/>
            <w:hideMark/>
          </w:tcPr>
          <w:p w14:paraId="209843CD" w14:textId="77777777" w:rsidR="00697230" w:rsidRPr="00A7676E" w:rsidRDefault="00697230" w:rsidP="005E2E61">
            <w:pPr>
              <w:spacing w:after="0" w:line="240" w:lineRule="auto"/>
              <w:jc w:val="center"/>
              <w:rPr>
                <w:rFonts w:ascii="Times New Roman" w:eastAsia="Times New Roman" w:hAnsi="Times New Roman" w:cs="Times New Roman"/>
                <w:b/>
                <w:bCs/>
                <w:color w:val="000000"/>
                <w:lang w:eastAsia="en-GB"/>
              </w:rPr>
            </w:pPr>
            <w:r w:rsidRPr="00A7676E">
              <w:rPr>
                <w:rFonts w:ascii="Times New Roman" w:eastAsia="Times New Roman" w:hAnsi="Times New Roman" w:cs="Times New Roman"/>
                <w:b/>
                <w:bCs/>
                <w:color w:val="000000"/>
                <w:lang w:eastAsia="en-GB"/>
              </w:rPr>
              <w:t>Effect size</w:t>
            </w:r>
          </w:p>
        </w:tc>
        <w:tc>
          <w:tcPr>
            <w:tcW w:w="810" w:type="dxa"/>
            <w:tcBorders>
              <w:top w:val="nil"/>
              <w:left w:val="nil"/>
              <w:bottom w:val="single" w:sz="4" w:space="0" w:color="auto"/>
              <w:right w:val="nil"/>
            </w:tcBorders>
            <w:shd w:val="clear" w:color="000000" w:fill="DDEBF7"/>
            <w:noWrap/>
            <w:vAlign w:val="bottom"/>
            <w:hideMark/>
          </w:tcPr>
          <w:p w14:paraId="0C6DCE7E" w14:textId="77777777" w:rsidR="00697230" w:rsidRPr="00A7676E" w:rsidRDefault="00697230" w:rsidP="005E2E61">
            <w:pPr>
              <w:spacing w:after="0" w:line="240" w:lineRule="auto"/>
              <w:jc w:val="center"/>
              <w:rPr>
                <w:rFonts w:ascii="Times New Roman" w:eastAsia="Times New Roman" w:hAnsi="Times New Roman" w:cs="Times New Roman"/>
                <w:b/>
                <w:bCs/>
                <w:color w:val="000000"/>
                <w:lang w:eastAsia="en-GB"/>
              </w:rPr>
            </w:pPr>
            <w:r w:rsidRPr="00A7676E">
              <w:rPr>
                <w:rFonts w:ascii="Times New Roman" w:eastAsia="Times New Roman" w:hAnsi="Times New Roman" w:cs="Times New Roman"/>
                <w:b/>
                <w:bCs/>
                <w:color w:val="000000"/>
                <w:lang w:eastAsia="en-GB"/>
              </w:rPr>
              <w:t>SE</w:t>
            </w:r>
          </w:p>
        </w:tc>
        <w:tc>
          <w:tcPr>
            <w:tcW w:w="2001" w:type="dxa"/>
            <w:tcBorders>
              <w:top w:val="nil"/>
              <w:left w:val="nil"/>
              <w:bottom w:val="single" w:sz="4" w:space="0" w:color="auto"/>
              <w:right w:val="nil"/>
            </w:tcBorders>
            <w:shd w:val="clear" w:color="000000" w:fill="DDEBF7"/>
            <w:noWrap/>
            <w:vAlign w:val="bottom"/>
            <w:hideMark/>
          </w:tcPr>
          <w:p w14:paraId="6B976208" w14:textId="77777777" w:rsidR="00697230" w:rsidRPr="00A7676E" w:rsidRDefault="00697230" w:rsidP="005E2E61">
            <w:pPr>
              <w:spacing w:after="0" w:line="240" w:lineRule="auto"/>
              <w:jc w:val="center"/>
              <w:rPr>
                <w:rFonts w:ascii="Times New Roman" w:eastAsia="Times New Roman" w:hAnsi="Times New Roman" w:cs="Times New Roman"/>
                <w:b/>
                <w:bCs/>
                <w:color w:val="000000"/>
                <w:lang w:eastAsia="en-GB"/>
              </w:rPr>
            </w:pPr>
            <w:r w:rsidRPr="00A7676E">
              <w:rPr>
                <w:rFonts w:ascii="Times New Roman" w:eastAsia="Times New Roman" w:hAnsi="Times New Roman" w:cs="Times New Roman"/>
                <w:b/>
                <w:bCs/>
                <w:color w:val="000000"/>
                <w:lang w:eastAsia="en-GB"/>
              </w:rPr>
              <w:t>Effect size</w:t>
            </w:r>
          </w:p>
        </w:tc>
        <w:tc>
          <w:tcPr>
            <w:tcW w:w="839" w:type="dxa"/>
            <w:tcBorders>
              <w:top w:val="nil"/>
              <w:left w:val="nil"/>
              <w:bottom w:val="single" w:sz="4" w:space="0" w:color="auto"/>
              <w:right w:val="nil"/>
            </w:tcBorders>
            <w:shd w:val="clear" w:color="000000" w:fill="DDEBF7"/>
            <w:noWrap/>
            <w:vAlign w:val="bottom"/>
            <w:hideMark/>
          </w:tcPr>
          <w:p w14:paraId="2998B7D5" w14:textId="77777777" w:rsidR="00697230" w:rsidRPr="00A7676E" w:rsidRDefault="00697230" w:rsidP="005E2E61">
            <w:pPr>
              <w:spacing w:after="0" w:line="240" w:lineRule="auto"/>
              <w:jc w:val="center"/>
              <w:rPr>
                <w:rFonts w:ascii="Times New Roman" w:eastAsia="Times New Roman" w:hAnsi="Times New Roman" w:cs="Times New Roman"/>
                <w:b/>
                <w:bCs/>
                <w:color w:val="000000"/>
                <w:lang w:eastAsia="en-GB"/>
              </w:rPr>
            </w:pPr>
            <w:r w:rsidRPr="00A7676E">
              <w:rPr>
                <w:rFonts w:ascii="Times New Roman" w:eastAsia="Times New Roman" w:hAnsi="Times New Roman" w:cs="Times New Roman"/>
                <w:b/>
                <w:bCs/>
                <w:color w:val="000000"/>
                <w:lang w:eastAsia="en-GB"/>
              </w:rPr>
              <w:t>SE</w:t>
            </w:r>
          </w:p>
        </w:tc>
      </w:tr>
      <w:tr w:rsidR="00697230" w:rsidRPr="00A7676E" w14:paraId="2A758EB3" w14:textId="77777777" w:rsidTr="005E2E61">
        <w:trPr>
          <w:trHeight w:val="300"/>
          <w:jc w:val="center"/>
        </w:trPr>
        <w:tc>
          <w:tcPr>
            <w:tcW w:w="2540" w:type="dxa"/>
            <w:tcBorders>
              <w:top w:val="nil"/>
              <w:left w:val="nil"/>
              <w:bottom w:val="nil"/>
              <w:right w:val="nil"/>
            </w:tcBorders>
            <w:shd w:val="clear" w:color="auto" w:fill="auto"/>
            <w:noWrap/>
            <w:vAlign w:val="bottom"/>
            <w:hideMark/>
          </w:tcPr>
          <w:p w14:paraId="0C04AAC9" w14:textId="77777777" w:rsidR="00697230" w:rsidRPr="00A7676E" w:rsidRDefault="00697230" w:rsidP="005E2E61">
            <w:pPr>
              <w:spacing w:after="0" w:line="240" w:lineRule="auto"/>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 xml:space="preserve">England </w:t>
            </w:r>
            <w:r>
              <w:rPr>
                <w:rFonts w:ascii="Times New Roman" w:eastAsia="Times New Roman" w:hAnsi="Times New Roman" w:cs="Times New Roman"/>
                <w:color w:val="000000"/>
                <w:lang w:eastAsia="en-GB"/>
              </w:rPr>
              <w:t>–</w:t>
            </w:r>
            <w:r w:rsidRPr="00A7676E">
              <w:rPr>
                <w:rFonts w:ascii="Times New Roman" w:eastAsia="Times New Roman" w:hAnsi="Times New Roman" w:cs="Times New Roman"/>
                <w:color w:val="000000"/>
                <w:lang w:eastAsia="en-GB"/>
              </w:rPr>
              <w:t xml:space="preserve"> secondary</w:t>
            </w:r>
          </w:p>
        </w:tc>
        <w:tc>
          <w:tcPr>
            <w:tcW w:w="1930" w:type="dxa"/>
            <w:tcBorders>
              <w:top w:val="nil"/>
              <w:left w:val="nil"/>
              <w:bottom w:val="nil"/>
              <w:right w:val="nil"/>
            </w:tcBorders>
            <w:shd w:val="clear" w:color="auto" w:fill="auto"/>
            <w:noWrap/>
            <w:vAlign w:val="bottom"/>
            <w:hideMark/>
          </w:tcPr>
          <w:p w14:paraId="2A188D74"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0.20</w:t>
            </w:r>
            <w:r>
              <w:rPr>
                <w:rFonts w:ascii="Times New Roman" w:eastAsia="Times New Roman" w:hAnsi="Times New Roman" w:cs="Times New Roman"/>
                <w:color w:val="000000"/>
                <w:lang w:eastAsia="en-GB"/>
              </w:rPr>
              <w:t>*</w:t>
            </w:r>
          </w:p>
        </w:tc>
        <w:tc>
          <w:tcPr>
            <w:tcW w:w="810" w:type="dxa"/>
            <w:tcBorders>
              <w:top w:val="nil"/>
              <w:left w:val="nil"/>
              <w:bottom w:val="nil"/>
              <w:right w:val="nil"/>
            </w:tcBorders>
            <w:shd w:val="clear" w:color="auto" w:fill="auto"/>
            <w:noWrap/>
            <w:vAlign w:val="bottom"/>
            <w:hideMark/>
          </w:tcPr>
          <w:p w14:paraId="0AF769F8"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c>
          <w:tcPr>
            <w:tcW w:w="2001" w:type="dxa"/>
            <w:tcBorders>
              <w:top w:val="nil"/>
              <w:left w:val="nil"/>
              <w:bottom w:val="nil"/>
              <w:right w:val="nil"/>
            </w:tcBorders>
            <w:shd w:val="clear" w:color="auto" w:fill="auto"/>
            <w:noWrap/>
            <w:vAlign w:val="bottom"/>
            <w:hideMark/>
          </w:tcPr>
          <w:p w14:paraId="50A905DE"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0.13</w:t>
            </w:r>
            <w:r>
              <w:rPr>
                <w:rFonts w:ascii="Times New Roman" w:eastAsia="Times New Roman" w:hAnsi="Times New Roman" w:cs="Times New Roman"/>
                <w:color w:val="000000"/>
                <w:lang w:eastAsia="en-GB"/>
              </w:rPr>
              <w:t>*</w:t>
            </w:r>
          </w:p>
        </w:tc>
        <w:tc>
          <w:tcPr>
            <w:tcW w:w="839" w:type="dxa"/>
            <w:tcBorders>
              <w:top w:val="nil"/>
              <w:left w:val="nil"/>
              <w:bottom w:val="nil"/>
              <w:right w:val="nil"/>
            </w:tcBorders>
            <w:shd w:val="clear" w:color="auto" w:fill="auto"/>
            <w:noWrap/>
            <w:vAlign w:val="bottom"/>
            <w:hideMark/>
          </w:tcPr>
          <w:p w14:paraId="7F52E704"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r>
      <w:tr w:rsidR="00697230" w:rsidRPr="00A7676E" w14:paraId="4DA05441" w14:textId="77777777" w:rsidTr="005E2E61">
        <w:trPr>
          <w:trHeight w:val="300"/>
          <w:jc w:val="center"/>
        </w:trPr>
        <w:tc>
          <w:tcPr>
            <w:tcW w:w="2540" w:type="dxa"/>
            <w:tcBorders>
              <w:top w:val="nil"/>
              <w:left w:val="nil"/>
              <w:bottom w:val="nil"/>
              <w:right w:val="nil"/>
            </w:tcBorders>
            <w:shd w:val="clear" w:color="auto" w:fill="auto"/>
            <w:noWrap/>
            <w:vAlign w:val="bottom"/>
            <w:hideMark/>
          </w:tcPr>
          <w:p w14:paraId="7AF02172" w14:textId="77777777" w:rsidR="00697230" w:rsidRPr="00A7676E" w:rsidRDefault="00697230" w:rsidP="005E2E61">
            <w:pPr>
              <w:spacing w:after="0" w:line="240" w:lineRule="auto"/>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 xml:space="preserve">England </w:t>
            </w:r>
            <w:r>
              <w:rPr>
                <w:rFonts w:ascii="Times New Roman" w:eastAsia="Times New Roman" w:hAnsi="Times New Roman" w:cs="Times New Roman"/>
                <w:color w:val="000000"/>
                <w:lang w:eastAsia="en-GB"/>
              </w:rPr>
              <w:t>–</w:t>
            </w:r>
            <w:r w:rsidRPr="00A7676E">
              <w:rPr>
                <w:rFonts w:ascii="Times New Roman" w:eastAsia="Times New Roman" w:hAnsi="Times New Roman" w:cs="Times New Roman"/>
                <w:color w:val="000000"/>
                <w:lang w:eastAsia="en-GB"/>
              </w:rPr>
              <w:t xml:space="preserve"> primary</w:t>
            </w:r>
          </w:p>
        </w:tc>
        <w:tc>
          <w:tcPr>
            <w:tcW w:w="1930" w:type="dxa"/>
            <w:tcBorders>
              <w:top w:val="nil"/>
              <w:left w:val="nil"/>
              <w:bottom w:val="nil"/>
              <w:right w:val="nil"/>
            </w:tcBorders>
            <w:shd w:val="clear" w:color="auto" w:fill="auto"/>
            <w:noWrap/>
            <w:vAlign w:val="bottom"/>
            <w:hideMark/>
          </w:tcPr>
          <w:p w14:paraId="694009FF"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0.19</w:t>
            </w:r>
            <w:r>
              <w:rPr>
                <w:rFonts w:ascii="Times New Roman" w:eastAsia="Times New Roman" w:hAnsi="Times New Roman" w:cs="Times New Roman"/>
                <w:color w:val="000000"/>
                <w:lang w:eastAsia="en-GB"/>
              </w:rPr>
              <w:t>*</w:t>
            </w:r>
          </w:p>
        </w:tc>
        <w:tc>
          <w:tcPr>
            <w:tcW w:w="810" w:type="dxa"/>
            <w:tcBorders>
              <w:top w:val="nil"/>
              <w:left w:val="nil"/>
              <w:bottom w:val="nil"/>
              <w:right w:val="nil"/>
            </w:tcBorders>
            <w:shd w:val="clear" w:color="auto" w:fill="auto"/>
            <w:noWrap/>
            <w:vAlign w:val="bottom"/>
            <w:hideMark/>
          </w:tcPr>
          <w:p w14:paraId="58CC77F1"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c>
          <w:tcPr>
            <w:tcW w:w="2001" w:type="dxa"/>
            <w:tcBorders>
              <w:top w:val="nil"/>
              <w:left w:val="nil"/>
              <w:bottom w:val="nil"/>
              <w:right w:val="nil"/>
            </w:tcBorders>
            <w:shd w:val="clear" w:color="auto" w:fill="auto"/>
            <w:noWrap/>
            <w:vAlign w:val="bottom"/>
            <w:hideMark/>
          </w:tcPr>
          <w:p w14:paraId="37223F81"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0.18</w:t>
            </w:r>
            <w:r>
              <w:rPr>
                <w:rFonts w:ascii="Times New Roman" w:eastAsia="Times New Roman" w:hAnsi="Times New Roman" w:cs="Times New Roman"/>
                <w:color w:val="000000"/>
                <w:lang w:eastAsia="en-GB"/>
              </w:rPr>
              <w:t>*</w:t>
            </w:r>
          </w:p>
        </w:tc>
        <w:tc>
          <w:tcPr>
            <w:tcW w:w="839" w:type="dxa"/>
            <w:tcBorders>
              <w:top w:val="nil"/>
              <w:left w:val="nil"/>
              <w:bottom w:val="nil"/>
              <w:right w:val="nil"/>
            </w:tcBorders>
            <w:shd w:val="clear" w:color="auto" w:fill="auto"/>
            <w:noWrap/>
            <w:vAlign w:val="bottom"/>
            <w:hideMark/>
          </w:tcPr>
          <w:p w14:paraId="37EB015E"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r>
      <w:tr w:rsidR="00697230" w:rsidRPr="00A7676E" w14:paraId="3D55EBEF" w14:textId="77777777" w:rsidTr="005E2E61">
        <w:trPr>
          <w:trHeight w:val="300"/>
          <w:jc w:val="center"/>
        </w:trPr>
        <w:tc>
          <w:tcPr>
            <w:tcW w:w="2540" w:type="dxa"/>
            <w:tcBorders>
              <w:top w:val="nil"/>
              <w:left w:val="nil"/>
              <w:bottom w:val="nil"/>
              <w:right w:val="nil"/>
            </w:tcBorders>
            <w:shd w:val="clear" w:color="auto" w:fill="auto"/>
            <w:noWrap/>
            <w:vAlign w:val="bottom"/>
            <w:hideMark/>
          </w:tcPr>
          <w:p w14:paraId="1ACD2B0A" w14:textId="22351D59" w:rsidR="00697230" w:rsidRPr="00A7676E" w:rsidRDefault="00697230" w:rsidP="005E2E61">
            <w:pPr>
              <w:spacing w:after="0" w:line="240" w:lineRule="auto"/>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Alberta</w:t>
            </w:r>
            <w:r w:rsidR="002F08B1">
              <w:rPr>
                <w:rFonts w:ascii="Times New Roman" w:eastAsia="Times New Roman" w:hAnsi="Times New Roman" w:cs="Times New Roman"/>
                <w:color w:val="000000"/>
                <w:lang w:eastAsia="en-GB"/>
              </w:rPr>
              <w:t>, Canada</w:t>
            </w:r>
          </w:p>
        </w:tc>
        <w:tc>
          <w:tcPr>
            <w:tcW w:w="1930" w:type="dxa"/>
            <w:tcBorders>
              <w:top w:val="nil"/>
              <w:left w:val="nil"/>
              <w:bottom w:val="nil"/>
              <w:right w:val="nil"/>
            </w:tcBorders>
            <w:shd w:val="clear" w:color="auto" w:fill="auto"/>
            <w:noWrap/>
            <w:vAlign w:val="bottom"/>
            <w:hideMark/>
          </w:tcPr>
          <w:p w14:paraId="4BF8E7EA"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0.18</w:t>
            </w:r>
            <w:r>
              <w:rPr>
                <w:rFonts w:ascii="Times New Roman" w:eastAsia="Times New Roman" w:hAnsi="Times New Roman" w:cs="Times New Roman"/>
                <w:color w:val="000000"/>
                <w:lang w:eastAsia="en-GB"/>
              </w:rPr>
              <w:t>*</w:t>
            </w:r>
          </w:p>
        </w:tc>
        <w:tc>
          <w:tcPr>
            <w:tcW w:w="810" w:type="dxa"/>
            <w:tcBorders>
              <w:top w:val="nil"/>
              <w:left w:val="nil"/>
              <w:bottom w:val="nil"/>
              <w:right w:val="nil"/>
            </w:tcBorders>
            <w:shd w:val="clear" w:color="auto" w:fill="auto"/>
            <w:noWrap/>
            <w:vAlign w:val="bottom"/>
            <w:hideMark/>
          </w:tcPr>
          <w:p w14:paraId="26E5C836"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0.05</w:t>
            </w:r>
          </w:p>
        </w:tc>
        <w:tc>
          <w:tcPr>
            <w:tcW w:w="2001" w:type="dxa"/>
            <w:tcBorders>
              <w:top w:val="nil"/>
              <w:left w:val="nil"/>
              <w:bottom w:val="nil"/>
              <w:right w:val="nil"/>
            </w:tcBorders>
            <w:shd w:val="clear" w:color="auto" w:fill="auto"/>
            <w:noWrap/>
            <w:vAlign w:val="bottom"/>
            <w:hideMark/>
          </w:tcPr>
          <w:p w14:paraId="583E8F0A"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0.16</w:t>
            </w:r>
            <w:r>
              <w:rPr>
                <w:rFonts w:ascii="Times New Roman" w:eastAsia="Times New Roman" w:hAnsi="Times New Roman" w:cs="Times New Roman"/>
                <w:color w:val="000000"/>
                <w:lang w:eastAsia="en-GB"/>
              </w:rPr>
              <w:t>*</w:t>
            </w:r>
          </w:p>
        </w:tc>
        <w:tc>
          <w:tcPr>
            <w:tcW w:w="839" w:type="dxa"/>
            <w:tcBorders>
              <w:top w:val="nil"/>
              <w:left w:val="nil"/>
              <w:bottom w:val="nil"/>
              <w:right w:val="nil"/>
            </w:tcBorders>
            <w:shd w:val="clear" w:color="auto" w:fill="auto"/>
            <w:noWrap/>
            <w:vAlign w:val="bottom"/>
            <w:hideMark/>
          </w:tcPr>
          <w:p w14:paraId="73026126"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0.05</w:t>
            </w:r>
          </w:p>
        </w:tc>
      </w:tr>
      <w:tr w:rsidR="00697230" w:rsidRPr="00A7676E" w14:paraId="19ECBEEC" w14:textId="77777777" w:rsidTr="005E2E61">
        <w:trPr>
          <w:trHeight w:val="300"/>
          <w:jc w:val="center"/>
        </w:trPr>
        <w:tc>
          <w:tcPr>
            <w:tcW w:w="2540" w:type="dxa"/>
            <w:tcBorders>
              <w:top w:val="nil"/>
              <w:left w:val="nil"/>
              <w:bottom w:val="nil"/>
              <w:right w:val="nil"/>
            </w:tcBorders>
            <w:shd w:val="clear" w:color="auto" w:fill="auto"/>
            <w:noWrap/>
            <w:vAlign w:val="bottom"/>
            <w:hideMark/>
          </w:tcPr>
          <w:p w14:paraId="244916DA" w14:textId="77777777" w:rsidR="00697230" w:rsidRPr="00A7676E" w:rsidRDefault="00697230" w:rsidP="005E2E61">
            <w:pPr>
              <w:spacing w:after="0" w:line="240" w:lineRule="auto"/>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New Zealand</w:t>
            </w:r>
          </w:p>
        </w:tc>
        <w:tc>
          <w:tcPr>
            <w:tcW w:w="1930" w:type="dxa"/>
            <w:tcBorders>
              <w:top w:val="nil"/>
              <w:left w:val="nil"/>
              <w:bottom w:val="nil"/>
              <w:right w:val="nil"/>
            </w:tcBorders>
            <w:shd w:val="clear" w:color="auto" w:fill="auto"/>
            <w:noWrap/>
            <w:vAlign w:val="bottom"/>
            <w:hideMark/>
          </w:tcPr>
          <w:p w14:paraId="22FE79AC"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0.16</w:t>
            </w:r>
            <w:r>
              <w:rPr>
                <w:rFonts w:ascii="Times New Roman" w:eastAsia="Times New Roman" w:hAnsi="Times New Roman" w:cs="Times New Roman"/>
                <w:color w:val="000000"/>
                <w:lang w:eastAsia="en-GB"/>
              </w:rPr>
              <w:t>*</w:t>
            </w:r>
          </w:p>
        </w:tc>
        <w:tc>
          <w:tcPr>
            <w:tcW w:w="810" w:type="dxa"/>
            <w:tcBorders>
              <w:top w:val="nil"/>
              <w:left w:val="nil"/>
              <w:bottom w:val="nil"/>
              <w:right w:val="nil"/>
            </w:tcBorders>
            <w:shd w:val="clear" w:color="auto" w:fill="auto"/>
            <w:noWrap/>
            <w:vAlign w:val="bottom"/>
            <w:hideMark/>
          </w:tcPr>
          <w:p w14:paraId="178E721C"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c>
          <w:tcPr>
            <w:tcW w:w="2001" w:type="dxa"/>
            <w:tcBorders>
              <w:top w:val="nil"/>
              <w:left w:val="nil"/>
              <w:bottom w:val="nil"/>
              <w:right w:val="nil"/>
            </w:tcBorders>
            <w:shd w:val="clear" w:color="auto" w:fill="auto"/>
            <w:noWrap/>
            <w:vAlign w:val="bottom"/>
            <w:hideMark/>
          </w:tcPr>
          <w:p w14:paraId="4EBC5F9B"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0.14</w:t>
            </w:r>
            <w:r>
              <w:rPr>
                <w:rFonts w:ascii="Times New Roman" w:eastAsia="Times New Roman" w:hAnsi="Times New Roman" w:cs="Times New Roman"/>
                <w:color w:val="000000"/>
                <w:lang w:eastAsia="en-GB"/>
              </w:rPr>
              <w:t>*</w:t>
            </w:r>
          </w:p>
        </w:tc>
        <w:tc>
          <w:tcPr>
            <w:tcW w:w="839" w:type="dxa"/>
            <w:tcBorders>
              <w:top w:val="nil"/>
              <w:left w:val="nil"/>
              <w:bottom w:val="nil"/>
              <w:right w:val="nil"/>
            </w:tcBorders>
            <w:shd w:val="clear" w:color="auto" w:fill="auto"/>
            <w:noWrap/>
            <w:vAlign w:val="bottom"/>
            <w:hideMark/>
          </w:tcPr>
          <w:p w14:paraId="2BACA96F"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r>
      <w:tr w:rsidR="00697230" w:rsidRPr="00A7676E" w14:paraId="65AE1ED5" w14:textId="77777777" w:rsidTr="005E2E61">
        <w:trPr>
          <w:trHeight w:val="300"/>
          <w:jc w:val="center"/>
        </w:trPr>
        <w:tc>
          <w:tcPr>
            <w:tcW w:w="2540" w:type="dxa"/>
            <w:tcBorders>
              <w:top w:val="nil"/>
              <w:left w:val="nil"/>
              <w:bottom w:val="nil"/>
              <w:right w:val="nil"/>
            </w:tcBorders>
            <w:shd w:val="clear" w:color="auto" w:fill="auto"/>
            <w:noWrap/>
            <w:vAlign w:val="bottom"/>
            <w:hideMark/>
          </w:tcPr>
          <w:p w14:paraId="2A653509" w14:textId="77777777" w:rsidR="00697230" w:rsidRPr="00A7676E" w:rsidRDefault="00697230" w:rsidP="005E2E61">
            <w:pPr>
              <w:spacing w:after="0" w:line="240" w:lineRule="auto"/>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 xml:space="preserve">Australia </w:t>
            </w:r>
            <w:r>
              <w:rPr>
                <w:rFonts w:ascii="Times New Roman" w:eastAsia="Times New Roman" w:hAnsi="Times New Roman" w:cs="Times New Roman"/>
                <w:color w:val="000000"/>
                <w:lang w:eastAsia="en-GB"/>
              </w:rPr>
              <w:t>–</w:t>
            </w:r>
            <w:r w:rsidRPr="00A7676E">
              <w:rPr>
                <w:rFonts w:ascii="Times New Roman" w:eastAsia="Times New Roman" w:hAnsi="Times New Roman" w:cs="Times New Roman"/>
                <w:color w:val="000000"/>
                <w:lang w:eastAsia="en-GB"/>
              </w:rPr>
              <w:t xml:space="preserve"> primary</w:t>
            </w:r>
          </w:p>
        </w:tc>
        <w:tc>
          <w:tcPr>
            <w:tcW w:w="1930" w:type="dxa"/>
            <w:tcBorders>
              <w:top w:val="nil"/>
              <w:left w:val="nil"/>
              <w:bottom w:val="nil"/>
              <w:right w:val="nil"/>
            </w:tcBorders>
            <w:shd w:val="clear" w:color="auto" w:fill="auto"/>
            <w:noWrap/>
            <w:vAlign w:val="bottom"/>
            <w:hideMark/>
          </w:tcPr>
          <w:p w14:paraId="07B050D2"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0.15</w:t>
            </w:r>
            <w:r>
              <w:rPr>
                <w:rFonts w:ascii="Times New Roman" w:eastAsia="Times New Roman" w:hAnsi="Times New Roman" w:cs="Times New Roman"/>
                <w:color w:val="000000"/>
                <w:lang w:eastAsia="en-GB"/>
              </w:rPr>
              <w:t>*</w:t>
            </w:r>
          </w:p>
        </w:tc>
        <w:tc>
          <w:tcPr>
            <w:tcW w:w="810" w:type="dxa"/>
            <w:tcBorders>
              <w:top w:val="nil"/>
              <w:left w:val="nil"/>
              <w:bottom w:val="nil"/>
              <w:right w:val="nil"/>
            </w:tcBorders>
            <w:shd w:val="clear" w:color="auto" w:fill="auto"/>
            <w:noWrap/>
            <w:vAlign w:val="bottom"/>
            <w:hideMark/>
          </w:tcPr>
          <w:p w14:paraId="121944C2"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c>
          <w:tcPr>
            <w:tcW w:w="2001" w:type="dxa"/>
            <w:tcBorders>
              <w:top w:val="nil"/>
              <w:left w:val="nil"/>
              <w:bottom w:val="nil"/>
              <w:right w:val="nil"/>
            </w:tcBorders>
            <w:shd w:val="clear" w:color="auto" w:fill="auto"/>
            <w:noWrap/>
            <w:vAlign w:val="bottom"/>
            <w:hideMark/>
          </w:tcPr>
          <w:p w14:paraId="6E6F905A"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0.13</w:t>
            </w:r>
            <w:r>
              <w:rPr>
                <w:rFonts w:ascii="Times New Roman" w:eastAsia="Times New Roman" w:hAnsi="Times New Roman" w:cs="Times New Roman"/>
                <w:color w:val="000000"/>
                <w:lang w:eastAsia="en-GB"/>
              </w:rPr>
              <w:t>*</w:t>
            </w:r>
          </w:p>
        </w:tc>
        <w:tc>
          <w:tcPr>
            <w:tcW w:w="839" w:type="dxa"/>
            <w:tcBorders>
              <w:top w:val="nil"/>
              <w:left w:val="nil"/>
              <w:bottom w:val="nil"/>
              <w:right w:val="nil"/>
            </w:tcBorders>
            <w:shd w:val="clear" w:color="auto" w:fill="auto"/>
            <w:noWrap/>
            <w:vAlign w:val="bottom"/>
            <w:hideMark/>
          </w:tcPr>
          <w:p w14:paraId="4901D0A5"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r>
      <w:tr w:rsidR="00697230" w:rsidRPr="00A7676E" w14:paraId="52757C95" w14:textId="77777777" w:rsidTr="005E2E61">
        <w:trPr>
          <w:trHeight w:val="300"/>
          <w:jc w:val="center"/>
        </w:trPr>
        <w:tc>
          <w:tcPr>
            <w:tcW w:w="2540" w:type="dxa"/>
            <w:tcBorders>
              <w:top w:val="nil"/>
              <w:left w:val="nil"/>
              <w:bottom w:val="nil"/>
              <w:right w:val="nil"/>
            </w:tcBorders>
            <w:shd w:val="clear" w:color="auto" w:fill="auto"/>
            <w:noWrap/>
            <w:vAlign w:val="bottom"/>
            <w:hideMark/>
          </w:tcPr>
          <w:p w14:paraId="63E1C9DD" w14:textId="77777777" w:rsidR="00697230" w:rsidRPr="00A7676E" w:rsidRDefault="00697230" w:rsidP="005E2E61">
            <w:pPr>
              <w:spacing w:after="0" w:line="240" w:lineRule="auto"/>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 xml:space="preserve">Australia </w:t>
            </w:r>
            <w:r>
              <w:rPr>
                <w:rFonts w:ascii="Times New Roman" w:eastAsia="Times New Roman" w:hAnsi="Times New Roman" w:cs="Times New Roman"/>
                <w:color w:val="000000"/>
                <w:lang w:eastAsia="en-GB"/>
              </w:rPr>
              <w:t>–</w:t>
            </w:r>
            <w:r w:rsidRPr="00A7676E">
              <w:rPr>
                <w:rFonts w:ascii="Times New Roman" w:eastAsia="Times New Roman" w:hAnsi="Times New Roman" w:cs="Times New Roman"/>
                <w:color w:val="000000"/>
                <w:lang w:eastAsia="en-GB"/>
              </w:rPr>
              <w:t xml:space="preserve"> secondary</w:t>
            </w:r>
          </w:p>
        </w:tc>
        <w:tc>
          <w:tcPr>
            <w:tcW w:w="1930" w:type="dxa"/>
            <w:tcBorders>
              <w:top w:val="nil"/>
              <w:left w:val="nil"/>
              <w:bottom w:val="nil"/>
              <w:right w:val="nil"/>
            </w:tcBorders>
            <w:shd w:val="clear" w:color="auto" w:fill="auto"/>
            <w:noWrap/>
            <w:vAlign w:val="bottom"/>
            <w:hideMark/>
          </w:tcPr>
          <w:p w14:paraId="680A001F"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0.14</w:t>
            </w:r>
            <w:r>
              <w:rPr>
                <w:rFonts w:ascii="Times New Roman" w:eastAsia="Times New Roman" w:hAnsi="Times New Roman" w:cs="Times New Roman"/>
                <w:color w:val="000000"/>
                <w:lang w:eastAsia="en-GB"/>
              </w:rPr>
              <w:t>*</w:t>
            </w:r>
          </w:p>
        </w:tc>
        <w:tc>
          <w:tcPr>
            <w:tcW w:w="810" w:type="dxa"/>
            <w:tcBorders>
              <w:top w:val="nil"/>
              <w:left w:val="nil"/>
              <w:bottom w:val="nil"/>
              <w:right w:val="nil"/>
            </w:tcBorders>
            <w:shd w:val="clear" w:color="auto" w:fill="auto"/>
            <w:noWrap/>
            <w:vAlign w:val="bottom"/>
            <w:hideMark/>
          </w:tcPr>
          <w:p w14:paraId="62B3811F"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0.02</w:t>
            </w:r>
          </w:p>
        </w:tc>
        <w:tc>
          <w:tcPr>
            <w:tcW w:w="2001" w:type="dxa"/>
            <w:tcBorders>
              <w:top w:val="nil"/>
              <w:left w:val="nil"/>
              <w:bottom w:val="nil"/>
              <w:right w:val="nil"/>
            </w:tcBorders>
            <w:shd w:val="clear" w:color="auto" w:fill="auto"/>
            <w:noWrap/>
            <w:vAlign w:val="bottom"/>
            <w:hideMark/>
          </w:tcPr>
          <w:p w14:paraId="1B6D76A1"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0.13</w:t>
            </w:r>
            <w:r>
              <w:rPr>
                <w:rFonts w:ascii="Times New Roman" w:eastAsia="Times New Roman" w:hAnsi="Times New Roman" w:cs="Times New Roman"/>
                <w:color w:val="000000"/>
                <w:lang w:eastAsia="en-GB"/>
              </w:rPr>
              <w:t>*</w:t>
            </w:r>
          </w:p>
        </w:tc>
        <w:tc>
          <w:tcPr>
            <w:tcW w:w="839" w:type="dxa"/>
            <w:tcBorders>
              <w:top w:val="nil"/>
              <w:left w:val="nil"/>
              <w:bottom w:val="nil"/>
              <w:right w:val="nil"/>
            </w:tcBorders>
            <w:shd w:val="clear" w:color="auto" w:fill="auto"/>
            <w:noWrap/>
            <w:vAlign w:val="bottom"/>
            <w:hideMark/>
          </w:tcPr>
          <w:p w14:paraId="516CB556"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0.03</w:t>
            </w:r>
          </w:p>
        </w:tc>
      </w:tr>
      <w:tr w:rsidR="00697230" w:rsidRPr="00A7676E" w14:paraId="03D6D05E" w14:textId="77777777" w:rsidTr="005E2E61">
        <w:trPr>
          <w:trHeight w:val="300"/>
          <w:jc w:val="center"/>
        </w:trPr>
        <w:tc>
          <w:tcPr>
            <w:tcW w:w="2540" w:type="dxa"/>
            <w:tcBorders>
              <w:top w:val="nil"/>
              <w:left w:val="nil"/>
              <w:bottom w:val="single" w:sz="4" w:space="0" w:color="auto"/>
              <w:right w:val="nil"/>
            </w:tcBorders>
            <w:shd w:val="clear" w:color="auto" w:fill="auto"/>
            <w:noWrap/>
            <w:vAlign w:val="bottom"/>
            <w:hideMark/>
          </w:tcPr>
          <w:p w14:paraId="00393FE4" w14:textId="77777777" w:rsidR="00697230" w:rsidRPr="00A7676E" w:rsidRDefault="00697230" w:rsidP="005E2E61">
            <w:pPr>
              <w:spacing w:after="0" w:line="240" w:lineRule="auto"/>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USA</w:t>
            </w:r>
          </w:p>
        </w:tc>
        <w:tc>
          <w:tcPr>
            <w:tcW w:w="1930" w:type="dxa"/>
            <w:tcBorders>
              <w:top w:val="nil"/>
              <w:left w:val="nil"/>
              <w:bottom w:val="single" w:sz="4" w:space="0" w:color="auto"/>
              <w:right w:val="nil"/>
            </w:tcBorders>
            <w:shd w:val="clear" w:color="auto" w:fill="auto"/>
            <w:noWrap/>
            <w:vAlign w:val="bottom"/>
            <w:hideMark/>
          </w:tcPr>
          <w:p w14:paraId="2F54C68D"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0.10</w:t>
            </w:r>
            <w:r>
              <w:rPr>
                <w:rFonts w:ascii="Times New Roman" w:eastAsia="Times New Roman" w:hAnsi="Times New Roman" w:cs="Times New Roman"/>
                <w:color w:val="000000"/>
                <w:lang w:eastAsia="en-GB"/>
              </w:rPr>
              <w:t>*</w:t>
            </w:r>
          </w:p>
        </w:tc>
        <w:tc>
          <w:tcPr>
            <w:tcW w:w="810" w:type="dxa"/>
            <w:tcBorders>
              <w:top w:val="nil"/>
              <w:left w:val="nil"/>
              <w:bottom w:val="single" w:sz="4" w:space="0" w:color="auto"/>
              <w:right w:val="nil"/>
            </w:tcBorders>
            <w:shd w:val="clear" w:color="auto" w:fill="auto"/>
            <w:noWrap/>
            <w:vAlign w:val="bottom"/>
            <w:hideMark/>
          </w:tcPr>
          <w:p w14:paraId="6251D5F4"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0.04</w:t>
            </w:r>
          </w:p>
        </w:tc>
        <w:tc>
          <w:tcPr>
            <w:tcW w:w="2001" w:type="dxa"/>
            <w:tcBorders>
              <w:top w:val="nil"/>
              <w:left w:val="nil"/>
              <w:bottom w:val="single" w:sz="4" w:space="0" w:color="auto"/>
              <w:right w:val="nil"/>
            </w:tcBorders>
            <w:shd w:val="clear" w:color="auto" w:fill="auto"/>
            <w:noWrap/>
            <w:vAlign w:val="bottom"/>
            <w:hideMark/>
          </w:tcPr>
          <w:p w14:paraId="7889EBD8"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0.18</w:t>
            </w:r>
            <w:r>
              <w:rPr>
                <w:rFonts w:ascii="Times New Roman" w:eastAsia="Times New Roman" w:hAnsi="Times New Roman" w:cs="Times New Roman"/>
                <w:color w:val="000000"/>
                <w:lang w:eastAsia="en-GB"/>
              </w:rPr>
              <w:t>*</w:t>
            </w:r>
          </w:p>
        </w:tc>
        <w:tc>
          <w:tcPr>
            <w:tcW w:w="839" w:type="dxa"/>
            <w:tcBorders>
              <w:top w:val="nil"/>
              <w:left w:val="nil"/>
              <w:bottom w:val="single" w:sz="4" w:space="0" w:color="auto"/>
              <w:right w:val="nil"/>
            </w:tcBorders>
            <w:shd w:val="clear" w:color="auto" w:fill="auto"/>
            <w:noWrap/>
            <w:vAlign w:val="bottom"/>
            <w:hideMark/>
          </w:tcPr>
          <w:p w14:paraId="5E29C77C" w14:textId="77777777" w:rsidR="00697230" w:rsidRPr="00A7676E" w:rsidRDefault="00697230" w:rsidP="005E2E61">
            <w:pPr>
              <w:spacing w:after="0" w:line="240" w:lineRule="auto"/>
              <w:jc w:val="center"/>
              <w:rPr>
                <w:rFonts w:ascii="Times New Roman" w:eastAsia="Times New Roman" w:hAnsi="Times New Roman" w:cs="Times New Roman"/>
                <w:color w:val="000000"/>
                <w:lang w:eastAsia="en-GB"/>
              </w:rPr>
            </w:pPr>
            <w:r w:rsidRPr="00A7676E">
              <w:rPr>
                <w:rFonts w:ascii="Times New Roman" w:eastAsia="Times New Roman" w:hAnsi="Times New Roman" w:cs="Times New Roman"/>
                <w:color w:val="000000"/>
                <w:lang w:eastAsia="en-GB"/>
              </w:rPr>
              <w:t>0.04</w:t>
            </w:r>
          </w:p>
        </w:tc>
      </w:tr>
    </w:tbl>
    <w:p w14:paraId="3A8A2E4E" w14:textId="078324E2" w:rsidR="00697230" w:rsidRPr="00697230" w:rsidRDefault="00697230" w:rsidP="008B4E20">
      <w:pPr>
        <w:spacing w:after="240" w:line="240" w:lineRule="auto"/>
        <w:rPr>
          <w:rFonts w:ascii="Times New Roman" w:hAnsi="Times New Roman" w:cs="Times New Roman"/>
          <w:sz w:val="20"/>
          <w:szCs w:val="20"/>
        </w:rPr>
      </w:pPr>
      <w:r w:rsidRPr="00697230">
        <w:rPr>
          <w:rFonts w:ascii="Times New Roman" w:hAnsi="Times New Roman" w:cs="Times New Roman"/>
          <w:sz w:val="20"/>
          <w:szCs w:val="20"/>
        </w:rPr>
        <w:t xml:space="preserve">Notes: Figures refer to effect size change in the wellbeing/stress scale per ten-hour increase in total working hours. * indicates statistical significance at the </w:t>
      </w:r>
      <w:r w:rsidR="002F08B1">
        <w:rPr>
          <w:rFonts w:ascii="Times New Roman" w:hAnsi="Times New Roman" w:cs="Times New Roman"/>
          <w:sz w:val="20"/>
          <w:szCs w:val="20"/>
        </w:rPr>
        <w:t>5%</w:t>
      </w:r>
      <w:r w:rsidRPr="00697230">
        <w:rPr>
          <w:rFonts w:ascii="Times New Roman" w:hAnsi="Times New Roman" w:cs="Times New Roman"/>
          <w:sz w:val="20"/>
          <w:szCs w:val="20"/>
        </w:rPr>
        <w:t xml:space="preserve"> level.</w:t>
      </w:r>
      <w:r w:rsidR="00875EB6">
        <w:rPr>
          <w:rFonts w:ascii="Times New Roman" w:hAnsi="Times New Roman" w:cs="Times New Roman"/>
          <w:sz w:val="20"/>
          <w:szCs w:val="20"/>
        </w:rPr>
        <w:t xml:space="preserve"> Source = TALIS 2018 dataset.</w:t>
      </w:r>
    </w:p>
    <w:p w14:paraId="7673F57F" w14:textId="18E6D08A" w:rsidR="00592DD9" w:rsidRPr="00697230" w:rsidRDefault="00697230" w:rsidP="00592DD9">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Figure 10.1 turns to whether the link between teachers’ hours of work and their workplace stress/wellbeing is linear, based upon our non-parametric regression models.</w:t>
      </w:r>
      <w:r w:rsidR="00592DD9">
        <w:rPr>
          <w:rFonts w:ascii="Times New Roman" w:hAnsi="Times New Roman" w:cs="Times New Roman"/>
          <w:sz w:val="24"/>
          <w:szCs w:val="24"/>
        </w:rPr>
        <w:t xml:space="preserve"> </w:t>
      </w:r>
      <w:r w:rsidR="00592DD9" w:rsidRPr="00697230">
        <w:rPr>
          <w:rFonts w:ascii="Times New Roman" w:hAnsi="Times New Roman" w:cs="Times New Roman"/>
          <w:sz w:val="24"/>
          <w:szCs w:val="24"/>
        </w:rPr>
        <w:t>Within some populations, a linear relationship between working hours and teacher stress/wellbeing does indeed seem to hold. The clearest examples are for secondary teachers in England (solid blue line) and New Zealand (dashed purple line), where the gradient of the fitted non-parametric regression line is broadly constant across the range of working hours plotted (40</w:t>
      </w:r>
      <w:r w:rsidR="008B3EAF">
        <w:rPr>
          <w:rFonts w:ascii="Times New Roman" w:hAnsi="Times New Roman" w:cs="Times New Roman"/>
          <w:sz w:val="24"/>
          <w:szCs w:val="24"/>
        </w:rPr>
        <w:sym w:font="Symbol" w:char="F02D"/>
      </w:r>
      <w:r w:rsidR="00592DD9" w:rsidRPr="00697230">
        <w:rPr>
          <w:rFonts w:ascii="Times New Roman" w:hAnsi="Times New Roman" w:cs="Times New Roman"/>
          <w:sz w:val="24"/>
          <w:szCs w:val="24"/>
        </w:rPr>
        <w:t xml:space="preserve">65 hours per week). In other words, for these groups, each additional hour of work is related to the same decline in workplace wellbeing (and increase in workload stress), regardless of existing total hours of work. </w:t>
      </w:r>
    </w:p>
    <w:p w14:paraId="599E0EA8" w14:textId="1239BF67" w:rsidR="00592DD9" w:rsidRPr="00697230" w:rsidRDefault="00592DD9" w:rsidP="00592DD9">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Yet the same is not true elsewhere. Take, for instance, primary teachers in England and secondary teachers in Australia. The non-parametric regression line is quite flat between 40 and 50</w:t>
      </w:r>
      <w:r w:rsidR="0012062E">
        <w:rPr>
          <w:rFonts w:ascii="Times New Roman" w:hAnsi="Times New Roman" w:cs="Times New Roman"/>
          <w:sz w:val="24"/>
          <w:szCs w:val="24"/>
        </w:rPr>
        <w:sym w:font="Symbol" w:char="F02D"/>
      </w:r>
      <w:r w:rsidRPr="00697230">
        <w:rPr>
          <w:rFonts w:ascii="Times New Roman" w:hAnsi="Times New Roman" w:cs="Times New Roman"/>
          <w:sz w:val="24"/>
          <w:szCs w:val="24"/>
        </w:rPr>
        <w:t xml:space="preserve">55 hours per week (which roughly corresponds to the bottom half of the weekly working </w:t>
      </w:r>
      <w:proofErr w:type="gramStart"/>
      <w:r w:rsidRPr="00697230">
        <w:rPr>
          <w:rFonts w:ascii="Times New Roman" w:hAnsi="Times New Roman" w:cs="Times New Roman"/>
          <w:sz w:val="24"/>
          <w:szCs w:val="24"/>
        </w:rPr>
        <w:t>hours</w:t>
      </w:r>
      <w:proofErr w:type="gramEnd"/>
      <w:r w:rsidRPr="00697230">
        <w:rPr>
          <w:rFonts w:ascii="Times New Roman" w:hAnsi="Times New Roman" w:cs="Times New Roman"/>
          <w:sz w:val="24"/>
          <w:szCs w:val="24"/>
        </w:rPr>
        <w:t xml:space="preserve"> distribution for full-time teachers with</w:t>
      </w:r>
      <w:r w:rsidR="0012062E">
        <w:rPr>
          <w:rFonts w:ascii="Times New Roman" w:hAnsi="Times New Roman" w:cs="Times New Roman"/>
          <w:sz w:val="24"/>
          <w:szCs w:val="24"/>
        </w:rPr>
        <w:t>in</w:t>
      </w:r>
      <w:r w:rsidRPr="00697230">
        <w:rPr>
          <w:rFonts w:ascii="Times New Roman" w:hAnsi="Times New Roman" w:cs="Times New Roman"/>
          <w:sz w:val="24"/>
          <w:szCs w:val="24"/>
        </w:rPr>
        <w:t xml:space="preserve"> th</w:t>
      </w:r>
      <w:r w:rsidR="0012062E">
        <w:rPr>
          <w:rFonts w:ascii="Times New Roman" w:hAnsi="Times New Roman" w:cs="Times New Roman"/>
          <w:sz w:val="24"/>
          <w:szCs w:val="24"/>
        </w:rPr>
        <w:t>ese</w:t>
      </w:r>
      <w:r w:rsidRPr="00697230">
        <w:rPr>
          <w:rFonts w:ascii="Times New Roman" w:hAnsi="Times New Roman" w:cs="Times New Roman"/>
          <w:sz w:val="24"/>
          <w:szCs w:val="24"/>
        </w:rPr>
        <w:t xml:space="preserve"> countries). Hence increasing working hours for those teachers working within this range has little association with their levels of stress and wellbeing in the workplace. However, once working hours exceed this level, then each additional hour of work has a strong negative association with teachers’ quality of life. This is demonstrated by the sharp turn in the non-parametric regression lines for England (primary) and Australia (secondary) between around 50 a</w:t>
      </w:r>
      <w:r>
        <w:rPr>
          <w:rFonts w:ascii="Times New Roman" w:hAnsi="Times New Roman" w:cs="Times New Roman"/>
          <w:sz w:val="24"/>
          <w:szCs w:val="24"/>
        </w:rPr>
        <w:t>n</w:t>
      </w:r>
      <w:r w:rsidRPr="00697230">
        <w:rPr>
          <w:rFonts w:ascii="Times New Roman" w:hAnsi="Times New Roman" w:cs="Times New Roman"/>
          <w:sz w:val="24"/>
          <w:szCs w:val="24"/>
        </w:rPr>
        <w:t>d 65 hours per week.</w:t>
      </w:r>
    </w:p>
    <w:p w14:paraId="61C8C8B8" w14:textId="5439A010" w:rsidR="00697230" w:rsidRPr="00697230" w:rsidRDefault="00697230" w:rsidP="00697230">
      <w:pPr>
        <w:spacing w:line="360" w:lineRule="auto"/>
        <w:jc w:val="both"/>
        <w:rPr>
          <w:rFonts w:ascii="Times New Roman" w:hAnsi="Times New Roman" w:cs="Times New Roman"/>
          <w:sz w:val="24"/>
          <w:szCs w:val="24"/>
        </w:rPr>
      </w:pPr>
    </w:p>
    <w:p w14:paraId="6EC92816" w14:textId="77777777" w:rsidR="00697230" w:rsidRDefault="00697230" w:rsidP="00697230">
      <w:pPr>
        <w:jc w:val="both"/>
        <w:rPr>
          <w:rFonts w:ascii="Times New Roman" w:hAnsi="Times New Roman" w:cs="Times New Roman"/>
        </w:rPr>
      </w:pPr>
    </w:p>
    <w:p w14:paraId="177EA414" w14:textId="4C90BBF7" w:rsidR="000F2E40" w:rsidRDefault="000F2E40" w:rsidP="00697230">
      <w:pPr>
        <w:jc w:val="both"/>
        <w:rPr>
          <w:rFonts w:ascii="Times New Roman" w:hAnsi="Times New Roman" w:cs="Times New Roman"/>
        </w:rPr>
        <w:sectPr w:rsidR="000F2E40">
          <w:footerReference w:type="default" r:id="rId49"/>
          <w:pgSz w:w="11906" w:h="16838"/>
          <w:pgMar w:top="1440" w:right="1440" w:bottom="1440" w:left="1440" w:header="708" w:footer="708" w:gutter="0"/>
          <w:cols w:space="708"/>
          <w:docGrid w:linePitch="360"/>
        </w:sectPr>
      </w:pPr>
    </w:p>
    <w:p w14:paraId="7230E907" w14:textId="166B35BC" w:rsidR="00697230" w:rsidRPr="00697230" w:rsidRDefault="00697230" w:rsidP="00697230">
      <w:pPr>
        <w:jc w:val="center"/>
        <w:rPr>
          <w:rFonts w:ascii="Times New Roman" w:hAnsi="Times New Roman" w:cs="Times New Roman"/>
          <w:sz w:val="24"/>
          <w:szCs w:val="24"/>
        </w:rPr>
      </w:pPr>
      <w:r w:rsidRPr="00697230">
        <w:rPr>
          <w:rFonts w:ascii="Times New Roman" w:hAnsi="Times New Roman" w:cs="Times New Roman"/>
          <w:b/>
          <w:bCs/>
          <w:sz w:val="24"/>
          <w:szCs w:val="24"/>
        </w:rPr>
        <w:lastRenderedPageBreak/>
        <w:t>Figure 10.1 Non-parametric regression estimates of the association between total working hours and workplace wellbeing and stress</w:t>
      </w:r>
    </w:p>
    <w:p w14:paraId="59689FFC" w14:textId="29F91F33" w:rsidR="00697230" w:rsidRDefault="00697230" w:rsidP="00697230">
      <w:pPr>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A7676E">
        <w:rPr>
          <w:rFonts w:ascii="Times New Roman" w:eastAsia="Times New Roman" w:hAnsi="Times New Roman" w:cs="Times New Roman"/>
          <w:color w:val="000000"/>
          <w:lang w:eastAsia="en-GB"/>
        </w:rPr>
        <w:t>Workplace wellbeing</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Workload stress</w:t>
      </w:r>
    </w:p>
    <w:p w14:paraId="1DCE7CDC" w14:textId="77777777" w:rsidR="00697230" w:rsidRDefault="00697230" w:rsidP="00697230">
      <w:pPr>
        <w:rPr>
          <w:rFonts w:ascii="Times New Roman" w:hAnsi="Times New Roman" w:cs="Times New Roman"/>
        </w:rPr>
      </w:pPr>
      <w:r w:rsidRPr="00132741">
        <w:rPr>
          <w:rFonts w:ascii="Times New Roman" w:hAnsi="Times New Roman" w:cs="Times New Roman"/>
          <w:noProof/>
          <w:lang w:eastAsia="en-GB"/>
        </w:rPr>
        <w:drawing>
          <wp:inline distT="0" distB="0" distL="0" distR="0" wp14:anchorId="605DE4E5" wp14:editId="0D23161D">
            <wp:extent cx="5029200" cy="3914775"/>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029200" cy="3914775"/>
                    </a:xfrm>
                    <a:prstGeom prst="rect">
                      <a:avLst/>
                    </a:prstGeom>
                    <a:noFill/>
                    <a:ln>
                      <a:noFill/>
                    </a:ln>
                  </pic:spPr>
                </pic:pic>
              </a:graphicData>
            </a:graphic>
          </wp:inline>
        </w:drawing>
      </w:r>
      <w:r>
        <w:rPr>
          <w:rFonts w:ascii="Times New Roman" w:hAnsi="Times New Roman" w:cs="Times New Roman"/>
        </w:rPr>
        <w:t xml:space="preserve">    </w:t>
      </w:r>
      <w:r w:rsidRPr="00834C1F">
        <w:rPr>
          <w:rFonts w:ascii="Times New Roman" w:hAnsi="Times New Roman" w:cs="Times New Roman"/>
          <w:noProof/>
          <w:lang w:eastAsia="en-GB"/>
        </w:rPr>
        <w:drawing>
          <wp:inline distT="0" distB="0" distL="0" distR="0" wp14:anchorId="1613FFC0" wp14:editId="1847187B">
            <wp:extent cx="4581525" cy="3933825"/>
            <wp:effectExtent l="0" t="0" r="9525"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581525" cy="3933825"/>
                    </a:xfrm>
                    <a:prstGeom prst="rect">
                      <a:avLst/>
                    </a:prstGeom>
                    <a:noFill/>
                    <a:ln>
                      <a:noFill/>
                    </a:ln>
                  </pic:spPr>
                </pic:pic>
              </a:graphicData>
            </a:graphic>
          </wp:inline>
        </w:drawing>
      </w:r>
    </w:p>
    <w:p w14:paraId="1598D67F" w14:textId="31409DA9" w:rsidR="00697230" w:rsidRPr="00F41A79" w:rsidRDefault="00697230" w:rsidP="00697230">
      <w:pPr>
        <w:spacing w:line="240" w:lineRule="auto"/>
        <w:jc w:val="both"/>
        <w:rPr>
          <w:rFonts w:ascii="Times New Roman" w:hAnsi="Times New Roman" w:cs="Times New Roman"/>
          <w:sz w:val="20"/>
          <w:szCs w:val="20"/>
        </w:rPr>
      </w:pPr>
      <w:r w:rsidRPr="00F41A79">
        <w:rPr>
          <w:rFonts w:ascii="Times New Roman" w:hAnsi="Times New Roman" w:cs="Times New Roman"/>
          <w:sz w:val="20"/>
          <w:szCs w:val="20"/>
        </w:rPr>
        <w:t>Notes: Weights not applied. Models exclude the school fixed effects.  Results shown for teachers working between 40 and 65 hours per week (approximately the 10</w:t>
      </w:r>
      <w:r w:rsidRPr="00F41A79">
        <w:rPr>
          <w:rFonts w:ascii="Times New Roman" w:hAnsi="Times New Roman" w:cs="Times New Roman"/>
          <w:sz w:val="20"/>
          <w:szCs w:val="20"/>
          <w:vertAlign w:val="superscript"/>
        </w:rPr>
        <w:t>th</w:t>
      </w:r>
      <w:r w:rsidRPr="00F41A79">
        <w:rPr>
          <w:rFonts w:ascii="Times New Roman" w:hAnsi="Times New Roman" w:cs="Times New Roman"/>
          <w:sz w:val="20"/>
          <w:szCs w:val="20"/>
        </w:rPr>
        <w:t xml:space="preserve"> and 90</w:t>
      </w:r>
      <w:r w:rsidRPr="00F41A79">
        <w:rPr>
          <w:rFonts w:ascii="Times New Roman" w:hAnsi="Times New Roman" w:cs="Times New Roman"/>
          <w:sz w:val="20"/>
          <w:szCs w:val="20"/>
          <w:vertAlign w:val="superscript"/>
        </w:rPr>
        <w:t>th</w:t>
      </w:r>
      <w:r w:rsidRPr="00F41A79">
        <w:rPr>
          <w:rFonts w:ascii="Times New Roman" w:hAnsi="Times New Roman" w:cs="Times New Roman"/>
          <w:sz w:val="20"/>
          <w:szCs w:val="20"/>
        </w:rPr>
        <w:t xml:space="preserve"> percentile of the working </w:t>
      </w:r>
      <w:proofErr w:type="gramStart"/>
      <w:r w:rsidRPr="00F41A79">
        <w:rPr>
          <w:rFonts w:ascii="Times New Roman" w:hAnsi="Times New Roman" w:cs="Times New Roman"/>
          <w:sz w:val="20"/>
          <w:szCs w:val="20"/>
        </w:rPr>
        <w:t>hours</w:t>
      </w:r>
      <w:proofErr w:type="gramEnd"/>
      <w:r w:rsidRPr="00F41A79">
        <w:rPr>
          <w:rFonts w:ascii="Times New Roman" w:hAnsi="Times New Roman" w:cs="Times New Roman"/>
          <w:sz w:val="20"/>
          <w:szCs w:val="20"/>
        </w:rPr>
        <w:t xml:space="preserve"> distribution). Results based upon a female teacher, with number of years</w:t>
      </w:r>
      <w:r w:rsidR="00CB3824">
        <w:rPr>
          <w:rFonts w:ascii="Times New Roman" w:hAnsi="Times New Roman" w:cs="Times New Roman"/>
          <w:sz w:val="20"/>
          <w:szCs w:val="20"/>
        </w:rPr>
        <w:t>’</w:t>
      </w:r>
      <w:r w:rsidRPr="00F41A79">
        <w:rPr>
          <w:rFonts w:ascii="Times New Roman" w:hAnsi="Times New Roman" w:cs="Times New Roman"/>
          <w:sz w:val="20"/>
          <w:szCs w:val="20"/>
        </w:rPr>
        <w:t xml:space="preserve"> teaching experience set to the national average, who holds an ISCED Level 6 (postgraduate) qualification, whose motivations for entering teaching were similar to the national average, but for whom teaching was not their first-choice career. </w:t>
      </w:r>
      <w:r w:rsidR="00875EB6">
        <w:rPr>
          <w:rFonts w:ascii="Times New Roman" w:hAnsi="Times New Roman" w:cs="Times New Roman"/>
          <w:sz w:val="20"/>
          <w:szCs w:val="20"/>
        </w:rPr>
        <w:t>Source = TALIS 2018 dataset.</w:t>
      </w:r>
    </w:p>
    <w:p w14:paraId="2369800F" w14:textId="77777777" w:rsidR="00697230" w:rsidRDefault="00697230" w:rsidP="00697230">
      <w:pPr>
        <w:jc w:val="both"/>
        <w:rPr>
          <w:rFonts w:ascii="Times New Roman" w:hAnsi="Times New Roman" w:cs="Times New Roman"/>
        </w:rPr>
      </w:pPr>
    </w:p>
    <w:p w14:paraId="21628296" w14:textId="77777777" w:rsidR="00697230" w:rsidRDefault="00697230" w:rsidP="00697230">
      <w:pPr>
        <w:jc w:val="both"/>
        <w:rPr>
          <w:rFonts w:ascii="Times New Roman" w:hAnsi="Times New Roman" w:cs="Times New Roman"/>
        </w:rPr>
        <w:sectPr w:rsidR="00697230" w:rsidSect="005E2E61">
          <w:pgSz w:w="16838" w:h="11906" w:orient="landscape"/>
          <w:pgMar w:top="720" w:right="720" w:bottom="720" w:left="720" w:header="708" w:footer="708" w:gutter="0"/>
          <w:cols w:space="708"/>
          <w:docGrid w:linePitch="360"/>
        </w:sectPr>
      </w:pPr>
    </w:p>
    <w:p w14:paraId="6D871C9B" w14:textId="552EC051"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lastRenderedPageBreak/>
        <w:t>Together, the evidence presented in Figure 2 leads us to reach three important conclusions. First, one should not assume that the teacher workload</w:t>
      </w:r>
      <w:r w:rsidR="00CB3824">
        <w:rPr>
          <w:rFonts w:ascii="Times New Roman" w:hAnsi="Times New Roman" w:cs="Times New Roman"/>
          <w:sz w:val="24"/>
          <w:szCs w:val="24"/>
        </w:rPr>
        <w:sym w:font="Symbol" w:char="F02D"/>
      </w:r>
      <w:r w:rsidRPr="00697230">
        <w:rPr>
          <w:rFonts w:ascii="Times New Roman" w:hAnsi="Times New Roman" w:cs="Times New Roman"/>
          <w:sz w:val="24"/>
          <w:szCs w:val="24"/>
        </w:rPr>
        <w:t>wellbeing relationship is necessarily linear. Despite this assumption being implicitly made in much of the existing literature, we find some evidence of important non-</w:t>
      </w:r>
      <w:proofErr w:type="spellStart"/>
      <w:r w:rsidRPr="00697230">
        <w:rPr>
          <w:rFonts w:ascii="Times New Roman" w:hAnsi="Times New Roman" w:cs="Times New Roman"/>
          <w:sz w:val="24"/>
          <w:szCs w:val="24"/>
        </w:rPr>
        <w:t>linearities</w:t>
      </w:r>
      <w:proofErr w:type="spellEnd"/>
      <w:r w:rsidRPr="00697230">
        <w:rPr>
          <w:rFonts w:ascii="Times New Roman" w:hAnsi="Times New Roman" w:cs="Times New Roman"/>
          <w:sz w:val="24"/>
          <w:szCs w:val="24"/>
        </w:rPr>
        <w:t xml:space="preserve"> occurring within some countries. Second, the nature of the association between working hours and wellbeing may differ across countries and, indeed, between different groups within a country (e.g. in Figure 2 there is a clear difference between primary and secondary teachers in England). Hence results from previous studies, focusing upon a single group within one specific national setting, may not generalise to other education systems (i.e. results may have relatively weak levels of external validity).</w:t>
      </w:r>
    </w:p>
    <w:p w14:paraId="7361514E" w14:textId="7D94C6A1"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 xml:space="preserve">Finally, in terms of policy and </w:t>
      </w:r>
      <w:r w:rsidR="002E4E3B" w:rsidRPr="00697230">
        <w:rPr>
          <w:rFonts w:ascii="Times New Roman" w:hAnsi="Times New Roman" w:cs="Times New Roman"/>
          <w:sz w:val="24"/>
          <w:szCs w:val="24"/>
        </w:rPr>
        <w:t>practi</w:t>
      </w:r>
      <w:r w:rsidR="002E4E3B">
        <w:rPr>
          <w:rFonts w:ascii="Times New Roman" w:hAnsi="Times New Roman" w:cs="Times New Roman"/>
          <w:sz w:val="24"/>
          <w:szCs w:val="24"/>
        </w:rPr>
        <w:t>c</w:t>
      </w:r>
      <w:r w:rsidR="002E4E3B" w:rsidRPr="00697230">
        <w:rPr>
          <w:rFonts w:ascii="Times New Roman" w:hAnsi="Times New Roman" w:cs="Times New Roman"/>
          <w:sz w:val="24"/>
          <w:szCs w:val="24"/>
        </w:rPr>
        <w:t>e</w:t>
      </w:r>
      <w:r w:rsidRPr="00697230">
        <w:rPr>
          <w:rFonts w:ascii="Times New Roman" w:hAnsi="Times New Roman" w:cs="Times New Roman"/>
          <w:sz w:val="24"/>
          <w:szCs w:val="24"/>
        </w:rPr>
        <w:t>, a strong case can be made for reducing inequality in full-time teachers’ working hours in some jurisdictions. For instance, Figure 10.1 suggests that full-time primary teachers in England who work 40 hours per week could increase this to 45 or even 50 hours with little effect upon their workload stress and wellbeing. At the same time, a reduction of five or ten hours amongst those teachers who currently work 60 or more hours per week might potentially lead to an appreciable increase in this group’s quality of life. School leaders (and education policymakers) who are able to share the workload burden equally amongst staff may hence have a less stressed and healthier workforce than those who lead schools where the distribution of workload is very unequal.</w:t>
      </w:r>
    </w:p>
    <w:p w14:paraId="777905DC" w14:textId="77777777" w:rsidR="00697230" w:rsidRPr="00697230" w:rsidRDefault="00697230" w:rsidP="008B4E20">
      <w:pPr>
        <w:spacing w:after="0" w:line="360" w:lineRule="auto"/>
        <w:jc w:val="both"/>
        <w:rPr>
          <w:rFonts w:ascii="Times New Roman" w:hAnsi="Times New Roman" w:cs="Times New Roman"/>
          <w:b/>
          <w:sz w:val="24"/>
          <w:szCs w:val="24"/>
        </w:rPr>
      </w:pPr>
      <w:r w:rsidRPr="00697230">
        <w:rPr>
          <w:rFonts w:ascii="Times New Roman" w:hAnsi="Times New Roman" w:cs="Times New Roman"/>
          <w:b/>
          <w:sz w:val="24"/>
          <w:szCs w:val="24"/>
        </w:rPr>
        <w:t>10.4 Time spent upon different tasks</w:t>
      </w:r>
    </w:p>
    <w:p w14:paraId="78E2B1BE" w14:textId="2A8435D6" w:rsidR="003146E2"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 xml:space="preserve">Our analysis now turns to the amount of time that teachers spend upon different tasks. The OLS regression results are presented in Table 10.4, with all estimates conditional upon the time spent on the other remaining activities (e.g. the association between time spent teaching and workload stress is conditional upon the time spent upon marking, lesson planning </w:t>
      </w:r>
      <w:proofErr w:type="spellStart"/>
      <w:r w:rsidRPr="00697230">
        <w:rPr>
          <w:rFonts w:ascii="Times New Roman" w:hAnsi="Times New Roman" w:cs="Times New Roman"/>
          <w:sz w:val="24"/>
          <w:szCs w:val="24"/>
        </w:rPr>
        <w:t>etc</w:t>
      </w:r>
      <w:proofErr w:type="spellEnd"/>
      <w:r w:rsidRPr="00697230">
        <w:rPr>
          <w:rFonts w:ascii="Times New Roman" w:hAnsi="Times New Roman" w:cs="Times New Roman"/>
          <w:sz w:val="24"/>
          <w:szCs w:val="24"/>
        </w:rPr>
        <w:t>). The shading of cells should be read horizontally, with red (green) indicating a stronger (weaker) negative association with workload stress. Analogous results using the workplace wellbeing scale (rather than the workload stress scale) can be found in Appendix D of Jerrim and Sims (2020b).</w:t>
      </w:r>
    </w:p>
    <w:p w14:paraId="2D121E0C" w14:textId="77777777" w:rsidR="003146E2" w:rsidRDefault="003146E2">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2BC9CAB9" w14:textId="77777777" w:rsidR="00697230" w:rsidRPr="00697230" w:rsidRDefault="00697230" w:rsidP="00697230">
      <w:pPr>
        <w:spacing w:line="240" w:lineRule="auto"/>
        <w:jc w:val="center"/>
        <w:rPr>
          <w:rFonts w:ascii="Times New Roman" w:hAnsi="Times New Roman" w:cs="Times New Roman"/>
          <w:sz w:val="24"/>
          <w:szCs w:val="24"/>
        </w:rPr>
      </w:pPr>
      <w:r w:rsidRPr="00697230">
        <w:rPr>
          <w:rFonts w:ascii="Times New Roman" w:hAnsi="Times New Roman" w:cs="Times New Roman"/>
          <w:b/>
          <w:bCs/>
          <w:sz w:val="24"/>
          <w:szCs w:val="24"/>
        </w:rPr>
        <w:lastRenderedPageBreak/>
        <w:t xml:space="preserve">Table 10.4 OLS estimates of the relationship between </w:t>
      </w:r>
      <w:proofErr w:type="gramStart"/>
      <w:r w:rsidRPr="00697230">
        <w:rPr>
          <w:rFonts w:ascii="Times New Roman" w:hAnsi="Times New Roman" w:cs="Times New Roman"/>
          <w:b/>
          <w:bCs/>
          <w:sz w:val="24"/>
          <w:szCs w:val="24"/>
        </w:rPr>
        <w:t>time</w:t>
      </w:r>
      <w:proofErr w:type="gramEnd"/>
      <w:r w:rsidRPr="00697230">
        <w:rPr>
          <w:rFonts w:ascii="Times New Roman" w:hAnsi="Times New Roman" w:cs="Times New Roman"/>
          <w:b/>
          <w:bCs/>
          <w:sz w:val="24"/>
          <w:szCs w:val="24"/>
        </w:rPr>
        <w:t xml:space="preserve"> spent upon marking, management + administration and workload stress</w:t>
      </w:r>
    </w:p>
    <w:tbl>
      <w:tblPr>
        <w:tblW w:w="10031" w:type="dxa"/>
        <w:tblInd w:w="-497" w:type="dxa"/>
        <w:tblLook w:val="04A0" w:firstRow="1" w:lastRow="0" w:firstColumn="1" w:lastColumn="0" w:noHBand="0" w:noVBand="1"/>
      </w:tblPr>
      <w:tblGrid>
        <w:gridCol w:w="2180"/>
        <w:gridCol w:w="1400"/>
        <w:gridCol w:w="1380"/>
        <w:gridCol w:w="1300"/>
        <w:gridCol w:w="1451"/>
        <w:gridCol w:w="1360"/>
        <w:gridCol w:w="960"/>
      </w:tblGrid>
      <w:tr w:rsidR="00697230" w:rsidRPr="00BF7F2E" w14:paraId="2743D766" w14:textId="77777777" w:rsidTr="005E2E61">
        <w:trPr>
          <w:trHeight w:val="585"/>
        </w:trPr>
        <w:tc>
          <w:tcPr>
            <w:tcW w:w="2180" w:type="dxa"/>
            <w:tcBorders>
              <w:top w:val="single" w:sz="4" w:space="0" w:color="auto"/>
              <w:left w:val="nil"/>
              <w:bottom w:val="single" w:sz="4" w:space="0" w:color="auto"/>
              <w:right w:val="nil"/>
            </w:tcBorders>
            <w:shd w:val="clear" w:color="000000" w:fill="BDD7EE"/>
            <w:noWrap/>
            <w:vAlign w:val="bottom"/>
            <w:hideMark/>
          </w:tcPr>
          <w:p w14:paraId="7772E90E" w14:textId="77777777" w:rsidR="00697230" w:rsidRPr="00BF7F2E" w:rsidRDefault="00697230" w:rsidP="005E2E61">
            <w:pPr>
              <w:spacing w:after="0" w:line="240" w:lineRule="auto"/>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Country</w:t>
            </w:r>
          </w:p>
        </w:tc>
        <w:tc>
          <w:tcPr>
            <w:tcW w:w="1400" w:type="dxa"/>
            <w:tcBorders>
              <w:top w:val="single" w:sz="4" w:space="0" w:color="auto"/>
              <w:left w:val="nil"/>
              <w:bottom w:val="single" w:sz="4" w:space="0" w:color="auto"/>
              <w:right w:val="nil"/>
            </w:tcBorders>
            <w:shd w:val="clear" w:color="000000" w:fill="BDD7EE"/>
            <w:vAlign w:val="bottom"/>
            <w:hideMark/>
          </w:tcPr>
          <w:p w14:paraId="0E63B3BA"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Teaching</w:t>
            </w:r>
          </w:p>
        </w:tc>
        <w:tc>
          <w:tcPr>
            <w:tcW w:w="1380" w:type="dxa"/>
            <w:tcBorders>
              <w:top w:val="single" w:sz="4" w:space="0" w:color="auto"/>
              <w:left w:val="nil"/>
              <w:bottom w:val="single" w:sz="4" w:space="0" w:color="auto"/>
              <w:right w:val="nil"/>
            </w:tcBorders>
            <w:shd w:val="clear" w:color="000000" w:fill="BDD7EE"/>
            <w:vAlign w:val="bottom"/>
            <w:hideMark/>
          </w:tcPr>
          <w:p w14:paraId="21F2A0F1"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Preparation</w:t>
            </w:r>
          </w:p>
        </w:tc>
        <w:tc>
          <w:tcPr>
            <w:tcW w:w="1300" w:type="dxa"/>
            <w:tcBorders>
              <w:top w:val="single" w:sz="4" w:space="0" w:color="auto"/>
              <w:left w:val="nil"/>
              <w:bottom w:val="single" w:sz="4" w:space="0" w:color="auto"/>
              <w:right w:val="nil"/>
            </w:tcBorders>
            <w:shd w:val="clear" w:color="000000" w:fill="BDD7EE"/>
            <w:vAlign w:val="bottom"/>
            <w:hideMark/>
          </w:tcPr>
          <w:p w14:paraId="74150421"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Marking</w:t>
            </w:r>
          </w:p>
        </w:tc>
        <w:tc>
          <w:tcPr>
            <w:tcW w:w="1451" w:type="dxa"/>
            <w:tcBorders>
              <w:top w:val="single" w:sz="4" w:space="0" w:color="auto"/>
              <w:left w:val="nil"/>
              <w:bottom w:val="single" w:sz="4" w:space="0" w:color="auto"/>
              <w:right w:val="nil"/>
            </w:tcBorders>
            <w:shd w:val="clear" w:color="000000" w:fill="BDD7EE"/>
            <w:vAlign w:val="bottom"/>
            <w:hideMark/>
          </w:tcPr>
          <w:p w14:paraId="654C6A3C"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Management &amp; admin</w:t>
            </w:r>
          </w:p>
        </w:tc>
        <w:tc>
          <w:tcPr>
            <w:tcW w:w="1360" w:type="dxa"/>
            <w:tcBorders>
              <w:top w:val="single" w:sz="4" w:space="0" w:color="auto"/>
              <w:left w:val="nil"/>
              <w:bottom w:val="single" w:sz="4" w:space="0" w:color="auto"/>
              <w:right w:val="nil"/>
            </w:tcBorders>
            <w:shd w:val="clear" w:color="000000" w:fill="BDD7EE"/>
            <w:vAlign w:val="bottom"/>
            <w:hideMark/>
          </w:tcPr>
          <w:p w14:paraId="3F947090"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Teamwork &amp; CPD</w:t>
            </w:r>
          </w:p>
        </w:tc>
        <w:tc>
          <w:tcPr>
            <w:tcW w:w="960" w:type="dxa"/>
            <w:tcBorders>
              <w:top w:val="single" w:sz="4" w:space="0" w:color="auto"/>
              <w:left w:val="nil"/>
              <w:bottom w:val="single" w:sz="4" w:space="0" w:color="auto"/>
              <w:right w:val="nil"/>
            </w:tcBorders>
            <w:shd w:val="clear" w:color="000000" w:fill="BDD7EE"/>
            <w:vAlign w:val="bottom"/>
            <w:hideMark/>
          </w:tcPr>
          <w:p w14:paraId="3CAF2C50"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Other</w:t>
            </w:r>
          </w:p>
        </w:tc>
      </w:tr>
      <w:tr w:rsidR="00697230" w:rsidRPr="00BF7F2E" w14:paraId="29C425B8" w14:textId="77777777" w:rsidTr="005E2E61">
        <w:trPr>
          <w:trHeight w:val="300"/>
        </w:trPr>
        <w:tc>
          <w:tcPr>
            <w:tcW w:w="2180" w:type="dxa"/>
            <w:tcBorders>
              <w:top w:val="nil"/>
              <w:left w:val="nil"/>
              <w:bottom w:val="nil"/>
              <w:right w:val="nil"/>
            </w:tcBorders>
            <w:shd w:val="clear" w:color="auto" w:fill="auto"/>
            <w:noWrap/>
            <w:vAlign w:val="bottom"/>
            <w:hideMark/>
          </w:tcPr>
          <w:p w14:paraId="70AB31D4" w14:textId="208EA0FC" w:rsidR="00697230" w:rsidRPr="00BF7F2E" w:rsidRDefault="00697230" w:rsidP="005E2E61">
            <w:pPr>
              <w:spacing w:after="0" w:line="240" w:lineRule="auto"/>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Alberta</w:t>
            </w:r>
            <w:r w:rsidR="003146E2">
              <w:rPr>
                <w:rFonts w:ascii="Times New Roman" w:eastAsia="Times New Roman" w:hAnsi="Times New Roman" w:cs="Times New Roman"/>
                <w:color w:val="000000"/>
                <w:lang w:eastAsia="en-GB"/>
              </w:rPr>
              <w:t>, Canada</w:t>
            </w:r>
          </w:p>
        </w:tc>
        <w:tc>
          <w:tcPr>
            <w:tcW w:w="1400" w:type="dxa"/>
            <w:tcBorders>
              <w:top w:val="nil"/>
              <w:left w:val="nil"/>
              <w:bottom w:val="nil"/>
              <w:right w:val="nil"/>
            </w:tcBorders>
            <w:shd w:val="clear" w:color="000000" w:fill="F2E783"/>
            <w:noWrap/>
            <w:vAlign w:val="bottom"/>
            <w:hideMark/>
          </w:tcPr>
          <w:p w14:paraId="72A380AF"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0.012</w:t>
            </w:r>
            <w:r>
              <w:rPr>
                <w:rFonts w:ascii="Times New Roman" w:eastAsia="Times New Roman" w:hAnsi="Times New Roman" w:cs="Times New Roman"/>
                <w:color w:val="000000"/>
                <w:lang w:eastAsia="en-GB"/>
              </w:rPr>
              <w:t>*</w:t>
            </w:r>
          </w:p>
        </w:tc>
        <w:tc>
          <w:tcPr>
            <w:tcW w:w="1380" w:type="dxa"/>
            <w:tcBorders>
              <w:top w:val="nil"/>
              <w:left w:val="nil"/>
              <w:bottom w:val="nil"/>
              <w:right w:val="nil"/>
            </w:tcBorders>
            <w:shd w:val="clear" w:color="000000" w:fill="FA8C72"/>
            <w:noWrap/>
            <w:vAlign w:val="bottom"/>
            <w:hideMark/>
          </w:tcPr>
          <w:p w14:paraId="058C9E5B"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0.053</w:t>
            </w:r>
            <w:r>
              <w:rPr>
                <w:rFonts w:ascii="Times New Roman" w:eastAsia="Times New Roman" w:hAnsi="Times New Roman" w:cs="Times New Roman"/>
                <w:color w:val="000000"/>
                <w:lang w:eastAsia="en-GB"/>
              </w:rPr>
              <w:t>*</w:t>
            </w:r>
          </w:p>
        </w:tc>
        <w:tc>
          <w:tcPr>
            <w:tcW w:w="1300" w:type="dxa"/>
            <w:tcBorders>
              <w:top w:val="nil"/>
              <w:left w:val="nil"/>
              <w:bottom w:val="nil"/>
              <w:right w:val="nil"/>
            </w:tcBorders>
            <w:shd w:val="clear" w:color="000000" w:fill="F8696B"/>
            <w:noWrap/>
            <w:vAlign w:val="bottom"/>
            <w:hideMark/>
          </w:tcPr>
          <w:p w14:paraId="7EA3C85F"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0.066</w:t>
            </w:r>
            <w:r>
              <w:rPr>
                <w:rFonts w:ascii="Times New Roman" w:eastAsia="Times New Roman" w:hAnsi="Times New Roman" w:cs="Times New Roman"/>
                <w:color w:val="000000"/>
                <w:lang w:eastAsia="en-GB"/>
              </w:rPr>
              <w:t>*</w:t>
            </w:r>
          </w:p>
        </w:tc>
        <w:tc>
          <w:tcPr>
            <w:tcW w:w="1451" w:type="dxa"/>
            <w:tcBorders>
              <w:top w:val="nil"/>
              <w:left w:val="nil"/>
              <w:bottom w:val="nil"/>
              <w:right w:val="nil"/>
            </w:tcBorders>
            <w:shd w:val="clear" w:color="000000" w:fill="FFDD82"/>
            <w:noWrap/>
            <w:vAlign w:val="bottom"/>
            <w:hideMark/>
          </w:tcPr>
          <w:p w14:paraId="6C4AD101"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0.023</w:t>
            </w:r>
          </w:p>
        </w:tc>
        <w:tc>
          <w:tcPr>
            <w:tcW w:w="1360" w:type="dxa"/>
            <w:tcBorders>
              <w:top w:val="nil"/>
              <w:left w:val="nil"/>
              <w:bottom w:val="nil"/>
              <w:right w:val="nil"/>
            </w:tcBorders>
            <w:shd w:val="clear" w:color="000000" w:fill="63BE7B"/>
            <w:noWrap/>
            <w:vAlign w:val="bottom"/>
            <w:hideMark/>
          </w:tcPr>
          <w:p w14:paraId="0D41142B"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-0.050</w:t>
            </w:r>
            <w:r>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000000" w:fill="E0E282"/>
            <w:noWrap/>
            <w:vAlign w:val="bottom"/>
            <w:hideMark/>
          </w:tcPr>
          <w:p w14:paraId="14AF7264"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0.004</w:t>
            </w:r>
          </w:p>
        </w:tc>
      </w:tr>
      <w:tr w:rsidR="00697230" w:rsidRPr="00BF7F2E" w14:paraId="347588D6" w14:textId="77777777" w:rsidTr="005E2E61">
        <w:trPr>
          <w:trHeight w:val="300"/>
        </w:trPr>
        <w:tc>
          <w:tcPr>
            <w:tcW w:w="2180" w:type="dxa"/>
            <w:tcBorders>
              <w:top w:val="nil"/>
              <w:left w:val="nil"/>
              <w:bottom w:val="nil"/>
              <w:right w:val="nil"/>
            </w:tcBorders>
            <w:shd w:val="clear" w:color="auto" w:fill="auto"/>
            <w:noWrap/>
            <w:vAlign w:val="bottom"/>
            <w:hideMark/>
          </w:tcPr>
          <w:p w14:paraId="64E7D0F1" w14:textId="77777777" w:rsidR="00697230" w:rsidRPr="00BF7F2E" w:rsidRDefault="00697230" w:rsidP="005E2E61">
            <w:pPr>
              <w:spacing w:after="0" w:line="240" w:lineRule="auto"/>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Australia - primary</w:t>
            </w:r>
          </w:p>
        </w:tc>
        <w:tc>
          <w:tcPr>
            <w:tcW w:w="1400" w:type="dxa"/>
            <w:tcBorders>
              <w:top w:val="nil"/>
              <w:left w:val="nil"/>
              <w:bottom w:val="nil"/>
              <w:right w:val="nil"/>
            </w:tcBorders>
            <w:shd w:val="clear" w:color="000000" w:fill="FDEA83"/>
            <w:noWrap/>
            <w:vAlign w:val="bottom"/>
            <w:hideMark/>
          </w:tcPr>
          <w:p w14:paraId="2C47AA3C"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0.015</w:t>
            </w:r>
            <w:r>
              <w:rPr>
                <w:rFonts w:ascii="Times New Roman" w:eastAsia="Times New Roman" w:hAnsi="Times New Roman" w:cs="Times New Roman"/>
                <w:color w:val="000000"/>
                <w:lang w:eastAsia="en-GB"/>
              </w:rPr>
              <w:t>*</w:t>
            </w:r>
          </w:p>
        </w:tc>
        <w:tc>
          <w:tcPr>
            <w:tcW w:w="1380" w:type="dxa"/>
            <w:tcBorders>
              <w:top w:val="nil"/>
              <w:left w:val="nil"/>
              <w:bottom w:val="nil"/>
              <w:right w:val="nil"/>
            </w:tcBorders>
            <w:shd w:val="clear" w:color="000000" w:fill="FFE583"/>
            <w:noWrap/>
            <w:vAlign w:val="bottom"/>
            <w:hideMark/>
          </w:tcPr>
          <w:p w14:paraId="545A7CDD"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0.018</w:t>
            </w:r>
            <w:r>
              <w:rPr>
                <w:rFonts w:ascii="Times New Roman" w:eastAsia="Times New Roman" w:hAnsi="Times New Roman" w:cs="Times New Roman"/>
                <w:color w:val="000000"/>
                <w:lang w:eastAsia="en-GB"/>
              </w:rPr>
              <w:t>*</w:t>
            </w:r>
          </w:p>
        </w:tc>
        <w:tc>
          <w:tcPr>
            <w:tcW w:w="1300" w:type="dxa"/>
            <w:tcBorders>
              <w:top w:val="nil"/>
              <w:left w:val="nil"/>
              <w:bottom w:val="nil"/>
              <w:right w:val="nil"/>
            </w:tcBorders>
            <w:shd w:val="clear" w:color="000000" w:fill="F8696B"/>
            <w:noWrap/>
            <w:vAlign w:val="bottom"/>
            <w:hideMark/>
          </w:tcPr>
          <w:p w14:paraId="2E75058D"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0.064</w:t>
            </w:r>
            <w:r>
              <w:rPr>
                <w:rFonts w:ascii="Times New Roman" w:eastAsia="Times New Roman" w:hAnsi="Times New Roman" w:cs="Times New Roman"/>
                <w:color w:val="000000"/>
                <w:lang w:eastAsia="en-GB"/>
              </w:rPr>
              <w:t>*</w:t>
            </w:r>
          </w:p>
        </w:tc>
        <w:tc>
          <w:tcPr>
            <w:tcW w:w="1451" w:type="dxa"/>
            <w:tcBorders>
              <w:top w:val="nil"/>
              <w:left w:val="nil"/>
              <w:bottom w:val="nil"/>
              <w:right w:val="nil"/>
            </w:tcBorders>
            <w:shd w:val="clear" w:color="000000" w:fill="98CD7E"/>
            <w:noWrap/>
            <w:vAlign w:val="bottom"/>
            <w:hideMark/>
          </w:tcPr>
          <w:p w14:paraId="5A62AED7"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-0.008</w:t>
            </w:r>
          </w:p>
        </w:tc>
        <w:tc>
          <w:tcPr>
            <w:tcW w:w="1360" w:type="dxa"/>
            <w:tcBorders>
              <w:top w:val="nil"/>
              <w:left w:val="nil"/>
              <w:bottom w:val="nil"/>
              <w:right w:val="nil"/>
            </w:tcBorders>
            <w:shd w:val="clear" w:color="000000" w:fill="63BE7B"/>
            <w:noWrap/>
            <w:vAlign w:val="bottom"/>
            <w:hideMark/>
          </w:tcPr>
          <w:p w14:paraId="16DA45ED"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-0.021</w:t>
            </w:r>
          </w:p>
        </w:tc>
        <w:tc>
          <w:tcPr>
            <w:tcW w:w="960" w:type="dxa"/>
            <w:tcBorders>
              <w:top w:val="nil"/>
              <w:left w:val="nil"/>
              <w:bottom w:val="nil"/>
              <w:right w:val="nil"/>
            </w:tcBorders>
            <w:shd w:val="clear" w:color="000000" w:fill="FFEA84"/>
            <w:noWrap/>
            <w:vAlign w:val="bottom"/>
            <w:hideMark/>
          </w:tcPr>
          <w:p w14:paraId="4EB94414"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0.016</w:t>
            </w:r>
            <w:r>
              <w:rPr>
                <w:rFonts w:ascii="Times New Roman" w:eastAsia="Times New Roman" w:hAnsi="Times New Roman" w:cs="Times New Roman"/>
                <w:color w:val="000000"/>
                <w:lang w:eastAsia="en-GB"/>
              </w:rPr>
              <w:t>*</w:t>
            </w:r>
          </w:p>
        </w:tc>
      </w:tr>
      <w:tr w:rsidR="00697230" w:rsidRPr="00BF7F2E" w14:paraId="700189D1" w14:textId="77777777" w:rsidTr="005E2E61">
        <w:trPr>
          <w:trHeight w:val="300"/>
        </w:trPr>
        <w:tc>
          <w:tcPr>
            <w:tcW w:w="2180" w:type="dxa"/>
            <w:tcBorders>
              <w:top w:val="nil"/>
              <w:left w:val="nil"/>
              <w:bottom w:val="nil"/>
              <w:right w:val="nil"/>
            </w:tcBorders>
            <w:shd w:val="clear" w:color="auto" w:fill="auto"/>
            <w:noWrap/>
            <w:vAlign w:val="bottom"/>
            <w:hideMark/>
          </w:tcPr>
          <w:p w14:paraId="1C0F3DDB" w14:textId="77777777" w:rsidR="00697230" w:rsidRPr="00BF7F2E" w:rsidRDefault="00697230" w:rsidP="005E2E61">
            <w:pPr>
              <w:spacing w:after="0" w:line="240" w:lineRule="auto"/>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Australia - secondary</w:t>
            </w:r>
          </w:p>
        </w:tc>
        <w:tc>
          <w:tcPr>
            <w:tcW w:w="1400" w:type="dxa"/>
            <w:tcBorders>
              <w:top w:val="nil"/>
              <w:left w:val="nil"/>
              <w:bottom w:val="nil"/>
              <w:right w:val="nil"/>
            </w:tcBorders>
            <w:shd w:val="clear" w:color="000000" w:fill="FFE082"/>
            <w:noWrap/>
            <w:vAlign w:val="bottom"/>
            <w:hideMark/>
          </w:tcPr>
          <w:p w14:paraId="0FC4B24F"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0.012</w:t>
            </w:r>
            <w:r>
              <w:rPr>
                <w:rFonts w:ascii="Times New Roman" w:eastAsia="Times New Roman" w:hAnsi="Times New Roman" w:cs="Times New Roman"/>
                <w:color w:val="000000"/>
                <w:lang w:eastAsia="en-GB"/>
              </w:rPr>
              <w:t>*</w:t>
            </w:r>
          </w:p>
        </w:tc>
        <w:tc>
          <w:tcPr>
            <w:tcW w:w="1380" w:type="dxa"/>
            <w:tcBorders>
              <w:top w:val="nil"/>
              <w:left w:val="nil"/>
              <w:bottom w:val="nil"/>
              <w:right w:val="nil"/>
            </w:tcBorders>
            <w:shd w:val="clear" w:color="000000" w:fill="FA8671"/>
            <w:noWrap/>
            <w:vAlign w:val="bottom"/>
            <w:hideMark/>
          </w:tcPr>
          <w:p w14:paraId="07F93993"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0.042</w:t>
            </w:r>
            <w:r>
              <w:rPr>
                <w:rFonts w:ascii="Times New Roman" w:eastAsia="Times New Roman" w:hAnsi="Times New Roman" w:cs="Times New Roman"/>
                <w:color w:val="000000"/>
                <w:lang w:eastAsia="en-GB"/>
              </w:rPr>
              <w:t>*</w:t>
            </w:r>
          </w:p>
        </w:tc>
        <w:tc>
          <w:tcPr>
            <w:tcW w:w="1300" w:type="dxa"/>
            <w:tcBorders>
              <w:top w:val="nil"/>
              <w:left w:val="nil"/>
              <w:bottom w:val="nil"/>
              <w:right w:val="nil"/>
            </w:tcBorders>
            <w:shd w:val="clear" w:color="000000" w:fill="F8696B"/>
            <w:noWrap/>
            <w:vAlign w:val="bottom"/>
            <w:hideMark/>
          </w:tcPr>
          <w:p w14:paraId="7F226AB4"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0.051</w:t>
            </w:r>
            <w:r>
              <w:rPr>
                <w:rFonts w:ascii="Times New Roman" w:eastAsia="Times New Roman" w:hAnsi="Times New Roman" w:cs="Times New Roman"/>
                <w:color w:val="000000"/>
                <w:lang w:eastAsia="en-GB"/>
              </w:rPr>
              <w:t>*</w:t>
            </w:r>
          </w:p>
        </w:tc>
        <w:tc>
          <w:tcPr>
            <w:tcW w:w="1451" w:type="dxa"/>
            <w:tcBorders>
              <w:top w:val="nil"/>
              <w:left w:val="nil"/>
              <w:bottom w:val="nil"/>
              <w:right w:val="nil"/>
            </w:tcBorders>
            <w:shd w:val="clear" w:color="000000" w:fill="DAE081"/>
            <w:noWrap/>
            <w:vAlign w:val="bottom"/>
            <w:hideMark/>
          </w:tcPr>
          <w:p w14:paraId="66648555"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0.003</w:t>
            </w:r>
          </w:p>
        </w:tc>
        <w:tc>
          <w:tcPr>
            <w:tcW w:w="1360" w:type="dxa"/>
            <w:tcBorders>
              <w:top w:val="nil"/>
              <w:left w:val="nil"/>
              <w:bottom w:val="nil"/>
              <w:right w:val="nil"/>
            </w:tcBorders>
            <w:shd w:val="clear" w:color="000000" w:fill="63BE7B"/>
            <w:noWrap/>
            <w:vAlign w:val="bottom"/>
            <w:hideMark/>
          </w:tcPr>
          <w:p w14:paraId="395BF727"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-0.016</w:t>
            </w:r>
          </w:p>
        </w:tc>
        <w:tc>
          <w:tcPr>
            <w:tcW w:w="960" w:type="dxa"/>
            <w:tcBorders>
              <w:top w:val="nil"/>
              <w:left w:val="nil"/>
              <w:bottom w:val="nil"/>
              <w:right w:val="nil"/>
            </w:tcBorders>
            <w:shd w:val="clear" w:color="000000" w:fill="E7E482"/>
            <w:noWrap/>
            <w:vAlign w:val="bottom"/>
            <w:hideMark/>
          </w:tcPr>
          <w:p w14:paraId="182574E1"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0.005</w:t>
            </w:r>
          </w:p>
        </w:tc>
      </w:tr>
      <w:tr w:rsidR="00697230" w:rsidRPr="00BF7F2E" w14:paraId="42506D15" w14:textId="77777777" w:rsidTr="005E2E61">
        <w:trPr>
          <w:trHeight w:val="300"/>
        </w:trPr>
        <w:tc>
          <w:tcPr>
            <w:tcW w:w="2180" w:type="dxa"/>
            <w:tcBorders>
              <w:top w:val="nil"/>
              <w:left w:val="nil"/>
              <w:bottom w:val="nil"/>
              <w:right w:val="nil"/>
            </w:tcBorders>
            <w:shd w:val="clear" w:color="auto" w:fill="auto"/>
            <w:noWrap/>
            <w:vAlign w:val="bottom"/>
            <w:hideMark/>
          </w:tcPr>
          <w:p w14:paraId="06110BF8" w14:textId="77777777" w:rsidR="00697230" w:rsidRPr="00BF7F2E" w:rsidRDefault="00697230" w:rsidP="005E2E61">
            <w:pPr>
              <w:spacing w:after="0" w:line="240" w:lineRule="auto"/>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England - primary</w:t>
            </w:r>
          </w:p>
        </w:tc>
        <w:tc>
          <w:tcPr>
            <w:tcW w:w="1400" w:type="dxa"/>
            <w:tcBorders>
              <w:top w:val="nil"/>
              <w:left w:val="nil"/>
              <w:bottom w:val="nil"/>
              <w:right w:val="nil"/>
            </w:tcBorders>
            <w:shd w:val="clear" w:color="000000" w:fill="E8E482"/>
            <w:noWrap/>
            <w:vAlign w:val="bottom"/>
            <w:hideMark/>
          </w:tcPr>
          <w:p w14:paraId="5704D214"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0.007</w:t>
            </w:r>
          </w:p>
        </w:tc>
        <w:tc>
          <w:tcPr>
            <w:tcW w:w="1380" w:type="dxa"/>
            <w:tcBorders>
              <w:top w:val="nil"/>
              <w:left w:val="nil"/>
              <w:bottom w:val="nil"/>
              <w:right w:val="nil"/>
            </w:tcBorders>
            <w:shd w:val="clear" w:color="000000" w:fill="FCA677"/>
            <w:noWrap/>
            <w:vAlign w:val="bottom"/>
            <w:hideMark/>
          </w:tcPr>
          <w:p w14:paraId="6EFC30D0"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0.038</w:t>
            </w:r>
            <w:r>
              <w:rPr>
                <w:rFonts w:ascii="Times New Roman" w:eastAsia="Times New Roman" w:hAnsi="Times New Roman" w:cs="Times New Roman"/>
                <w:color w:val="000000"/>
                <w:lang w:eastAsia="en-GB"/>
              </w:rPr>
              <w:t>*</w:t>
            </w:r>
          </w:p>
        </w:tc>
        <w:tc>
          <w:tcPr>
            <w:tcW w:w="1300" w:type="dxa"/>
            <w:tcBorders>
              <w:top w:val="nil"/>
              <w:left w:val="nil"/>
              <w:bottom w:val="nil"/>
              <w:right w:val="nil"/>
            </w:tcBorders>
            <w:shd w:val="clear" w:color="000000" w:fill="F8696B"/>
            <w:noWrap/>
            <w:vAlign w:val="bottom"/>
            <w:hideMark/>
          </w:tcPr>
          <w:p w14:paraId="5BE99CD0"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0.060</w:t>
            </w:r>
            <w:r>
              <w:rPr>
                <w:rFonts w:ascii="Times New Roman" w:eastAsia="Times New Roman" w:hAnsi="Times New Roman" w:cs="Times New Roman"/>
                <w:color w:val="000000"/>
                <w:lang w:eastAsia="en-GB"/>
              </w:rPr>
              <w:t>*</w:t>
            </w:r>
          </w:p>
        </w:tc>
        <w:tc>
          <w:tcPr>
            <w:tcW w:w="1451" w:type="dxa"/>
            <w:tcBorders>
              <w:top w:val="nil"/>
              <w:left w:val="nil"/>
              <w:bottom w:val="nil"/>
              <w:right w:val="nil"/>
            </w:tcBorders>
            <w:shd w:val="clear" w:color="000000" w:fill="AED37F"/>
            <w:noWrap/>
            <w:vAlign w:val="bottom"/>
            <w:hideMark/>
          </w:tcPr>
          <w:p w14:paraId="2C31BE24"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-0.008</w:t>
            </w:r>
          </w:p>
        </w:tc>
        <w:tc>
          <w:tcPr>
            <w:tcW w:w="1360" w:type="dxa"/>
            <w:tcBorders>
              <w:top w:val="nil"/>
              <w:left w:val="nil"/>
              <w:bottom w:val="nil"/>
              <w:right w:val="nil"/>
            </w:tcBorders>
            <w:shd w:val="clear" w:color="000000" w:fill="63BE7B"/>
            <w:noWrap/>
            <w:vAlign w:val="bottom"/>
            <w:hideMark/>
          </w:tcPr>
          <w:p w14:paraId="0B58381C"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-0.027</w:t>
            </w:r>
            <w:r>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000000" w:fill="FFDC81"/>
            <w:noWrap/>
            <w:vAlign w:val="bottom"/>
            <w:hideMark/>
          </w:tcPr>
          <w:p w14:paraId="526D3328"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0.019</w:t>
            </w:r>
            <w:r>
              <w:rPr>
                <w:rFonts w:ascii="Times New Roman" w:eastAsia="Times New Roman" w:hAnsi="Times New Roman" w:cs="Times New Roman"/>
                <w:color w:val="000000"/>
                <w:lang w:eastAsia="en-GB"/>
              </w:rPr>
              <w:t>*</w:t>
            </w:r>
          </w:p>
        </w:tc>
      </w:tr>
      <w:tr w:rsidR="00697230" w:rsidRPr="00BF7F2E" w14:paraId="067E2C2D" w14:textId="77777777" w:rsidTr="005E2E61">
        <w:trPr>
          <w:trHeight w:val="300"/>
        </w:trPr>
        <w:tc>
          <w:tcPr>
            <w:tcW w:w="2180" w:type="dxa"/>
            <w:tcBorders>
              <w:top w:val="nil"/>
              <w:left w:val="nil"/>
              <w:bottom w:val="nil"/>
              <w:right w:val="nil"/>
            </w:tcBorders>
            <w:shd w:val="clear" w:color="auto" w:fill="auto"/>
            <w:noWrap/>
            <w:vAlign w:val="bottom"/>
            <w:hideMark/>
          </w:tcPr>
          <w:p w14:paraId="22759985" w14:textId="77777777" w:rsidR="00697230" w:rsidRPr="00BF7F2E" w:rsidRDefault="00697230" w:rsidP="005E2E61">
            <w:pPr>
              <w:spacing w:after="0" w:line="240" w:lineRule="auto"/>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England - secondary</w:t>
            </w:r>
          </w:p>
        </w:tc>
        <w:tc>
          <w:tcPr>
            <w:tcW w:w="1400" w:type="dxa"/>
            <w:tcBorders>
              <w:top w:val="nil"/>
              <w:left w:val="nil"/>
              <w:bottom w:val="nil"/>
              <w:right w:val="nil"/>
            </w:tcBorders>
            <w:shd w:val="clear" w:color="000000" w:fill="FDB77A"/>
            <w:noWrap/>
            <w:vAlign w:val="bottom"/>
            <w:hideMark/>
          </w:tcPr>
          <w:p w14:paraId="148F4375"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0.029</w:t>
            </w:r>
            <w:r>
              <w:rPr>
                <w:rFonts w:ascii="Times New Roman" w:eastAsia="Times New Roman" w:hAnsi="Times New Roman" w:cs="Times New Roman"/>
                <w:color w:val="000000"/>
                <w:lang w:eastAsia="en-GB"/>
              </w:rPr>
              <w:t>*</w:t>
            </w:r>
          </w:p>
        </w:tc>
        <w:tc>
          <w:tcPr>
            <w:tcW w:w="1380" w:type="dxa"/>
            <w:tcBorders>
              <w:top w:val="nil"/>
              <w:left w:val="nil"/>
              <w:bottom w:val="nil"/>
              <w:right w:val="nil"/>
            </w:tcBorders>
            <w:shd w:val="clear" w:color="000000" w:fill="FCB179"/>
            <w:noWrap/>
            <w:vAlign w:val="bottom"/>
            <w:hideMark/>
          </w:tcPr>
          <w:p w14:paraId="571BA590"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0.030</w:t>
            </w:r>
            <w:r>
              <w:rPr>
                <w:rFonts w:ascii="Times New Roman" w:eastAsia="Times New Roman" w:hAnsi="Times New Roman" w:cs="Times New Roman"/>
                <w:color w:val="000000"/>
                <w:lang w:eastAsia="en-GB"/>
              </w:rPr>
              <w:t>*</w:t>
            </w:r>
          </w:p>
        </w:tc>
        <w:tc>
          <w:tcPr>
            <w:tcW w:w="1300" w:type="dxa"/>
            <w:tcBorders>
              <w:top w:val="nil"/>
              <w:left w:val="nil"/>
              <w:bottom w:val="nil"/>
              <w:right w:val="nil"/>
            </w:tcBorders>
            <w:shd w:val="clear" w:color="000000" w:fill="F8696B"/>
            <w:noWrap/>
            <w:vAlign w:val="bottom"/>
            <w:hideMark/>
          </w:tcPr>
          <w:p w14:paraId="5AAB58C8"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0.046</w:t>
            </w:r>
            <w:r>
              <w:rPr>
                <w:rFonts w:ascii="Times New Roman" w:eastAsia="Times New Roman" w:hAnsi="Times New Roman" w:cs="Times New Roman"/>
                <w:color w:val="000000"/>
                <w:lang w:eastAsia="en-GB"/>
              </w:rPr>
              <w:t>*</w:t>
            </w:r>
          </w:p>
        </w:tc>
        <w:tc>
          <w:tcPr>
            <w:tcW w:w="1451" w:type="dxa"/>
            <w:tcBorders>
              <w:top w:val="nil"/>
              <w:left w:val="nil"/>
              <w:bottom w:val="nil"/>
              <w:right w:val="nil"/>
            </w:tcBorders>
            <w:shd w:val="clear" w:color="000000" w:fill="8ECA7D"/>
            <w:noWrap/>
            <w:vAlign w:val="bottom"/>
            <w:hideMark/>
          </w:tcPr>
          <w:p w14:paraId="7A79D7D4"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-0.005</w:t>
            </w:r>
          </w:p>
        </w:tc>
        <w:tc>
          <w:tcPr>
            <w:tcW w:w="1360" w:type="dxa"/>
            <w:tcBorders>
              <w:top w:val="nil"/>
              <w:left w:val="nil"/>
              <w:bottom w:val="nil"/>
              <w:right w:val="nil"/>
            </w:tcBorders>
            <w:shd w:val="clear" w:color="000000" w:fill="63BE7B"/>
            <w:noWrap/>
            <w:vAlign w:val="bottom"/>
            <w:hideMark/>
          </w:tcPr>
          <w:p w14:paraId="2F59E4CA"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-0.013</w:t>
            </w:r>
          </w:p>
        </w:tc>
        <w:tc>
          <w:tcPr>
            <w:tcW w:w="960" w:type="dxa"/>
            <w:tcBorders>
              <w:top w:val="nil"/>
              <w:left w:val="nil"/>
              <w:bottom w:val="nil"/>
              <w:right w:val="nil"/>
            </w:tcBorders>
            <w:shd w:val="clear" w:color="000000" w:fill="C4DA80"/>
            <w:noWrap/>
            <w:vAlign w:val="bottom"/>
            <w:hideMark/>
          </w:tcPr>
          <w:p w14:paraId="26AAEE21"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0.006</w:t>
            </w:r>
          </w:p>
        </w:tc>
      </w:tr>
      <w:tr w:rsidR="00697230" w:rsidRPr="00BF7F2E" w14:paraId="18D19F2F" w14:textId="77777777" w:rsidTr="005E2E61">
        <w:trPr>
          <w:trHeight w:val="300"/>
        </w:trPr>
        <w:tc>
          <w:tcPr>
            <w:tcW w:w="2180" w:type="dxa"/>
            <w:tcBorders>
              <w:top w:val="nil"/>
              <w:left w:val="nil"/>
              <w:bottom w:val="nil"/>
              <w:right w:val="nil"/>
            </w:tcBorders>
            <w:shd w:val="clear" w:color="auto" w:fill="auto"/>
            <w:noWrap/>
            <w:vAlign w:val="bottom"/>
            <w:hideMark/>
          </w:tcPr>
          <w:p w14:paraId="31717910" w14:textId="77777777" w:rsidR="00697230" w:rsidRPr="00BF7F2E" w:rsidRDefault="00697230" w:rsidP="005E2E61">
            <w:pPr>
              <w:spacing w:after="0" w:line="240" w:lineRule="auto"/>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New Zealand</w:t>
            </w:r>
          </w:p>
        </w:tc>
        <w:tc>
          <w:tcPr>
            <w:tcW w:w="1400" w:type="dxa"/>
            <w:tcBorders>
              <w:top w:val="nil"/>
              <w:left w:val="nil"/>
              <w:bottom w:val="nil"/>
              <w:right w:val="nil"/>
            </w:tcBorders>
            <w:shd w:val="clear" w:color="000000" w:fill="FFDC82"/>
            <w:noWrap/>
            <w:vAlign w:val="bottom"/>
            <w:hideMark/>
          </w:tcPr>
          <w:p w14:paraId="693E35EC"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0.019</w:t>
            </w:r>
            <w:r>
              <w:rPr>
                <w:rFonts w:ascii="Times New Roman" w:eastAsia="Times New Roman" w:hAnsi="Times New Roman" w:cs="Times New Roman"/>
                <w:color w:val="000000"/>
                <w:lang w:eastAsia="en-GB"/>
              </w:rPr>
              <w:t>*</w:t>
            </w:r>
          </w:p>
        </w:tc>
        <w:tc>
          <w:tcPr>
            <w:tcW w:w="1380" w:type="dxa"/>
            <w:tcBorders>
              <w:top w:val="nil"/>
              <w:left w:val="nil"/>
              <w:bottom w:val="nil"/>
              <w:right w:val="nil"/>
            </w:tcBorders>
            <w:shd w:val="clear" w:color="000000" w:fill="FEC87E"/>
            <w:noWrap/>
            <w:vAlign w:val="bottom"/>
            <w:hideMark/>
          </w:tcPr>
          <w:p w14:paraId="12A79A25"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0.027</w:t>
            </w:r>
            <w:r>
              <w:rPr>
                <w:rFonts w:ascii="Times New Roman" w:eastAsia="Times New Roman" w:hAnsi="Times New Roman" w:cs="Times New Roman"/>
                <w:color w:val="000000"/>
                <w:lang w:eastAsia="en-GB"/>
              </w:rPr>
              <w:t>*</w:t>
            </w:r>
          </w:p>
        </w:tc>
        <w:tc>
          <w:tcPr>
            <w:tcW w:w="1300" w:type="dxa"/>
            <w:tcBorders>
              <w:top w:val="nil"/>
              <w:left w:val="nil"/>
              <w:bottom w:val="nil"/>
              <w:right w:val="nil"/>
            </w:tcBorders>
            <w:shd w:val="clear" w:color="000000" w:fill="F8696B"/>
            <w:noWrap/>
            <w:vAlign w:val="bottom"/>
            <w:hideMark/>
          </w:tcPr>
          <w:p w14:paraId="42D13723"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0.062</w:t>
            </w:r>
            <w:r>
              <w:rPr>
                <w:rFonts w:ascii="Times New Roman" w:eastAsia="Times New Roman" w:hAnsi="Times New Roman" w:cs="Times New Roman"/>
                <w:color w:val="000000"/>
                <w:lang w:eastAsia="en-GB"/>
              </w:rPr>
              <w:t>*</w:t>
            </w:r>
          </w:p>
        </w:tc>
        <w:tc>
          <w:tcPr>
            <w:tcW w:w="1451" w:type="dxa"/>
            <w:tcBorders>
              <w:top w:val="nil"/>
              <w:left w:val="nil"/>
              <w:bottom w:val="nil"/>
              <w:right w:val="nil"/>
            </w:tcBorders>
            <w:shd w:val="clear" w:color="000000" w:fill="ECE582"/>
            <w:noWrap/>
            <w:vAlign w:val="bottom"/>
            <w:hideMark/>
          </w:tcPr>
          <w:p w14:paraId="6F3D0E4E"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0.008</w:t>
            </w:r>
          </w:p>
        </w:tc>
        <w:tc>
          <w:tcPr>
            <w:tcW w:w="1360" w:type="dxa"/>
            <w:tcBorders>
              <w:top w:val="nil"/>
              <w:left w:val="nil"/>
              <w:bottom w:val="nil"/>
              <w:right w:val="nil"/>
            </w:tcBorders>
            <w:shd w:val="clear" w:color="000000" w:fill="63BE7B"/>
            <w:noWrap/>
            <w:vAlign w:val="bottom"/>
            <w:hideMark/>
          </w:tcPr>
          <w:p w14:paraId="145AC950"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-0.032</w:t>
            </w:r>
            <w:r>
              <w:rPr>
                <w:rFonts w:ascii="Times New Roman" w:eastAsia="Times New Roman" w:hAnsi="Times New Roman" w:cs="Times New Roman"/>
                <w:color w:val="000000"/>
                <w:lang w:eastAsia="en-GB"/>
              </w:rPr>
              <w:t>*</w:t>
            </w:r>
          </w:p>
        </w:tc>
        <w:tc>
          <w:tcPr>
            <w:tcW w:w="960" w:type="dxa"/>
            <w:tcBorders>
              <w:top w:val="nil"/>
              <w:left w:val="nil"/>
              <w:bottom w:val="nil"/>
              <w:right w:val="nil"/>
            </w:tcBorders>
            <w:shd w:val="clear" w:color="000000" w:fill="CEDD81"/>
            <w:noWrap/>
            <w:vAlign w:val="bottom"/>
            <w:hideMark/>
          </w:tcPr>
          <w:p w14:paraId="79E9C904"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0.000</w:t>
            </w:r>
          </w:p>
        </w:tc>
      </w:tr>
      <w:tr w:rsidR="00697230" w:rsidRPr="00BF7F2E" w14:paraId="28CEEE83" w14:textId="77777777" w:rsidTr="005E2E61">
        <w:trPr>
          <w:trHeight w:val="300"/>
        </w:trPr>
        <w:tc>
          <w:tcPr>
            <w:tcW w:w="2180" w:type="dxa"/>
            <w:tcBorders>
              <w:top w:val="nil"/>
              <w:left w:val="nil"/>
              <w:bottom w:val="nil"/>
              <w:right w:val="nil"/>
            </w:tcBorders>
            <w:shd w:val="clear" w:color="auto" w:fill="auto"/>
            <w:noWrap/>
            <w:vAlign w:val="bottom"/>
            <w:hideMark/>
          </w:tcPr>
          <w:p w14:paraId="3CD483F3" w14:textId="77777777" w:rsidR="00697230" w:rsidRPr="00BF7F2E" w:rsidRDefault="00697230" w:rsidP="005E2E61">
            <w:pPr>
              <w:spacing w:after="0" w:line="240" w:lineRule="auto"/>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USA</w:t>
            </w:r>
          </w:p>
        </w:tc>
        <w:tc>
          <w:tcPr>
            <w:tcW w:w="1400" w:type="dxa"/>
            <w:tcBorders>
              <w:top w:val="nil"/>
              <w:left w:val="nil"/>
              <w:bottom w:val="nil"/>
              <w:right w:val="nil"/>
            </w:tcBorders>
            <w:shd w:val="clear" w:color="000000" w:fill="FFEB84"/>
            <w:noWrap/>
            <w:vAlign w:val="bottom"/>
            <w:hideMark/>
          </w:tcPr>
          <w:p w14:paraId="3FD6CBC2"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0.004</w:t>
            </w:r>
          </w:p>
        </w:tc>
        <w:tc>
          <w:tcPr>
            <w:tcW w:w="1380" w:type="dxa"/>
            <w:tcBorders>
              <w:top w:val="nil"/>
              <w:left w:val="nil"/>
              <w:bottom w:val="nil"/>
              <w:right w:val="nil"/>
            </w:tcBorders>
            <w:shd w:val="clear" w:color="000000" w:fill="FCAF79"/>
            <w:noWrap/>
            <w:vAlign w:val="bottom"/>
            <w:hideMark/>
          </w:tcPr>
          <w:p w14:paraId="2E539A15"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0.034</w:t>
            </w:r>
            <w:r>
              <w:rPr>
                <w:rFonts w:ascii="Times New Roman" w:eastAsia="Times New Roman" w:hAnsi="Times New Roman" w:cs="Times New Roman"/>
                <w:color w:val="000000"/>
                <w:lang w:eastAsia="en-GB"/>
              </w:rPr>
              <w:t>*</w:t>
            </w:r>
          </w:p>
        </w:tc>
        <w:tc>
          <w:tcPr>
            <w:tcW w:w="1300" w:type="dxa"/>
            <w:tcBorders>
              <w:top w:val="nil"/>
              <w:left w:val="nil"/>
              <w:bottom w:val="nil"/>
              <w:right w:val="nil"/>
            </w:tcBorders>
            <w:shd w:val="clear" w:color="000000" w:fill="F8696B"/>
            <w:noWrap/>
            <w:vAlign w:val="bottom"/>
            <w:hideMark/>
          </w:tcPr>
          <w:p w14:paraId="584AF1D7"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0.068</w:t>
            </w:r>
            <w:r>
              <w:rPr>
                <w:rFonts w:ascii="Times New Roman" w:eastAsia="Times New Roman" w:hAnsi="Times New Roman" w:cs="Times New Roman"/>
                <w:color w:val="000000"/>
                <w:lang w:eastAsia="en-GB"/>
              </w:rPr>
              <w:t>*</w:t>
            </w:r>
          </w:p>
        </w:tc>
        <w:tc>
          <w:tcPr>
            <w:tcW w:w="1451" w:type="dxa"/>
            <w:tcBorders>
              <w:top w:val="nil"/>
              <w:left w:val="nil"/>
              <w:bottom w:val="nil"/>
              <w:right w:val="nil"/>
            </w:tcBorders>
            <w:shd w:val="clear" w:color="000000" w:fill="FEEA83"/>
            <w:noWrap/>
            <w:vAlign w:val="bottom"/>
            <w:hideMark/>
          </w:tcPr>
          <w:p w14:paraId="4E2CB99E"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0.003</w:t>
            </w:r>
          </w:p>
        </w:tc>
        <w:tc>
          <w:tcPr>
            <w:tcW w:w="1360" w:type="dxa"/>
            <w:tcBorders>
              <w:top w:val="nil"/>
              <w:left w:val="nil"/>
              <w:bottom w:val="nil"/>
              <w:right w:val="nil"/>
            </w:tcBorders>
            <w:shd w:val="clear" w:color="000000" w:fill="63BE7B"/>
            <w:noWrap/>
            <w:vAlign w:val="bottom"/>
            <w:hideMark/>
          </w:tcPr>
          <w:p w14:paraId="24D9CD8C"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-0.045</w:t>
            </w:r>
          </w:p>
        </w:tc>
        <w:tc>
          <w:tcPr>
            <w:tcW w:w="960" w:type="dxa"/>
            <w:tcBorders>
              <w:top w:val="nil"/>
              <w:left w:val="nil"/>
              <w:bottom w:val="nil"/>
              <w:right w:val="nil"/>
            </w:tcBorders>
            <w:shd w:val="clear" w:color="000000" w:fill="DEE182"/>
            <w:noWrap/>
            <w:vAlign w:val="bottom"/>
            <w:hideMark/>
          </w:tcPr>
          <w:p w14:paraId="52AF43F5" w14:textId="77777777" w:rsidR="00697230" w:rsidRPr="00BF7F2E" w:rsidRDefault="00697230" w:rsidP="005E2E61">
            <w:pPr>
              <w:spacing w:after="0" w:line="240" w:lineRule="auto"/>
              <w:jc w:val="center"/>
              <w:rPr>
                <w:rFonts w:ascii="Times New Roman" w:eastAsia="Times New Roman" w:hAnsi="Times New Roman" w:cs="Times New Roman"/>
                <w:color w:val="000000"/>
                <w:lang w:eastAsia="en-GB"/>
              </w:rPr>
            </w:pPr>
            <w:r w:rsidRPr="00BF7F2E">
              <w:rPr>
                <w:rFonts w:ascii="Times New Roman" w:eastAsia="Times New Roman" w:hAnsi="Times New Roman" w:cs="Times New Roman"/>
                <w:color w:val="000000"/>
                <w:lang w:eastAsia="en-GB"/>
              </w:rPr>
              <w:t>-0.007</w:t>
            </w:r>
          </w:p>
        </w:tc>
      </w:tr>
      <w:tr w:rsidR="00697230" w:rsidRPr="00BF7F2E" w14:paraId="662CB746" w14:textId="77777777" w:rsidTr="005E2E61">
        <w:trPr>
          <w:trHeight w:val="300"/>
        </w:trPr>
        <w:tc>
          <w:tcPr>
            <w:tcW w:w="2180" w:type="dxa"/>
            <w:tcBorders>
              <w:top w:val="single" w:sz="4" w:space="0" w:color="auto"/>
              <w:left w:val="nil"/>
              <w:bottom w:val="single" w:sz="4" w:space="0" w:color="auto"/>
              <w:right w:val="nil"/>
            </w:tcBorders>
            <w:shd w:val="clear" w:color="auto" w:fill="auto"/>
            <w:noWrap/>
            <w:vAlign w:val="bottom"/>
            <w:hideMark/>
          </w:tcPr>
          <w:p w14:paraId="25A0EFA2" w14:textId="77777777" w:rsidR="00697230" w:rsidRPr="00BF7F2E" w:rsidRDefault="00697230" w:rsidP="005E2E61">
            <w:pPr>
              <w:spacing w:after="0" w:line="240" w:lineRule="auto"/>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Average</w:t>
            </w:r>
          </w:p>
        </w:tc>
        <w:tc>
          <w:tcPr>
            <w:tcW w:w="1400" w:type="dxa"/>
            <w:tcBorders>
              <w:top w:val="single" w:sz="4" w:space="0" w:color="auto"/>
              <w:left w:val="nil"/>
              <w:bottom w:val="single" w:sz="4" w:space="0" w:color="auto"/>
              <w:right w:val="nil"/>
            </w:tcBorders>
            <w:shd w:val="clear" w:color="auto" w:fill="auto"/>
            <w:noWrap/>
            <w:vAlign w:val="bottom"/>
            <w:hideMark/>
          </w:tcPr>
          <w:p w14:paraId="2A15DDBD"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0.014</w:t>
            </w:r>
          </w:p>
        </w:tc>
        <w:tc>
          <w:tcPr>
            <w:tcW w:w="1380" w:type="dxa"/>
            <w:tcBorders>
              <w:top w:val="single" w:sz="4" w:space="0" w:color="auto"/>
              <w:left w:val="nil"/>
              <w:bottom w:val="single" w:sz="4" w:space="0" w:color="auto"/>
              <w:right w:val="nil"/>
            </w:tcBorders>
            <w:shd w:val="clear" w:color="auto" w:fill="auto"/>
            <w:noWrap/>
            <w:vAlign w:val="bottom"/>
            <w:hideMark/>
          </w:tcPr>
          <w:p w14:paraId="23E864DE"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0.034</w:t>
            </w:r>
          </w:p>
        </w:tc>
        <w:tc>
          <w:tcPr>
            <w:tcW w:w="1300" w:type="dxa"/>
            <w:tcBorders>
              <w:top w:val="single" w:sz="4" w:space="0" w:color="auto"/>
              <w:left w:val="nil"/>
              <w:bottom w:val="single" w:sz="4" w:space="0" w:color="auto"/>
              <w:right w:val="nil"/>
            </w:tcBorders>
            <w:shd w:val="clear" w:color="auto" w:fill="auto"/>
            <w:noWrap/>
            <w:vAlign w:val="bottom"/>
            <w:hideMark/>
          </w:tcPr>
          <w:p w14:paraId="25725DE2"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0.059</w:t>
            </w:r>
          </w:p>
        </w:tc>
        <w:tc>
          <w:tcPr>
            <w:tcW w:w="1451" w:type="dxa"/>
            <w:tcBorders>
              <w:top w:val="single" w:sz="4" w:space="0" w:color="auto"/>
              <w:left w:val="nil"/>
              <w:bottom w:val="single" w:sz="4" w:space="0" w:color="auto"/>
              <w:right w:val="nil"/>
            </w:tcBorders>
            <w:shd w:val="clear" w:color="auto" w:fill="auto"/>
            <w:noWrap/>
            <w:vAlign w:val="bottom"/>
            <w:hideMark/>
          </w:tcPr>
          <w:p w14:paraId="2F887AA6"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0.002</w:t>
            </w:r>
          </w:p>
        </w:tc>
        <w:tc>
          <w:tcPr>
            <w:tcW w:w="1360" w:type="dxa"/>
            <w:tcBorders>
              <w:top w:val="single" w:sz="4" w:space="0" w:color="auto"/>
              <w:left w:val="nil"/>
              <w:bottom w:val="single" w:sz="4" w:space="0" w:color="auto"/>
              <w:right w:val="nil"/>
            </w:tcBorders>
            <w:shd w:val="clear" w:color="auto" w:fill="auto"/>
            <w:noWrap/>
            <w:vAlign w:val="bottom"/>
            <w:hideMark/>
          </w:tcPr>
          <w:p w14:paraId="21D5FA17"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-0.029</w:t>
            </w:r>
          </w:p>
        </w:tc>
        <w:tc>
          <w:tcPr>
            <w:tcW w:w="960" w:type="dxa"/>
            <w:tcBorders>
              <w:top w:val="single" w:sz="4" w:space="0" w:color="auto"/>
              <w:left w:val="nil"/>
              <w:bottom w:val="single" w:sz="4" w:space="0" w:color="auto"/>
              <w:right w:val="nil"/>
            </w:tcBorders>
            <w:shd w:val="clear" w:color="auto" w:fill="auto"/>
            <w:noWrap/>
            <w:vAlign w:val="bottom"/>
            <w:hideMark/>
          </w:tcPr>
          <w:p w14:paraId="28E7F848" w14:textId="77777777" w:rsidR="00697230" w:rsidRPr="00BF7F2E" w:rsidRDefault="00697230" w:rsidP="005E2E61">
            <w:pPr>
              <w:spacing w:after="0" w:line="240" w:lineRule="auto"/>
              <w:jc w:val="center"/>
              <w:rPr>
                <w:rFonts w:ascii="Times New Roman" w:eastAsia="Times New Roman" w:hAnsi="Times New Roman" w:cs="Times New Roman"/>
                <w:b/>
                <w:bCs/>
                <w:color w:val="000000"/>
                <w:lang w:eastAsia="en-GB"/>
              </w:rPr>
            </w:pPr>
            <w:r w:rsidRPr="00BF7F2E">
              <w:rPr>
                <w:rFonts w:ascii="Times New Roman" w:eastAsia="Times New Roman" w:hAnsi="Times New Roman" w:cs="Times New Roman"/>
                <w:b/>
                <w:bCs/>
                <w:color w:val="000000"/>
                <w:lang w:eastAsia="en-GB"/>
              </w:rPr>
              <w:t>0.006</w:t>
            </w:r>
          </w:p>
        </w:tc>
      </w:tr>
    </w:tbl>
    <w:p w14:paraId="30AC5BFA" w14:textId="20801878" w:rsidR="00697230" w:rsidRPr="00697230" w:rsidRDefault="00697230" w:rsidP="00697230">
      <w:pPr>
        <w:spacing w:line="240" w:lineRule="auto"/>
        <w:jc w:val="both"/>
        <w:rPr>
          <w:rFonts w:ascii="Times New Roman" w:hAnsi="Times New Roman" w:cs="Times New Roman"/>
          <w:sz w:val="20"/>
          <w:szCs w:val="20"/>
        </w:rPr>
      </w:pPr>
      <w:r w:rsidRPr="007012E5">
        <w:rPr>
          <w:rFonts w:ascii="Times New Roman" w:hAnsi="Times New Roman" w:cs="Times New Roman"/>
          <w:sz w:val="20"/>
          <w:szCs w:val="20"/>
        </w:rPr>
        <w:t>Notes: Figures refer to effect size change in the wellbeing/stress scale per one</w:t>
      </w:r>
      <w:r w:rsidR="003146E2">
        <w:rPr>
          <w:rFonts w:ascii="Times New Roman" w:hAnsi="Times New Roman" w:cs="Times New Roman"/>
          <w:sz w:val="20"/>
          <w:szCs w:val="20"/>
        </w:rPr>
        <w:t>-</w:t>
      </w:r>
      <w:r w:rsidRPr="007012E5">
        <w:rPr>
          <w:rFonts w:ascii="Times New Roman" w:hAnsi="Times New Roman" w:cs="Times New Roman"/>
          <w:sz w:val="20"/>
          <w:szCs w:val="20"/>
        </w:rPr>
        <w:t>hour increase in each task. Shading should be read horizontally. Redder shading indicates a greater negative association with workload stress, green shading indicates a zero or negative association with workload stress. A * indicates significantly different from zero at the</w:t>
      </w:r>
      <w:r w:rsidR="00E02AB3">
        <w:rPr>
          <w:rFonts w:ascii="Times New Roman" w:hAnsi="Times New Roman" w:cs="Times New Roman"/>
          <w:sz w:val="20"/>
          <w:szCs w:val="20"/>
        </w:rPr>
        <w:t>5%</w:t>
      </w:r>
      <w:r w:rsidRPr="007012E5">
        <w:rPr>
          <w:rFonts w:ascii="Times New Roman" w:hAnsi="Times New Roman" w:cs="Times New Roman"/>
          <w:sz w:val="20"/>
          <w:szCs w:val="20"/>
        </w:rPr>
        <w:t xml:space="preserve"> level. </w:t>
      </w:r>
      <w:r w:rsidR="00875EB6">
        <w:rPr>
          <w:rFonts w:ascii="Times New Roman" w:hAnsi="Times New Roman" w:cs="Times New Roman"/>
          <w:sz w:val="20"/>
          <w:szCs w:val="20"/>
        </w:rPr>
        <w:t>Source = TALIS 2018 dataset.</w:t>
      </w:r>
    </w:p>
    <w:p w14:paraId="5F5162CE" w14:textId="49981FED"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Across all English-speaking jurisdictions, there are two clear aspects of the job that are strongly associated with teachers’ workload stress. The first is marking, with each additional hour spent on this task associated with around a 0.06</w:t>
      </w:r>
      <w:r w:rsidR="001A0EC5">
        <w:rPr>
          <w:rFonts w:ascii="Times New Roman" w:hAnsi="Times New Roman" w:cs="Times New Roman"/>
          <w:sz w:val="24"/>
          <w:szCs w:val="24"/>
        </w:rPr>
        <w:t xml:space="preserve"> </w:t>
      </w:r>
      <w:r w:rsidRPr="00697230">
        <w:rPr>
          <w:rFonts w:ascii="Times New Roman" w:hAnsi="Times New Roman" w:cs="Times New Roman"/>
          <w:sz w:val="24"/>
          <w:szCs w:val="24"/>
        </w:rPr>
        <w:t>standard</w:t>
      </w:r>
      <w:r w:rsidR="001A0EC5">
        <w:rPr>
          <w:rFonts w:ascii="Times New Roman" w:hAnsi="Times New Roman" w:cs="Times New Roman"/>
          <w:sz w:val="24"/>
          <w:szCs w:val="24"/>
        </w:rPr>
        <w:t xml:space="preserve"> </w:t>
      </w:r>
      <w:r w:rsidRPr="00697230">
        <w:rPr>
          <w:rFonts w:ascii="Times New Roman" w:hAnsi="Times New Roman" w:cs="Times New Roman"/>
          <w:sz w:val="24"/>
          <w:szCs w:val="24"/>
        </w:rPr>
        <w:t xml:space="preserve">deviation change in the stress that teachers feel at work. The direction and magnitude of this effect is similar across all the education systems considered; marking, however it is done, always seems to be a stressful part of the job. Lesson planning and preparation is the other aspect of teachers’ jobs that consistently has a negative association with workload stress. Across the countries that we consider, each additional hour spent upon lesson planning raises workload stress by 0.034 standard deviations, ranging from a high of 0.053 standard deviations in Alberta to a low of 0.018 for primary teachers in Australia. </w:t>
      </w:r>
    </w:p>
    <w:p w14:paraId="504862A2" w14:textId="567362F9"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However, outside of these two areas, the association between time spent upon the other tasks and their workload stress is rather weak. For instance, after accounting for any additional time that must be allocated to lesson preparation and marking, each additional hour spent teaching has little correlation with our outcome measures. Take primary teachers in England</w:t>
      </w:r>
      <w:r w:rsidR="00783174">
        <w:rPr>
          <w:rFonts w:ascii="Times New Roman" w:hAnsi="Times New Roman" w:cs="Times New Roman"/>
          <w:sz w:val="24"/>
          <w:szCs w:val="24"/>
        </w:rPr>
        <w:t>:</w:t>
      </w:r>
      <w:r w:rsidR="00783174" w:rsidRPr="00697230">
        <w:rPr>
          <w:rFonts w:ascii="Times New Roman" w:hAnsi="Times New Roman" w:cs="Times New Roman"/>
          <w:sz w:val="24"/>
          <w:szCs w:val="24"/>
        </w:rPr>
        <w:t xml:space="preserve"> </w:t>
      </w:r>
      <w:r w:rsidR="00783174">
        <w:rPr>
          <w:rFonts w:ascii="Times New Roman" w:hAnsi="Times New Roman" w:cs="Times New Roman"/>
          <w:sz w:val="24"/>
          <w:szCs w:val="24"/>
        </w:rPr>
        <w:t>a</w:t>
      </w:r>
      <w:r w:rsidR="00783174" w:rsidRPr="00697230">
        <w:rPr>
          <w:rFonts w:ascii="Times New Roman" w:hAnsi="Times New Roman" w:cs="Times New Roman"/>
          <w:sz w:val="24"/>
          <w:szCs w:val="24"/>
        </w:rPr>
        <w:t xml:space="preserve"> </w:t>
      </w:r>
      <w:r w:rsidRPr="00697230">
        <w:rPr>
          <w:rFonts w:ascii="Times New Roman" w:hAnsi="Times New Roman" w:cs="Times New Roman"/>
          <w:sz w:val="24"/>
          <w:szCs w:val="24"/>
        </w:rPr>
        <w:t>substantial 10</w:t>
      </w:r>
      <w:r w:rsidR="00783174">
        <w:rPr>
          <w:rFonts w:ascii="Times New Roman" w:hAnsi="Times New Roman" w:cs="Times New Roman"/>
          <w:sz w:val="24"/>
          <w:szCs w:val="24"/>
        </w:rPr>
        <w:t>-</w:t>
      </w:r>
      <w:r w:rsidRPr="00697230">
        <w:rPr>
          <w:rFonts w:ascii="Times New Roman" w:hAnsi="Times New Roman" w:cs="Times New Roman"/>
          <w:sz w:val="24"/>
          <w:szCs w:val="24"/>
        </w:rPr>
        <w:t>hour increase in their teaching load is associated with just a 0.07</w:t>
      </w:r>
      <w:r w:rsidR="001A0EC5">
        <w:rPr>
          <w:rFonts w:ascii="Times New Roman" w:hAnsi="Times New Roman" w:cs="Times New Roman"/>
          <w:sz w:val="24"/>
          <w:szCs w:val="24"/>
        </w:rPr>
        <w:t xml:space="preserve"> </w:t>
      </w:r>
      <w:r w:rsidRPr="00697230">
        <w:rPr>
          <w:rFonts w:ascii="Times New Roman" w:hAnsi="Times New Roman" w:cs="Times New Roman"/>
          <w:sz w:val="24"/>
          <w:szCs w:val="24"/>
        </w:rPr>
        <w:t xml:space="preserve">standard deviation increase in their level of workload stress (conditional upon this not increasing the time that they spend on other tasks). This suggests that it is not teaching hours per se that causes teachers stress, but rather the auxiliary tasks (marking, planning) that come with it. Interestingly, the effect of each additional hour allocated to management and administration is essentially zero across most of the countries considered. Meanwhile, additional time allocated to collaboration with colleagues and CPD may actually lead to a reduction in workload stress (effect size = 0.03 for each additional hour), though in many countries this association does not </w:t>
      </w:r>
      <w:r w:rsidRPr="00697230">
        <w:rPr>
          <w:rFonts w:ascii="Times New Roman" w:hAnsi="Times New Roman" w:cs="Times New Roman"/>
          <w:sz w:val="24"/>
          <w:szCs w:val="24"/>
        </w:rPr>
        <w:lastRenderedPageBreak/>
        <w:t xml:space="preserve">quite reach statistical significance at conventional levels. As indicated by the similar pattern of shading across cells, very similar patterns emerge across countries and between primary and secondary staff. </w:t>
      </w:r>
    </w:p>
    <w:p w14:paraId="6743BC2B" w14:textId="23A8BE14"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To conclude, Figure 10.2 turns to our investigations of whether the relationship between the time teachers spend upon different tasks and their workload stress is non-linear. Estimates are presented for the three tasks where a relationship with workload stress was found using OLS: (a) teaching</w:t>
      </w:r>
      <w:r w:rsidR="00E93D3E">
        <w:rPr>
          <w:rFonts w:ascii="Times New Roman" w:hAnsi="Times New Roman" w:cs="Times New Roman"/>
          <w:sz w:val="24"/>
          <w:szCs w:val="24"/>
        </w:rPr>
        <w:t>,</w:t>
      </w:r>
      <w:r w:rsidR="00E93D3E" w:rsidRPr="00697230">
        <w:rPr>
          <w:rFonts w:ascii="Times New Roman" w:hAnsi="Times New Roman" w:cs="Times New Roman"/>
          <w:sz w:val="24"/>
          <w:szCs w:val="24"/>
        </w:rPr>
        <w:t xml:space="preserve"> </w:t>
      </w:r>
      <w:r w:rsidRPr="00697230">
        <w:rPr>
          <w:rFonts w:ascii="Times New Roman" w:hAnsi="Times New Roman" w:cs="Times New Roman"/>
          <w:sz w:val="24"/>
          <w:szCs w:val="24"/>
        </w:rPr>
        <w:t>(b) lesson planning</w:t>
      </w:r>
      <w:r w:rsidR="00E93D3E">
        <w:rPr>
          <w:rFonts w:ascii="Times New Roman" w:hAnsi="Times New Roman" w:cs="Times New Roman"/>
          <w:sz w:val="24"/>
          <w:szCs w:val="24"/>
        </w:rPr>
        <w:t>,</w:t>
      </w:r>
      <w:r w:rsidRPr="00697230">
        <w:rPr>
          <w:rFonts w:ascii="Times New Roman" w:hAnsi="Times New Roman" w:cs="Times New Roman"/>
          <w:sz w:val="24"/>
          <w:szCs w:val="24"/>
        </w:rPr>
        <w:t xml:space="preserve"> and (c) marking.</w:t>
      </w:r>
    </w:p>
    <w:p w14:paraId="2C969A89" w14:textId="77777777"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 xml:space="preserve">Although a broadly linear relationship can be observed for most tasks in most countries, there are some important exceptions. This includes time spent upon lesson planning in the United States and time spent upon marking for secondary teachers in Australia, for example. However, the most striking case is secondary teachers in England. Our discussion therefore focuses upon the results for this group. </w:t>
      </w:r>
    </w:p>
    <w:p w14:paraId="28B3363D" w14:textId="1B90D405"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 xml:space="preserve">With respect to time spent upon teaching, workload stress for secondary teachers in England reaches its peak at 23 hours per week, after which point workload stress declines. One potential explanation for this result is that those teachers who are required to teach for a greater number of hours are relieved from some other duties. On the other hand, the link between lesson planning and workload stress for secondary teachers in England is broadly linear up to seven hours per week, but then tails off. In other words, the first few hours spent upon lesson planning have the greatest marginal impact upon the stress suffered by this group. Finally, there is a big jump in workload stress for secondary teachers in England who spend between one and five hours marking students work each week. The estimated non-parametric regression line is then flat between five and ten hours, suggesting that each additional hour of marking within this range has little association with workload stress. However, once this ten-hour threshold for marking is exceeded, then workload stress increases exponentially. This suggests that </w:t>
      </w:r>
      <w:r w:rsidR="00141938">
        <w:rPr>
          <w:rFonts w:ascii="Times New Roman" w:hAnsi="Times New Roman" w:cs="Times New Roman"/>
          <w:sz w:val="24"/>
          <w:szCs w:val="24"/>
        </w:rPr>
        <w:t>ten</w:t>
      </w:r>
      <w:r w:rsidR="00141938" w:rsidRPr="00697230">
        <w:rPr>
          <w:rFonts w:ascii="Times New Roman" w:hAnsi="Times New Roman" w:cs="Times New Roman"/>
          <w:sz w:val="24"/>
          <w:szCs w:val="24"/>
        </w:rPr>
        <w:t xml:space="preserve"> </w:t>
      </w:r>
      <w:r w:rsidRPr="00697230">
        <w:rPr>
          <w:rFonts w:ascii="Times New Roman" w:hAnsi="Times New Roman" w:cs="Times New Roman"/>
          <w:sz w:val="24"/>
          <w:szCs w:val="24"/>
        </w:rPr>
        <w:t>hours of marking per week represents a red line for secondary teachers in England that should not be crossed. As almost a quarter of full-time secondary teachers in England currently spend ten hours per week or more on marking</w:t>
      </w:r>
      <w:r w:rsidRPr="00697230">
        <w:rPr>
          <w:rStyle w:val="FootnoteReference"/>
          <w:rFonts w:ascii="Times New Roman" w:hAnsi="Times New Roman" w:cs="Times New Roman"/>
          <w:sz w:val="24"/>
          <w:szCs w:val="24"/>
        </w:rPr>
        <w:footnoteReference w:id="29"/>
      </w:r>
      <w:r w:rsidRPr="00697230">
        <w:rPr>
          <w:rFonts w:ascii="Times New Roman" w:hAnsi="Times New Roman" w:cs="Times New Roman"/>
          <w:sz w:val="24"/>
          <w:szCs w:val="24"/>
        </w:rPr>
        <w:t>, this represents a priority for workload reduction in England.</w:t>
      </w:r>
    </w:p>
    <w:p w14:paraId="7E348C09" w14:textId="77777777" w:rsidR="00697230" w:rsidRDefault="00697230" w:rsidP="00697230">
      <w:pPr>
        <w:jc w:val="both"/>
        <w:rPr>
          <w:rFonts w:ascii="Times New Roman" w:hAnsi="Times New Roman" w:cs="Times New Roman"/>
        </w:rPr>
        <w:sectPr w:rsidR="00697230">
          <w:pgSz w:w="11906" w:h="16838"/>
          <w:pgMar w:top="1440" w:right="1440" w:bottom="1440" w:left="1440" w:header="708" w:footer="708" w:gutter="0"/>
          <w:cols w:space="708"/>
          <w:docGrid w:linePitch="360"/>
        </w:sectPr>
      </w:pPr>
    </w:p>
    <w:p w14:paraId="40ED3938" w14:textId="1E2273A0" w:rsidR="00697230" w:rsidRPr="00697230" w:rsidRDefault="00697230" w:rsidP="00697230">
      <w:pPr>
        <w:jc w:val="center"/>
        <w:rPr>
          <w:rFonts w:ascii="Times New Roman" w:hAnsi="Times New Roman" w:cs="Times New Roman"/>
          <w:sz w:val="24"/>
          <w:szCs w:val="24"/>
        </w:rPr>
      </w:pPr>
      <w:r w:rsidRPr="00697230">
        <w:rPr>
          <w:rFonts w:ascii="Times New Roman" w:hAnsi="Times New Roman" w:cs="Times New Roman"/>
          <w:b/>
          <w:bCs/>
          <w:sz w:val="24"/>
          <w:szCs w:val="24"/>
        </w:rPr>
        <w:lastRenderedPageBreak/>
        <w:t xml:space="preserve">Figure 10.2 Non-parametric regression estimates of the association between the </w:t>
      </w:r>
      <w:proofErr w:type="gramStart"/>
      <w:r w:rsidRPr="00697230">
        <w:rPr>
          <w:rFonts w:ascii="Times New Roman" w:hAnsi="Times New Roman" w:cs="Times New Roman"/>
          <w:b/>
          <w:bCs/>
          <w:sz w:val="24"/>
          <w:szCs w:val="24"/>
        </w:rPr>
        <w:t>time</w:t>
      </w:r>
      <w:proofErr w:type="gramEnd"/>
      <w:r w:rsidRPr="00697230">
        <w:rPr>
          <w:rFonts w:ascii="Times New Roman" w:hAnsi="Times New Roman" w:cs="Times New Roman"/>
          <w:b/>
          <w:bCs/>
          <w:sz w:val="24"/>
          <w:szCs w:val="24"/>
        </w:rPr>
        <w:t xml:space="preserve"> spent upon different tasks and workload stress. </w:t>
      </w:r>
    </w:p>
    <w:p w14:paraId="67B8EE3C" w14:textId="77777777" w:rsidR="00697230" w:rsidRPr="008B0036" w:rsidRDefault="00697230" w:rsidP="00697230">
      <w:pPr>
        <w:pStyle w:val="ListParagraph"/>
        <w:numPr>
          <w:ilvl w:val="0"/>
          <w:numId w:val="30"/>
        </w:numPr>
        <w:spacing w:after="200" w:line="360" w:lineRule="auto"/>
        <w:jc w:val="both"/>
        <w:rPr>
          <w:rFonts w:ascii="Times New Roman" w:hAnsi="Times New Roman" w:cs="Times New Roman"/>
        </w:rPr>
      </w:pPr>
      <w:r w:rsidRPr="008B0036">
        <w:rPr>
          <w:rFonts w:ascii="Times New Roman" w:hAnsi="Times New Roman" w:cs="Times New Roman"/>
        </w:rPr>
        <w:t>Teaching</w:t>
      </w:r>
      <w:r w:rsidRPr="008B0036">
        <w:rPr>
          <w:rFonts w:ascii="Times New Roman" w:hAnsi="Times New Roman" w:cs="Times New Roman"/>
        </w:rPr>
        <w:tab/>
      </w:r>
      <w:r w:rsidRPr="008B0036">
        <w:rPr>
          <w:rFonts w:ascii="Times New Roman" w:hAnsi="Times New Roman" w:cs="Times New Roman"/>
        </w:rPr>
        <w:tab/>
      </w:r>
      <w:r w:rsidRPr="008B0036">
        <w:rPr>
          <w:rFonts w:ascii="Times New Roman" w:hAnsi="Times New Roman" w:cs="Times New Roman"/>
        </w:rPr>
        <w:tab/>
      </w:r>
      <w:r w:rsidRPr="008B0036">
        <w:rPr>
          <w:rFonts w:ascii="Times New Roman" w:hAnsi="Times New Roman" w:cs="Times New Roman"/>
        </w:rPr>
        <w:tab/>
      </w:r>
      <w:r w:rsidRPr="008B0036">
        <w:rPr>
          <w:rFonts w:ascii="Times New Roman" w:hAnsi="Times New Roman" w:cs="Times New Roman"/>
        </w:rPr>
        <w:tab/>
      </w:r>
      <w:r w:rsidRPr="008B0036">
        <w:rPr>
          <w:rFonts w:ascii="Times New Roman" w:hAnsi="Times New Roman" w:cs="Times New Roman"/>
        </w:rPr>
        <w:tab/>
      </w:r>
      <w:r w:rsidRPr="008B0036">
        <w:rPr>
          <w:rFonts w:ascii="Times New Roman" w:hAnsi="Times New Roman" w:cs="Times New Roman"/>
        </w:rPr>
        <w:tab/>
      </w:r>
      <w:r w:rsidRPr="008B0036">
        <w:rPr>
          <w:rFonts w:ascii="Times New Roman" w:hAnsi="Times New Roman" w:cs="Times New Roman"/>
        </w:rPr>
        <w:tab/>
      </w:r>
      <w:r w:rsidRPr="008B0036">
        <w:rPr>
          <w:rFonts w:ascii="Times New Roman" w:hAnsi="Times New Roman" w:cs="Times New Roman"/>
        </w:rPr>
        <w:tab/>
      </w:r>
      <w:r>
        <w:rPr>
          <w:rFonts w:ascii="Times New Roman" w:hAnsi="Times New Roman" w:cs="Times New Roman"/>
        </w:rPr>
        <w:t xml:space="preserve">(b) </w:t>
      </w:r>
      <w:r w:rsidRPr="008B0036">
        <w:rPr>
          <w:rFonts w:ascii="Times New Roman" w:hAnsi="Times New Roman" w:cs="Times New Roman"/>
        </w:rPr>
        <w:t>Lesson planning</w:t>
      </w:r>
    </w:p>
    <w:p w14:paraId="3C986C48" w14:textId="77777777" w:rsidR="00697230" w:rsidRDefault="00697230" w:rsidP="00697230">
      <w:pPr>
        <w:jc w:val="both"/>
        <w:rPr>
          <w:rFonts w:ascii="Times New Roman" w:hAnsi="Times New Roman" w:cs="Times New Roman"/>
        </w:rPr>
      </w:pPr>
      <w:r>
        <w:rPr>
          <w:rFonts w:ascii="Times New Roman" w:hAnsi="Times New Roman" w:cs="Times New Roman"/>
        </w:rPr>
        <w:tab/>
      </w:r>
      <w:r w:rsidRPr="00800705">
        <w:rPr>
          <w:rFonts w:ascii="Times New Roman" w:hAnsi="Times New Roman" w:cs="Times New Roman"/>
          <w:noProof/>
          <w:lang w:eastAsia="en-GB"/>
        </w:rPr>
        <w:drawing>
          <wp:inline distT="0" distB="0" distL="0" distR="0" wp14:anchorId="7A82F535" wp14:editId="0D05D9E2">
            <wp:extent cx="4448175" cy="365760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448175" cy="3657600"/>
                    </a:xfrm>
                    <a:prstGeom prst="rect">
                      <a:avLst/>
                    </a:prstGeom>
                    <a:noFill/>
                    <a:ln>
                      <a:noFill/>
                    </a:ln>
                  </pic:spPr>
                </pic:pic>
              </a:graphicData>
            </a:graphic>
          </wp:inline>
        </w:drawing>
      </w:r>
      <w:r>
        <w:rPr>
          <w:rFonts w:ascii="Times New Roman" w:hAnsi="Times New Roman" w:cs="Times New Roman"/>
        </w:rPr>
        <w:t xml:space="preserve"> </w:t>
      </w:r>
      <w:r w:rsidRPr="00987BF0">
        <w:rPr>
          <w:rFonts w:ascii="Times New Roman" w:hAnsi="Times New Roman" w:cs="Times New Roman"/>
          <w:noProof/>
          <w:lang w:eastAsia="en-GB"/>
        </w:rPr>
        <w:drawing>
          <wp:inline distT="0" distB="0" distL="0" distR="0" wp14:anchorId="34846EAC" wp14:editId="57967F78">
            <wp:extent cx="4591050" cy="36576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591050" cy="3657600"/>
                    </a:xfrm>
                    <a:prstGeom prst="rect">
                      <a:avLst/>
                    </a:prstGeom>
                    <a:noFill/>
                    <a:ln>
                      <a:noFill/>
                    </a:ln>
                  </pic:spPr>
                </pic:pic>
              </a:graphicData>
            </a:graphic>
          </wp:inline>
        </w:drawing>
      </w:r>
    </w:p>
    <w:p w14:paraId="3E7EE2FE" w14:textId="77777777" w:rsidR="00697230" w:rsidRDefault="00697230" w:rsidP="00697230">
      <w:pPr>
        <w:jc w:val="both"/>
        <w:rPr>
          <w:rFonts w:ascii="Times New Roman" w:hAnsi="Times New Roman" w:cs="Times New Roman"/>
        </w:rPr>
      </w:pPr>
      <w:r>
        <w:rPr>
          <w:rFonts w:ascii="Times New Roman" w:hAnsi="Times New Roman" w:cs="Times New Roman"/>
        </w:rPr>
        <w:t xml:space="preserve">           </w:t>
      </w:r>
    </w:p>
    <w:p w14:paraId="24D70623" w14:textId="77777777" w:rsidR="00697230" w:rsidRDefault="00697230" w:rsidP="00697230">
      <w:pPr>
        <w:jc w:val="both"/>
        <w:rPr>
          <w:rFonts w:ascii="Times New Roman" w:hAnsi="Times New Roman" w:cs="Times New Roman"/>
        </w:rPr>
      </w:pPr>
    </w:p>
    <w:p w14:paraId="68133AB7" w14:textId="77777777" w:rsidR="00697230" w:rsidRDefault="00697230" w:rsidP="00697230">
      <w:pPr>
        <w:jc w:val="both"/>
        <w:rPr>
          <w:rFonts w:ascii="Times New Roman" w:hAnsi="Times New Roman" w:cs="Times New Roman"/>
        </w:rPr>
      </w:pPr>
    </w:p>
    <w:p w14:paraId="44C05BB1" w14:textId="7D70C80B" w:rsidR="00697230" w:rsidRDefault="00697230" w:rsidP="00697230">
      <w:pPr>
        <w:jc w:val="both"/>
        <w:rPr>
          <w:rFonts w:ascii="Times New Roman" w:hAnsi="Times New Roman" w:cs="Times New Roman"/>
        </w:rPr>
      </w:pPr>
    </w:p>
    <w:p w14:paraId="6AB759BC" w14:textId="16FA785C" w:rsidR="00697230" w:rsidRDefault="00697230" w:rsidP="00697230">
      <w:pPr>
        <w:jc w:val="both"/>
        <w:rPr>
          <w:rFonts w:ascii="Times New Roman" w:hAnsi="Times New Roman" w:cs="Times New Roman"/>
        </w:rPr>
      </w:pPr>
    </w:p>
    <w:p w14:paraId="21E82CF4" w14:textId="631143B6" w:rsidR="00697230" w:rsidRDefault="00697230" w:rsidP="00697230">
      <w:pPr>
        <w:jc w:val="both"/>
        <w:rPr>
          <w:rFonts w:ascii="Times New Roman" w:hAnsi="Times New Roman" w:cs="Times New Roman"/>
        </w:rPr>
      </w:pPr>
    </w:p>
    <w:p w14:paraId="285F8A5D" w14:textId="77777777" w:rsidR="00697230" w:rsidRDefault="00697230" w:rsidP="00697230">
      <w:pPr>
        <w:jc w:val="both"/>
        <w:rPr>
          <w:rFonts w:ascii="Times New Roman" w:hAnsi="Times New Roman" w:cs="Times New Roman"/>
        </w:rPr>
      </w:pPr>
    </w:p>
    <w:p w14:paraId="228A6DA5" w14:textId="77777777" w:rsidR="00697230" w:rsidRPr="008B0036" w:rsidRDefault="00697230" w:rsidP="00697230">
      <w:pPr>
        <w:ind w:left="2880" w:firstLine="720"/>
        <w:jc w:val="both"/>
        <w:rPr>
          <w:rFonts w:ascii="Times New Roman" w:hAnsi="Times New Roman" w:cs="Times New Roman"/>
        </w:rPr>
      </w:pPr>
      <w:r>
        <w:rPr>
          <w:rFonts w:ascii="Times New Roman" w:hAnsi="Times New Roman" w:cs="Times New Roman"/>
        </w:rPr>
        <w:lastRenderedPageBreak/>
        <w:t>(c)</w:t>
      </w:r>
      <w:r w:rsidRPr="008B0036">
        <w:rPr>
          <w:rFonts w:ascii="Times New Roman" w:hAnsi="Times New Roman" w:cs="Times New Roman"/>
        </w:rPr>
        <w:t>Marking</w:t>
      </w:r>
    </w:p>
    <w:p w14:paraId="339D0C56" w14:textId="77777777" w:rsidR="00697230" w:rsidRDefault="00697230" w:rsidP="00697230">
      <w:pPr>
        <w:jc w:val="both"/>
        <w:rPr>
          <w:rFonts w:ascii="Times New Roman" w:hAnsi="Times New Roman" w:cs="Times New Roman"/>
        </w:rPr>
      </w:pPr>
      <w:r w:rsidRPr="00A83E66">
        <w:rPr>
          <w:rFonts w:ascii="Times New Roman" w:hAnsi="Times New Roman" w:cs="Times New Roman"/>
          <w:noProof/>
          <w:lang w:eastAsia="en-GB"/>
        </w:rPr>
        <w:drawing>
          <wp:inline distT="0" distB="0" distL="0" distR="0" wp14:anchorId="43A50745" wp14:editId="2D14B264">
            <wp:extent cx="5029200" cy="36576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2AEF1E54" w14:textId="2ABA7042" w:rsidR="00697230" w:rsidRDefault="00697230" w:rsidP="00697230">
      <w:pPr>
        <w:spacing w:line="240" w:lineRule="auto"/>
        <w:jc w:val="both"/>
        <w:rPr>
          <w:rFonts w:ascii="Times New Roman" w:hAnsi="Times New Roman" w:cs="Times New Roman"/>
        </w:rPr>
        <w:sectPr w:rsidR="00697230" w:rsidSect="005E2E61">
          <w:pgSz w:w="16838" w:h="11906" w:orient="landscape"/>
          <w:pgMar w:top="720" w:right="720" w:bottom="720" w:left="720" w:header="708" w:footer="708" w:gutter="0"/>
          <w:cols w:space="708"/>
          <w:docGrid w:linePitch="360"/>
        </w:sectPr>
      </w:pPr>
      <w:r w:rsidRPr="00A116E9">
        <w:rPr>
          <w:rFonts w:ascii="Times New Roman" w:hAnsi="Times New Roman" w:cs="Times New Roman"/>
          <w:sz w:val="20"/>
          <w:szCs w:val="20"/>
        </w:rPr>
        <w:t>Notes: See Jerrim and Sims (2020</w:t>
      </w:r>
      <w:r>
        <w:rPr>
          <w:rFonts w:ascii="Times New Roman" w:hAnsi="Times New Roman" w:cs="Times New Roman"/>
          <w:sz w:val="20"/>
          <w:szCs w:val="20"/>
        </w:rPr>
        <w:t>b</w:t>
      </w:r>
      <w:r w:rsidRPr="00A116E9">
        <w:rPr>
          <w:rFonts w:ascii="Times New Roman" w:hAnsi="Times New Roman" w:cs="Times New Roman"/>
          <w:sz w:val="20"/>
          <w:szCs w:val="20"/>
        </w:rPr>
        <w:t>) for analogous results for the workplace wellbeing scale. Weights not applied. Model estimated excluding the school fixed effects. Results based upon a female teacher, with number of years</w:t>
      </w:r>
      <w:r w:rsidR="009C1024">
        <w:rPr>
          <w:rFonts w:ascii="Times New Roman" w:hAnsi="Times New Roman" w:cs="Times New Roman"/>
          <w:sz w:val="20"/>
          <w:szCs w:val="20"/>
        </w:rPr>
        <w:t>’</w:t>
      </w:r>
      <w:r w:rsidRPr="00A116E9">
        <w:rPr>
          <w:rFonts w:ascii="Times New Roman" w:hAnsi="Times New Roman" w:cs="Times New Roman"/>
          <w:sz w:val="20"/>
          <w:szCs w:val="20"/>
        </w:rPr>
        <w:t xml:space="preserve"> teaching experience set to the national average, who holds an ISCED Level 6 (postgraduate) qualification, whose motivations for entering teaching were similar to the national average, but for whom teaching was not their first-choice career</w:t>
      </w:r>
      <w:r>
        <w:rPr>
          <w:rFonts w:ascii="Times New Roman" w:hAnsi="Times New Roman" w:cs="Times New Roman"/>
        </w:rPr>
        <w:t>.</w:t>
      </w:r>
      <w:r w:rsidR="00875EB6">
        <w:rPr>
          <w:rFonts w:ascii="Times New Roman" w:hAnsi="Times New Roman" w:cs="Times New Roman"/>
        </w:rPr>
        <w:t xml:space="preserve"> </w:t>
      </w:r>
      <w:r w:rsidR="00875EB6">
        <w:rPr>
          <w:rFonts w:ascii="Times New Roman" w:hAnsi="Times New Roman" w:cs="Times New Roman"/>
          <w:sz w:val="20"/>
          <w:szCs w:val="20"/>
        </w:rPr>
        <w:t>Source = TALIS 2018 dataset.</w:t>
      </w:r>
    </w:p>
    <w:p w14:paraId="326B4340" w14:textId="77777777" w:rsidR="00697230" w:rsidRPr="00697230" w:rsidRDefault="00697230" w:rsidP="00697230">
      <w:pPr>
        <w:spacing w:after="0" w:line="360" w:lineRule="auto"/>
        <w:jc w:val="both"/>
        <w:rPr>
          <w:rFonts w:ascii="Times New Roman" w:hAnsi="Times New Roman" w:cs="Times New Roman"/>
          <w:b/>
          <w:bCs/>
          <w:sz w:val="24"/>
          <w:szCs w:val="24"/>
        </w:rPr>
      </w:pPr>
      <w:r w:rsidRPr="00697230">
        <w:rPr>
          <w:rFonts w:ascii="Times New Roman" w:hAnsi="Times New Roman" w:cs="Times New Roman"/>
          <w:b/>
          <w:bCs/>
          <w:sz w:val="24"/>
          <w:szCs w:val="24"/>
        </w:rPr>
        <w:lastRenderedPageBreak/>
        <w:t>10.5 Summary and policy recommendations</w:t>
      </w:r>
    </w:p>
    <w:p w14:paraId="57FFB3B5" w14:textId="4A2DF900" w:rsidR="00697230" w:rsidRPr="00697230" w:rsidRDefault="00697230" w:rsidP="00697230">
      <w:pPr>
        <w:spacing w:after="0" w:line="360" w:lineRule="auto"/>
        <w:jc w:val="both"/>
        <w:rPr>
          <w:rFonts w:ascii="Times New Roman" w:hAnsi="Times New Roman" w:cs="Times New Roman"/>
          <w:sz w:val="24"/>
          <w:szCs w:val="24"/>
        </w:rPr>
      </w:pPr>
      <w:r w:rsidRPr="00697230">
        <w:rPr>
          <w:rFonts w:ascii="Times New Roman" w:hAnsi="Times New Roman" w:cs="Times New Roman"/>
          <w:sz w:val="24"/>
          <w:szCs w:val="24"/>
        </w:rPr>
        <w:t>Using data from TALIS 2018, this chapter has attempted to provide new evidence on the association between teachers’ working hours and their wellbeing for five English-speaking countries. Our results illustrate how the link between teachers’ working hours and their workplace wellbeing may not be linear (at least in some countries) and, after considering the potential impact of measurement error, may be stronger than previously thought</w:t>
      </w:r>
      <w:r w:rsidR="00592DD9">
        <w:rPr>
          <w:rFonts w:ascii="Times New Roman" w:hAnsi="Times New Roman" w:cs="Times New Roman"/>
          <w:sz w:val="24"/>
          <w:szCs w:val="24"/>
        </w:rPr>
        <w:t xml:space="preserve"> (see </w:t>
      </w:r>
      <w:r w:rsidR="00592DD9" w:rsidRPr="00697230">
        <w:rPr>
          <w:rFonts w:ascii="Times New Roman" w:hAnsi="Times New Roman" w:cs="Times New Roman"/>
          <w:sz w:val="24"/>
          <w:szCs w:val="24"/>
        </w:rPr>
        <w:t>Jerrim and Sims</w:t>
      </w:r>
      <w:r w:rsidR="006C3A8A">
        <w:rPr>
          <w:rFonts w:ascii="Times New Roman" w:hAnsi="Times New Roman" w:cs="Times New Roman"/>
          <w:sz w:val="24"/>
          <w:szCs w:val="24"/>
        </w:rPr>
        <w:t>,</w:t>
      </w:r>
      <w:r w:rsidR="00592DD9" w:rsidRPr="00697230">
        <w:rPr>
          <w:rFonts w:ascii="Times New Roman" w:hAnsi="Times New Roman" w:cs="Times New Roman"/>
          <w:sz w:val="24"/>
          <w:szCs w:val="24"/>
        </w:rPr>
        <w:t xml:space="preserve"> 2020b</w:t>
      </w:r>
      <w:r w:rsidR="00592DD9">
        <w:rPr>
          <w:rFonts w:ascii="Times New Roman" w:hAnsi="Times New Roman" w:cs="Times New Roman"/>
          <w:sz w:val="24"/>
          <w:szCs w:val="24"/>
        </w:rPr>
        <w:t xml:space="preserve"> for further details on this point)</w:t>
      </w:r>
      <w:r w:rsidRPr="00697230">
        <w:rPr>
          <w:rFonts w:ascii="Times New Roman" w:hAnsi="Times New Roman" w:cs="Times New Roman"/>
          <w:sz w:val="24"/>
          <w:szCs w:val="24"/>
        </w:rPr>
        <w:t>. The two aspects of teachers’ jobs that lead to the greatest increase in workload stress are lesson planning and marking; each additional hour spent upon the latter is associated with a 0.06</w:t>
      </w:r>
      <w:r w:rsidR="001A0EC5">
        <w:rPr>
          <w:rFonts w:ascii="Times New Roman" w:hAnsi="Times New Roman" w:cs="Times New Roman"/>
          <w:sz w:val="24"/>
          <w:szCs w:val="24"/>
        </w:rPr>
        <w:t xml:space="preserve"> </w:t>
      </w:r>
      <w:r w:rsidRPr="00697230">
        <w:rPr>
          <w:rFonts w:ascii="Times New Roman" w:hAnsi="Times New Roman" w:cs="Times New Roman"/>
          <w:sz w:val="24"/>
          <w:szCs w:val="24"/>
        </w:rPr>
        <w:t>standard</w:t>
      </w:r>
      <w:r w:rsidR="001A0EC5">
        <w:rPr>
          <w:rFonts w:ascii="Times New Roman" w:hAnsi="Times New Roman" w:cs="Times New Roman"/>
          <w:sz w:val="24"/>
          <w:szCs w:val="24"/>
        </w:rPr>
        <w:t xml:space="preserve"> </w:t>
      </w:r>
      <w:r w:rsidRPr="00697230">
        <w:rPr>
          <w:rFonts w:ascii="Times New Roman" w:hAnsi="Times New Roman" w:cs="Times New Roman"/>
          <w:sz w:val="24"/>
          <w:szCs w:val="24"/>
        </w:rPr>
        <w:t>deviation increase in stress in the workplace. This is in contrast to other aspects of the job, such as time spent teaching and working with colleagues/professional development, which seem to have little direct effect upon teachers’ quality of working life. Together, the evidence points towards a need to aim for a term</w:t>
      </w:r>
      <w:r w:rsidR="00445234">
        <w:rPr>
          <w:rFonts w:ascii="Times New Roman" w:hAnsi="Times New Roman" w:cs="Times New Roman"/>
          <w:sz w:val="24"/>
          <w:szCs w:val="24"/>
        </w:rPr>
        <w:t xml:space="preserve"> </w:t>
      </w:r>
      <w:r w:rsidRPr="00697230">
        <w:rPr>
          <w:rFonts w:ascii="Times New Roman" w:hAnsi="Times New Roman" w:cs="Times New Roman"/>
          <w:sz w:val="24"/>
          <w:szCs w:val="24"/>
        </w:rPr>
        <w:t xml:space="preserve">time working week for teachers of no more than around 50 hours </w:t>
      </w:r>
      <w:r w:rsidR="00445234">
        <w:rPr>
          <w:rFonts w:ascii="Times New Roman" w:hAnsi="Times New Roman" w:cs="Times New Roman"/>
          <w:sz w:val="24"/>
          <w:szCs w:val="24"/>
        </w:rPr>
        <w:sym w:font="Symbol" w:char="F02D"/>
      </w:r>
      <w:r w:rsidRPr="00697230">
        <w:rPr>
          <w:rFonts w:ascii="Times New Roman" w:hAnsi="Times New Roman" w:cs="Times New Roman"/>
          <w:sz w:val="24"/>
          <w:szCs w:val="24"/>
        </w:rPr>
        <w:t xml:space="preserve"> similar to the maximum allowed under the European Working Time Directive. This reduction in total working hours should be mainly achieved via reductions in marking and lesson planning.</w:t>
      </w:r>
    </w:p>
    <w:p w14:paraId="079E0F35" w14:textId="4F9921A5" w:rsidR="00697230" w:rsidRPr="00697230"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 xml:space="preserve">We believe that these findings have important implications for education policy. There are two clear areas where reducing teachers’ workloads would help reduce stress: lesson preparation and marking. With respect to the former, perhaps the easiest thing that policymakers can do is dramatically reduce examination, curriculum and inspection reforms – all of which create new work for teachers, who are forced to change lessons, materials and teaching styles as a result. Indeed, in 2019, the Department for Education in England committed to </w:t>
      </w:r>
      <w:r w:rsidR="00445234">
        <w:rPr>
          <w:rFonts w:ascii="Times New Roman" w:hAnsi="Times New Roman" w:cs="Times New Roman"/>
          <w:sz w:val="24"/>
          <w:szCs w:val="24"/>
        </w:rPr>
        <w:t>‘</w:t>
      </w:r>
      <w:r w:rsidRPr="00697230">
        <w:rPr>
          <w:rFonts w:ascii="Times New Roman" w:hAnsi="Times New Roman" w:cs="Times New Roman"/>
          <w:i/>
          <w:sz w:val="24"/>
          <w:szCs w:val="24"/>
        </w:rPr>
        <w:t>a period of greater stability in curriculum, qualifications and assessment</w:t>
      </w:r>
      <w:r w:rsidR="00262E4F">
        <w:rPr>
          <w:rFonts w:ascii="Times New Roman" w:hAnsi="Times New Roman" w:cs="Times New Roman"/>
          <w:sz w:val="24"/>
          <w:szCs w:val="24"/>
        </w:rPr>
        <w:t>’</w:t>
      </w:r>
      <w:r w:rsidRPr="00697230">
        <w:rPr>
          <w:rFonts w:ascii="Times New Roman" w:hAnsi="Times New Roman" w:cs="Times New Roman"/>
          <w:sz w:val="24"/>
          <w:szCs w:val="24"/>
        </w:rPr>
        <w:t xml:space="preserve"> (Department for Education</w:t>
      </w:r>
      <w:r w:rsidR="006C3A8A">
        <w:rPr>
          <w:rFonts w:ascii="Times New Roman" w:hAnsi="Times New Roman" w:cs="Times New Roman"/>
          <w:sz w:val="24"/>
          <w:szCs w:val="24"/>
        </w:rPr>
        <w:t>,</w:t>
      </w:r>
      <w:r w:rsidRPr="00697230">
        <w:rPr>
          <w:rFonts w:ascii="Times New Roman" w:hAnsi="Times New Roman" w:cs="Times New Roman"/>
          <w:sz w:val="24"/>
          <w:szCs w:val="24"/>
        </w:rPr>
        <w:t xml:space="preserve"> 2019b). Given our findings on the relationship between stress and both lesson planning and overall workload, many teachers in other countries would likely </w:t>
      </w:r>
      <w:r w:rsidR="000D2BCF">
        <w:rPr>
          <w:rFonts w:ascii="Times New Roman" w:hAnsi="Times New Roman" w:cs="Times New Roman"/>
          <w:sz w:val="24"/>
          <w:szCs w:val="24"/>
        </w:rPr>
        <w:t xml:space="preserve">benefit from </w:t>
      </w:r>
      <w:r w:rsidRPr="00697230">
        <w:rPr>
          <w:rFonts w:ascii="Times New Roman" w:hAnsi="Times New Roman" w:cs="Times New Roman"/>
          <w:sz w:val="24"/>
          <w:szCs w:val="24"/>
        </w:rPr>
        <w:t>a similar pledge.</w:t>
      </w:r>
    </w:p>
    <w:p w14:paraId="3F65201B" w14:textId="1545BBF8" w:rsidR="007929BB" w:rsidRDefault="00697230" w:rsidP="00697230">
      <w:pPr>
        <w:spacing w:line="360" w:lineRule="auto"/>
        <w:jc w:val="both"/>
        <w:rPr>
          <w:rFonts w:ascii="Times New Roman" w:hAnsi="Times New Roman" w:cs="Times New Roman"/>
          <w:sz w:val="24"/>
          <w:szCs w:val="24"/>
        </w:rPr>
      </w:pPr>
      <w:r w:rsidRPr="00697230">
        <w:rPr>
          <w:rFonts w:ascii="Times New Roman" w:hAnsi="Times New Roman" w:cs="Times New Roman"/>
          <w:sz w:val="24"/>
          <w:szCs w:val="24"/>
        </w:rPr>
        <w:t xml:space="preserve">The time allocated to marking may be harder to reduce, though it is noteworthy how the amount of time spent marking in several English-speaking countries (e.g. both primary and secondary teachers in England) is above international averages (OECD 2019). A recent review found a lack of good research on the impact of written marking on pupil </w:t>
      </w:r>
      <w:proofErr w:type="gramStart"/>
      <w:r w:rsidRPr="00697230">
        <w:rPr>
          <w:rFonts w:ascii="Times New Roman" w:hAnsi="Times New Roman" w:cs="Times New Roman"/>
          <w:sz w:val="24"/>
          <w:szCs w:val="24"/>
        </w:rPr>
        <w:t>learning</w:t>
      </w:r>
      <w:proofErr w:type="gramEnd"/>
      <w:r w:rsidRPr="00697230">
        <w:rPr>
          <w:rFonts w:ascii="Times New Roman" w:hAnsi="Times New Roman" w:cs="Times New Roman"/>
          <w:sz w:val="24"/>
          <w:szCs w:val="24"/>
        </w:rPr>
        <w:t xml:space="preserve"> (Elliott et al</w:t>
      </w:r>
      <w:r w:rsidR="006C3A8A">
        <w:rPr>
          <w:rFonts w:ascii="Times New Roman" w:hAnsi="Times New Roman" w:cs="Times New Roman"/>
          <w:sz w:val="24"/>
          <w:szCs w:val="24"/>
        </w:rPr>
        <w:t>.,</w:t>
      </w:r>
      <w:r w:rsidRPr="00697230">
        <w:rPr>
          <w:rFonts w:ascii="Times New Roman" w:hAnsi="Times New Roman" w:cs="Times New Roman"/>
          <w:sz w:val="24"/>
          <w:szCs w:val="24"/>
        </w:rPr>
        <w:t xml:space="preserve"> 2016). However, it found that there was evidence to suggest that acknowledgement marking, awarding grades for every piece of work and marking without providing time for pupils to consider the feedback are all unlikely to help pupils – thus, </w:t>
      </w:r>
      <w:r w:rsidR="00B30F3B">
        <w:rPr>
          <w:rFonts w:ascii="Times New Roman" w:hAnsi="Times New Roman" w:cs="Times New Roman"/>
          <w:sz w:val="24"/>
          <w:szCs w:val="24"/>
        </w:rPr>
        <w:t>‘</w:t>
      </w:r>
      <w:r w:rsidRPr="00697230">
        <w:rPr>
          <w:rFonts w:ascii="Times New Roman" w:hAnsi="Times New Roman" w:cs="Times New Roman"/>
          <w:sz w:val="24"/>
          <w:szCs w:val="24"/>
        </w:rPr>
        <w:t>school should mark less… but better</w:t>
      </w:r>
      <w:r w:rsidR="00B30F3B">
        <w:rPr>
          <w:rFonts w:ascii="Times New Roman" w:hAnsi="Times New Roman" w:cs="Times New Roman"/>
          <w:sz w:val="24"/>
          <w:szCs w:val="24"/>
        </w:rPr>
        <w:t>’</w:t>
      </w:r>
      <w:r w:rsidRPr="00697230">
        <w:rPr>
          <w:rFonts w:ascii="Times New Roman" w:hAnsi="Times New Roman" w:cs="Times New Roman"/>
          <w:sz w:val="24"/>
          <w:szCs w:val="24"/>
        </w:rPr>
        <w:t>. Consequently, it is likely that many schools could reduce teacher stress by reducing the amount of marking they require teachers to do, without it having a detrimental effect on pupil learning.</w:t>
      </w:r>
    </w:p>
    <w:p w14:paraId="521B1073" w14:textId="511DFB1E" w:rsidR="0028671A" w:rsidRDefault="00C93B24" w:rsidP="008B4E20">
      <w:pPr>
        <w:pStyle w:val="Heading1UCL"/>
        <w:rPr>
          <w:sz w:val="36"/>
          <w:szCs w:val="36"/>
          <w:lang w:eastAsia="en-GB"/>
        </w:rPr>
      </w:pPr>
      <w:bookmarkStart w:id="25" w:name="_Toc67406018"/>
      <w:r>
        <w:rPr>
          <w:sz w:val="36"/>
          <w:szCs w:val="36"/>
          <w:lang w:eastAsia="en-GB"/>
        </w:rPr>
        <w:lastRenderedPageBreak/>
        <w:t>Chapter 11 School accountability and teacher stress International evidence from the OECD TALIS study</w:t>
      </w:r>
      <w:bookmarkEnd w:id="25"/>
    </w:p>
    <w:p w14:paraId="39FCB9F2" w14:textId="77777777" w:rsidR="00C93B24" w:rsidRPr="00C93B24" w:rsidRDefault="00C93B24" w:rsidP="008B4E20">
      <w:pPr>
        <w:pStyle w:val="Heading1UCL"/>
        <w:rPr>
          <w:lang w:eastAsia="en-GB"/>
        </w:rPr>
      </w:pPr>
    </w:p>
    <w:p w14:paraId="2F76553A" w14:textId="28AC5D63" w:rsidR="00C93B24" w:rsidRPr="00C93B24" w:rsidRDefault="0024284F" w:rsidP="00C93B24">
      <w:pPr>
        <w:pStyle w:val="NoSpacing"/>
        <w:numPr>
          <w:ilvl w:val="1"/>
          <w:numId w:val="32"/>
        </w:numPr>
        <w:jc w:val="both"/>
        <w:rPr>
          <w:rFonts w:ascii="Times New Roman" w:hAnsi="Times New Roman" w:cs="Times New Roman"/>
          <w:b/>
          <w:szCs w:val="24"/>
        </w:rPr>
      </w:pPr>
      <w:r>
        <w:rPr>
          <w:rFonts w:ascii="Times New Roman" w:hAnsi="Times New Roman" w:cs="Times New Roman"/>
          <w:b/>
          <w:szCs w:val="24"/>
        </w:rPr>
        <w:t xml:space="preserve"> </w:t>
      </w:r>
      <w:r w:rsidR="00C93B24" w:rsidRPr="00C93B24">
        <w:rPr>
          <w:rFonts w:ascii="Times New Roman" w:hAnsi="Times New Roman" w:cs="Times New Roman"/>
          <w:b/>
          <w:szCs w:val="24"/>
        </w:rPr>
        <w:t>Introduction</w:t>
      </w:r>
    </w:p>
    <w:p w14:paraId="69B06384" w14:textId="77777777" w:rsidR="00C93B24" w:rsidRPr="00C93B24" w:rsidRDefault="00C93B24" w:rsidP="00C93B24">
      <w:pPr>
        <w:pStyle w:val="NoSpacing"/>
        <w:ind w:left="720"/>
        <w:jc w:val="both"/>
        <w:rPr>
          <w:rFonts w:ascii="Times New Roman" w:hAnsi="Times New Roman" w:cs="Times New Roman"/>
          <w:b/>
          <w:szCs w:val="24"/>
        </w:rPr>
      </w:pPr>
    </w:p>
    <w:p w14:paraId="620CF80F" w14:textId="0ABC3045" w:rsidR="00C93B24" w:rsidRDefault="00C93B24" w:rsidP="008B4E20">
      <w:pPr>
        <w:pStyle w:val="NoSpacing"/>
        <w:spacing w:after="160" w:line="360" w:lineRule="auto"/>
        <w:jc w:val="both"/>
        <w:rPr>
          <w:rFonts w:ascii="Times New Roman" w:hAnsi="Times New Roman" w:cs="Times New Roman"/>
          <w:szCs w:val="24"/>
        </w:rPr>
      </w:pPr>
      <w:r w:rsidRPr="00C93B24">
        <w:rPr>
          <w:rFonts w:ascii="Times New Roman" w:hAnsi="Times New Roman" w:cs="Times New Roman"/>
          <w:szCs w:val="24"/>
        </w:rPr>
        <w:t xml:space="preserve">Within school systems across the globe, the issue of accountability is gaining in prominence </w:t>
      </w:r>
      <w:r>
        <w:rPr>
          <w:rFonts w:ascii="Times New Roman" w:hAnsi="Times New Roman" w:cs="Times New Roman"/>
          <w:szCs w:val="24"/>
        </w:rPr>
        <w:t xml:space="preserve">and importance. Although </w:t>
      </w:r>
      <w:r w:rsidR="0024284F">
        <w:rPr>
          <w:rFonts w:ascii="Times New Roman" w:hAnsi="Times New Roman" w:cs="Times New Roman"/>
          <w:szCs w:val="24"/>
        </w:rPr>
        <w:t>‘</w:t>
      </w:r>
      <w:r>
        <w:rPr>
          <w:rFonts w:ascii="Times New Roman" w:hAnsi="Times New Roman" w:cs="Times New Roman"/>
          <w:szCs w:val="24"/>
        </w:rPr>
        <w:t>accountability</w:t>
      </w:r>
      <w:r w:rsidR="0024284F">
        <w:rPr>
          <w:rFonts w:ascii="Times New Roman" w:hAnsi="Times New Roman" w:cs="Times New Roman"/>
          <w:szCs w:val="24"/>
        </w:rPr>
        <w:t>’</w:t>
      </w:r>
      <w:r>
        <w:rPr>
          <w:rFonts w:ascii="Times New Roman" w:hAnsi="Times New Roman" w:cs="Times New Roman"/>
          <w:szCs w:val="24"/>
        </w:rPr>
        <w:t xml:space="preserve"> in education can be conceptualised and operationalised in different ways (Gilbert</w:t>
      </w:r>
      <w:r w:rsidR="00BB3662">
        <w:rPr>
          <w:rFonts w:ascii="Times New Roman" w:hAnsi="Times New Roman" w:cs="Times New Roman"/>
          <w:szCs w:val="24"/>
        </w:rPr>
        <w:t>,</w:t>
      </w:r>
      <w:r>
        <w:rPr>
          <w:rFonts w:ascii="Times New Roman" w:hAnsi="Times New Roman" w:cs="Times New Roman"/>
          <w:szCs w:val="24"/>
        </w:rPr>
        <w:t xml:space="preserve"> 2011), it essentially boils down to key agents within the school system (teachers, </w:t>
      </w:r>
      <w:proofErr w:type="spellStart"/>
      <w:r>
        <w:rPr>
          <w:rFonts w:ascii="Times New Roman" w:hAnsi="Times New Roman" w:cs="Times New Roman"/>
          <w:szCs w:val="24"/>
        </w:rPr>
        <w:t>headteachers</w:t>
      </w:r>
      <w:proofErr w:type="spellEnd"/>
      <w:r>
        <w:rPr>
          <w:rFonts w:ascii="Times New Roman" w:hAnsi="Times New Roman" w:cs="Times New Roman"/>
          <w:szCs w:val="24"/>
        </w:rPr>
        <w:t>, schools) being held responsible for student achievement (Brill et al</w:t>
      </w:r>
      <w:r w:rsidR="00BB3662">
        <w:rPr>
          <w:rFonts w:ascii="Times New Roman" w:hAnsi="Times New Roman" w:cs="Times New Roman"/>
          <w:szCs w:val="24"/>
        </w:rPr>
        <w:t>.,</w:t>
      </w:r>
      <w:r>
        <w:rPr>
          <w:rFonts w:ascii="Times New Roman" w:hAnsi="Times New Roman" w:cs="Times New Roman"/>
          <w:szCs w:val="24"/>
        </w:rPr>
        <w:t xml:space="preserve"> 2018). Accompanied by the rise in a data</w:t>
      </w:r>
      <w:r w:rsidR="001B0410">
        <w:rPr>
          <w:rFonts w:ascii="Times New Roman" w:hAnsi="Times New Roman" w:cs="Times New Roman"/>
          <w:szCs w:val="24"/>
        </w:rPr>
        <w:t>-</w:t>
      </w:r>
      <w:r>
        <w:rPr>
          <w:rFonts w:ascii="Times New Roman" w:hAnsi="Times New Roman" w:cs="Times New Roman"/>
          <w:szCs w:val="24"/>
        </w:rPr>
        <w:t>driven culture (</w:t>
      </w:r>
      <w:proofErr w:type="spellStart"/>
      <w:r>
        <w:rPr>
          <w:rFonts w:ascii="Times New Roman" w:hAnsi="Times New Roman" w:cs="Times New Roman"/>
          <w:color w:val="333333"/>
          <w:shd w:val="clear" w:color="auto" w:fill="FFFFFF"/>
        </w:rPr>
        <w:t>Schildkamp</w:t>
      </w:r>
      <w:proofErr w:type="spellEnd"/>
      <w:r w:rsidR="00BB3662">
        <w:rPr>
          <w:rFonts w:ascii="Times New Roman" w:hAnsi="Times New Roman" w:cs="Times New Roman"/>
          <w:color w:val="333333"/>
          <w:shd w:val="clear" w:color="auto" w:fill="FFFFFF"/>
        </w:rPr>
        <w:t>,</w:t>
      </w:r>
      <w:r>
        <w:rPr>
          <w:rFonts w:ascii="Times New Roman" w:hAnsi="Times New Roman" w:cs="Times New Roman"/>
          <w:color w:val="333333"/>
          <w:shd w:val="clear" w:color="auto" w:fill="FFFFFF"/>
        </w:rPr>
        <w:t xml:space="preserve"> 2019</w:t>
      </w:r>
      <w:r>
        <w:rPr>
          <w:rFonts w:ascii="Times New Roman" w:hAnsi="Times New Roman" w:cs="Times New Roman"/>
          <w:szCs w:val="24"/>
        </w:rPr>
        <w:t xml:space="preserve">), accountability in many countries has been synonymous with greater monitoring of student test scores (Hamilton and </w:t>
      </w:r>
      <w:proofErr w:type="spellStart"/>
      <w:r>
        <w:rPr>
          <w:rFonts w:ascii="Times New Roman" w:hAnsi="Times New Roman" w:cs="Times New Roman"/>
          <w:szCs w:val="24"/>
        </w:rPr>
        <w:t>Koretz</w:t>
      </w:r>
      <w:proofErr w:type="spellEnd"/>
      <w:r w:rsidR="00BB3662">
        <w:rPr>
          <w:rFonts w:ascii="Times New Roman" w:hAnsi="Times New Roman" w:cs="Times New Roman"/>
          <w:szCs w:val="24"/>
        </w:rPr>
        <w:t>,</w:t>
      </w:r>
      <w:r>
        <w:rPr>
          <w:rFonts w:ascii="Times New Roman" w:hAnsi="Times New Roman" w:cs="Times New Roman"/>
          <w:szCs w:val="24"/>
        </w:rPr>
        <w:t xml:space="preserve"> 2002), which are increasingly being used to make judgements about the </w:t>
      </w:r>
      <w:r w:rsidR="0080071D">
        <w:rPr>
          <w:rFonts w:ascii="Times New Roman" w:hAnsi="Times New Roman" w:cs="Times New Roman"/>
          <w:szCs w:val="24"/>
        </w:rPr>
        <w:t>‘</w:t>
      </w:r>
      <w:r>
        <w:rPr>
          <w:rFonts w:ascii="Times New Roman" w:hAnsi="Times New Roman" w:cs="Times New Roman"/>
          <w:szCs w:val="24"/>
        </w:rPr>
        <w:t>effectiveness</w:t>
      </w:r>
      <w:r w:rsidR="0080071D">
        <w:rPr>
          <w:rFonts w:ascii="Times New Roman" w:hAnsi="Times New Roman" w:cs="Times New Roman"/>
          <w:szCs w:val="24"/>
        </w:rPr>
        <w:t>’</w:t>
      </w:r>
      <w:r>
        <w:rPr>
          <w:rFonts w:ascii="Times New Roman" w:hAnsi="Times New Roman" w:cs="Times New Roman"/>
          <w:szCs w:val="24"/>
        </w:rPr>
        <w:t xml:space="preserve"> of individual teachers (</w:t>
      </w:r>
      <w:proofErr w:type="spellStart"/>
      <w:r>
        <w:rPr>
          <w:rFonts w:ascii="Times New Roman" w:hAnsi="Times New Roman" w:cs="Times New Roman"/>
          <w:szCs w:val="24"/>
        </w:rPr>
        <w:t>Bitler</w:t>
      </w:r>
      <w:proofErr w:type="spellEnd"/>
      <w:r>
        <w:rPr>
          <w:rFonts w:ascii="Times New Roman" w:hAnsi="Times New Roman" w:cs="Times New Roman"/>
          <w:szCs w:val="24"/>
        </w:rPr>
        <w:t xml:space="preserve"> et al</w:t>
      </w:r>
      <w:r w:rsidR="00BB3662">
        <w:rPr>
          <w:rFonts w:ascii="Times New Roman" w:hAnsi="Times New Roman" w:cs="Times New Roman"/>
          <w:szCs w:val="24"/>
        </w:rPr>
        <w:t>.,</w:t>
      </w:r>
      <w:r>
        <w:rPr>
          <w:rFonts w:ascii="Times New Roman" w:hAnsi="Times New Roman" w:cs="Times New Roman"/>
          <w:szCs w:val="24"/>
        </w:rPr>
        <w:t xml:space="preserve"> 2019) and their schools (Goldstein</w:t>
      </w:r>
      <w:r w:rsidR="00BB3662">
        <w:rPr>
          <w:rFonts w:ascii="Times New Roman" w:hAnsi="Times New Roman" w:cs="Times New Roman"/>
          <w:szCs w:val="24"/>
        </w:rPr>
        <w:t>,</w:t>
      </w:r>
      <w:r>
        <w:rPr>
          <w:rFonts w:ascii="Times New Roman" w:hAnsi="Times New Roman" w:cs="Times New Roman"/>
          <w:szCs w:val="24"/>
        </w:rPr>
        <w:t xml:space="preserve"> 1997).</w:t>
      </w:r>
    </w:p>
    <w:p w14:paraId="4808ED98" w14:textId="08FD7164" w:rsid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t>Yet this close monitoring of student, teacher and school performance – based largely upon student assessment data – may also be having unintended and undesirable consequences. Some countries with particularly intensive accountability regimes are now facing serious issues with the recruitment and retention of teachers (Craig</w:t>
      </w:r>
      <w:r w:rsidR="00BB3662">
        <w:rPr>
          <w:rFonts w:ascii="Times New Roman" w:hAnsi="Times New Roman" w:cs="Times New Roman"/>
          <w:szCs w:val="24"/>
        </w:rPr>
        <w:t>,</w:t>
      </w:r>
      <w:r>
        <w:rPr>
          <w:rFonts w:ascii="Times New Roman" w:hAnsi="Times New Roman" w:cs="Times New Roman"/>
          <w:szCs w:val="24"/>
        </w:rPr>
        <w:t xml:space="preserve"> 2017), due to the increasing workloads and the negative impact that this may have upon wellbeing (</w:t>
      </w:r>
      <w:r>
        <w:rPr>
          <w:rFonts w:ascii="Times New Roman" w:hAnsi="Times New Roman" w:cs="Times New Roman"/>
          <w:color w:val="000000" w:themeColor="text1"/>
        </w:rPr>
        <w:t xml:space="preserve">Perryman </w:t>
      </w:r>
      <w:r w:rsidR="00BB3662">
        <w:rPr>
          <w:rFonts w:ascii="Times New Roman" w:hAnsi="Times New Roman" w:cs="Times New Roman"/>
          <w:color w:val="000000" w:themeColor="text1"/>
        </w:rPr>
        <w:t xml:space="preserve">&amp; </w:t>
      </w:r>
      <w:r>
        <w:rPr>
          <w:rFonts w:ascii="Times New Roman" w:hAnsi="Times New Roman" w:cs="Times New Roman"/>
          <w:color w:val="000000" w:themeColor="text1"/>
        </w:rPr>
        <w:t>Calvert</w:t>
      </w:r>
      <w:r w:rsidR="00BB3662">
        <w:rPr>
          <w:rFonts w:ascii="Times New Roman" w:hAnsi="Times New Roman" w:cs="Times New Roman"/>
          <w:color w:val="000000" w:themeColor="text1"/>
        </w:rPr>
        <w:t>,</w:t>
      </w:r>
      <w:r>
        <w:rPr>
          <w:rFonts w:ascii="Times New Roman" w:hAnsi="Times New Roman" w:cs="Times New Roman"/>
          <w:color w:val="000000" w:themeColor="text1"/>
        </w:rPr>
        <w:t xml:space="preserve"> 2019</w:t>
      </w:r>
      <w:r>
        <w:rPr>
          <w:rFonts w:ascii="Times New Roman" w:hAnsi="Times New Roman" w:cs="Times New Roman"/>
          <w:szCs w:val="24"/>
        </w:rPr>
        <w:t>). England is a prime example. It has one of the most data-driven systems of school accountability anywhere in the world (Lough</w:t>
      </w:r>
      <w:r w:rsidR="00BB3662">
        <w:rPr>
          <w:rFonts w:ascii="Times New Roman" w:hAnsi="Times New Roman" w:cs="Times New Roman"/>
          <w:szCs w:val="24"/>
        </w:rPr>
        <w:t>,</w:t>
      </w:r>
      <w:r>
        <w:rPr>
          <w:rFonts w:ascii="Times New Roman" w:hAnsi="Times New Roman" w:cs="Times New Roman"/>
          <w:szCs w:val="24"/>
        </w:rPr>
        <w:t xml:space="preserve"> 2019), yet also has one of the lowest levels of teacher job satisfaction and wellbeing and is struggling to recruit and retain enough staff within the profession (</w:t>
      </w:r>
      <w:r>
        <w:rPr>
          <w:rFonts w:ascii="Times New Roman" w:hAnsi="Times New Roman" w:cs="Times New Roman"/>
        </w:rPr>
        <w:t>Foster</w:t>
      </w:r>
      <w:r w:rsidR="00BB3662">
        <w:rPr>
          <w:rFonts w:ascii="Times New Roman" w:hAnsi="Times New Roman" w:cs="Times New Roman"/>
        </w:rPr>
        <w:t>,</w:t>
      </w:r>
      <w:r>
        <w:rPr>
          <w:rFonts w:ascii="Times New Roman" w:hAnsi="Times New Roman" w:cs="Times New Roman"/>
        </w:rPr>
        <w:t xml:space="preserve"> 2019</w:t>
      </w:r>
      <w:r>
        <w:rPr>
          <w:rFonts w:ascii="Times New Roman" w:hAnsi="Times New Roman" w:cs="Times New Roman"/>
          <w:szCs w:val="24"/>
        </w:rPr>
        <w:t xml:space="preserve">). </w:t>
      </w:r>
    </w:p>
    <w:p w14:paraId="198FB231" w14:textId="477CA444" w:rsidR="00C93B24" w:rsidRDefault="00C93B24" w:rsidP="00C93B24">
      <w:pPr>
        <w:pStyle w:val="NoSpacing"/>
        <w:spacing w:line="360" w:lineRule="auto"/>
        <w:jc w:val="both"/>
        <w:rPr>
          <w:rFonts w:ascii="Times New Roman" w:hAnsi="Times New Roman" w:cs="Times New Roman"/>
          <w:szCs w:val="24"/>
        </w:rPr>
      </w:pPr>
      <w:r>
        <w:rPr>
          <w:rFonts w:ascii="Times New Roman" w:hAnsi="Times New Roman" w:cs="Times New Roman"/>
          <w:szCs w:val="24"/>
        </w:rPr>
        <w:t>There are, however, many things we do not currently know about the relationship between accountability and teacher wellbeing. For instance, do countries with more intensive, data-driven accountability systems have more stressed teachers and school</w:t>
      </w:r>
      <w:r w:rsidR="00411205">
        <w:rPr>
          <w:rFonts w:ascii="Times New Roman" w:hAnsi="Times New Roman" w:cs="Times New Roman"/>
          <w:szCs w:val="24"/>
        </w:rPr>
        <w:t xml:space="preserve"> </w:t>
      </w:r>
      <w:r>
        <w:rPr>
          <w:rFonts w:ascii="Times New Roman" w:hAnsi="Times New Roman" w:cs="Times New Roman"/>
          <w:szCs w:val="24"/>
        </w:rPr>
        <w:t xml:space="preserve">leaders? Are teachers more likely to feel stressed about being held accountable for student achievement if their colleagues (and, particularly, senior colleagues) also feel under pressure? If school leaders feel stressed by the accountability system, how do their </w:t>
      </w:r>
      <w:r w:rsidR="00411205">
        <w:rPr>
          <w:rFonts w:ascii="Times New Roman" w:hAnsi="Times New Roman" w:cs="Times New Roman"/>
          <w:szCs w:val="24"/>
        </w:rPr>
        <w:t xml:space="preserve">practices </w:t>
      </w:r>
      <w:r>
        <w:rPr>
          <w:rFonts w:ascii="Times New Roman" w:hAnsi="Times New Roman" w:cs="Times New Roman"/>
          <w:szCs w:val="24"/>
        </w:rPr>
        <w:t>– and approaches to school management – change? And is senior management use of test</w:t>
      </w:r>
      <w:r w:rsidR="004936E1">
        <w:rPr>
          <w:rFonts w:ascii="Times New Roman" w:hAnsi="Times New Roman" w:cs="Times New Roman"/>
          <w:szCs w:val="24"/>
        </w:rPr>
        <w:t>-</w:t>
      </w:r>
      <w:r>
        <w:rPr>
          <w:rFonts w:ascii="Times New Roman" w:hAnsi="Times New Roman" w:cs="Times New Roman"/>
          <w:szCs w:val="24"/>
        </w:rPr>
        <w:t xml:space="preserve">score data in teacher appraisals increasing accountability-induced stress amongst their staff? </w:t>
      </w:r>
    </w:p>
    <w:p w14:paraId="38B3D0B3" w14:textId="77777777" w:rsidR="00C93B24" w:rsidRDefault="00C93B24" w:rsidP="00C93B24">
      <w:pPr>
        <w:pStyle w:val="NoSpacing"/>
        <w:spacing w:line="360" w:lineRule="auto"/>
        <w:jc w:val="both"/>
        <w:rPr>
          <w:rFonts w:ascii="Times New Roman" w:hAnsi="Times New Roman" w:cs="Times New Roman"/>
          <w:szCs w:val="24"/>
        </w:rPr>
      </w:pPr>
    </w:p>
    <w:p w14:paraId="655A4721" w14:textId="13B694E1" w:rsidR="00C93B24" w:rsidRDefault="00C93B24" w:rsidP="00C93B24">
      <w:pPr>
        <w:pStyle w:val="NoSpacing"/>
        <w:spacing w:line="360" w:lineRule="auto"/>
        <w:jc w:val="both"/>
        <w:rPr>
          <w:rFonts w:ascii="Times New Roman" w:hAnsi="Times New Roman" w:cs="Times New Roman"/>
          <w:szCs w:val="24"/>
        </w:rPr>
      </w:pPr>
      <w:r>
        <w:rPr>
          <w:rFonts w:ascii="Times New Roman" w:hAnsi="Times New Roman" w:cs="Times New Roman"/>
          <w:szCs w:val="24"/>
        </w:rPr>
        <w:lastRenderedPageBreak/>
        <w:t>Developing a better understanding of such unintended negative side</w:t>
      </w:r>
      <w:r w:rsidR="00BC1CC0">
        <w:rPr>
          <w:rFonts w:ascii="Times New Roman" w:hAnsi="Times New Roman" w:cs="Times New Roman"/>
          <w:szCs w:val="24"/>
        </w:rPr>
        <w:t xml:space="preserve"> </w:t>
      </w:r>
      <w:r>
        <w:rPr>
          <w:rFonts w:ascii="Times New Roman" w:hAnsi="Times New Roman" w:cs="Times New Roman"/>
          <w:szCs w:val="24"/>
        </w:rPr>
        <w:t>effects of intensive data-driven methods of school and teacher accountability is the main aim of this chapter. In doing so, we present new evidence on the correlates and consequences of accountability-induced stress amongst more than 100,000 teachers and 8,000 school leaders from across the globe. It addresses the following research questions:</w:t>
      </w:r>
    </w:p>
    <w:p w14:paraId="4BEEE833" w14:textId="5E7A3CD9" w:rsidR="00C93B24" w:rsidRPr="0028671A" w:rsidRDefault="00C93B24" w:rsidP="008B4E20">
      <w:pPr>
        <w:pStyle w:val="NoSpacing"/>
        <w:numPr>
          <w:ilvl w:val="0"/>
          <w:numId w:val="33"/>
        </w:numPr>
        <w:spacing w:after="160"/>
        <w:ind w:left="714" w:hanging="357"/>
        <w:jc w:val="both"/>
        <w:rPr>
          <w:rFonts w:ascii="Times New Roman" w:hAnsi="Times New Roman" w:cs="Times New Roman"/>
          <w:i/>
          <w:szCs w:val="24"/>
        </w:rPr>
      </w:pPr>
      <w:r>
        <w:rPr>
          <w:rFonts w:ascii="Times New Roman" w:hAnsi="Times New Roman" w:cs="Times New Roman"/>
          <w:i/>
          <w:szCs w:val="24"/>
        </w:rPr>
        <w:t xml:space="preserve">Research question 1. Do countries that place more emphasis upon school-performance accountability measures have more stressed teachers and </w:t>
      </w:r>
      <w:proofErr w:type="spellStart"/>
      <w:r>
        <w:rPr>
          <w:rFonts w:ascii="Times New Roman" w:hAnsi="Times New Roman" w:cs="Times New Roman"/>
          <w:i/>
          <w:szCs w:val="24"/>
        </w:rPr>
        <w:t>headteachers</w:t>
      </w:r>
      <w:proofErr w:type="spellEnd"/>
      <w:r>
        <w:rPr>
          <w:rFonts w:ascii="Times New Roman" w:hAnsi="Times New Roman" w:cs="Times New Roman"/>
          <w:i/>
          <w:szCs w:val="24"/>
        </w:rPr>
        <w:t>?</w:t>
      </w:r>
    </w:p>
    <w:p w14:paraId="1450937F" w14:textId="7A092493" w:rsidR="00C93B24" w:rsidRPr="0028671A" w:rsidRDefault="00C93B24" w:rsidP="008B4E20">
      <w:pPr>
        <w:pStyle w:val="NoSpacing"/>
        <w:numPr>
          <w:ilvl w:val="0"/>
          <w:numId w:val="33"/>
        </w:numPr>
        <w:spacing w:after="160"/>
        <w:ind w:left="714" w:hanging="357"/>
        <w:jc w:val="both"/>
        <w:rPr>
          <w:rFonts w:ascii="Times New Roman" w:hAnsi="Times New Roman" w:cs="Times New Roman"/>
          <w:i/>
          <w:szCs w:val="24"/>
        </w:rPr>
      </w:pPr>
      <w:r>
        <w:rPr>
          <w:rFonts w:ascii="Times New Roman" w:hAnsi="Times New Roman" w:cs="Times New Roman"/>
          <w:i/>
          <w:szCs w:val="24"/>
        </w:rPr>
        <w:t>Research question 2. Are teachers more stressed by accountability when senior leaders regularly use achievement data to make judgements about their performance (</w:t>
      </w:r>
      <w:r w:rsidR="003922AA">
        <w:rPr>
          <w:rFonts w:ascii="Times New Roman" w:hAnsi="Times New Roman" w:cs="Times New Roman"/>
          <w:i/>
          <w:szCs w:val="24"/>
        </w:rPr>
        <w:t>a</w:t>
      </w:r>
      <w:r>
        <w:rPr>
          <w:rFonts w:ascii="Times New Roman" w:hAnsi="Times New Roman" w:cs="Times New Roman"/>
          <w:i/>
          <w:szCs w:val="24"/>
        </w:rPr>
        <w:t>nd when this may have consequences for their career)?</w:t>
      </w:r>
    </w:p>
    <w:p w14:paraId="48882F16" w14:textId="4BCD18E8" w:rsidR="00C93B24" w:rsidRPr="0028671A" w:rsidRDefault="00C93B24" w:rsidP="008B4E20">
      <w:pPr>
        <w:pStyle w:val="NoSpacing"/>
        <w:numPr>
          <w:ilvl w:val="0"/>
          <w:numId w:val="33"/>
        </w:numPr>
        <w:spacing w:after="160"/>
        <w:ind w:left="714" w:hanging="357"/>
        <w:jc w:val="both"/>
        <w:rPr>
          <w:rFonts w:ascii="Times New Roman" w:hAnsi="Times New Roman" w:cs="Times New Roman"/>
          <w:i/>
          <w:szCs w:val="24"/>
        </w:rPr>
      </w:pPr>
      <w:r>
        <w:rPr>
          <w:rFonts w:ascii="Times New Roman" w:hAnsi="Times New Roman" w:cs="Times New Roman"/>
          <w:i/>
          <w:szCs w:val="24"/>
        </w:rPr>
        <w:t xml:space="preserve">Research question 3. Are teachers more stressed by accountability when their colleagues (including their </w:t>
      </w:r>
      <w:proofErr w:type="spellStart"/>
      <w:r>
        <w:rPr>
          <w:rFonts w:ascii="Times New Roman" w:hAnsi="Times New Roman" w:cs="Times New Roman"/>
          <w:i/>
          <w:szCs w:val="24"/>
        </w:rPr>
        <w:t>headteachers</w:t>
      </w:r>
      <w:proofErr w:type="spellEnd"/>
      <w:r>
        <w:rPr>
          <w:rFonts w:ascii="Times New Roman" w:hAnsi="Times New Roman" w:cs="Times New Roman"/>
          <w:i/>
          <w:szCs w:val="24"/>
        </w:rPr>
        <w:t xml:space="preserve">) feel stressed by accountability as well? </w:t>
      </w:r>
    </w:p>
    <w:p w14:paraId="2B83383C" w14:textId="16415FB7" w:rsidR="00C93B24" w:rsidRDefault="00C93B24" w:rsidP="00C93B24">
      <w:pPr>
        <w:pStyle w:val="NoSpacing"/>
        <w:numPr>
          <w:ilvl w:val="0"/>
          <w:numId w:val="33"/>
        </w:numPr>
        <w:jc w:val="both"/>
        <w:rPr>
          <w:rFonts w:ascii="Times New Roman" w:hAnsi="Times New Roman" w:cs="Times New Roman"/>
          <w:i/>
          <w:szCs w:val="24"/>
        </w:rPr>
      </w:pPr>
      <w:r>
        <w:rPr>
          <w:rFonts w:ascii="Times New Roman" w:hAnsi="Times New Roman" w:cs="Times New Roman"/>
          <w:i/>
          <w:szCs w:val="24"/>
        </w:rPr>
        <w:t xml:space="preserve">Research question 4. When </w:t>
      </w:r>
      <w:proofErr w:type="spellStart"/>
      <w:r>
        <w:rPr>
          <w:rFonts w:ascii="Times New Roman" w:hAnsi="Times New Roman" w:cs="Times New Roman"/>
          <w:i/>
          <w:szCs w:val="24"/>
        </w:rPr>
        <w:t>headteachers</w:t>
      </w:r>
      <w:proofErr w:type="spellEnd"/>
      <w:r>
        <w:rPr>
          <w:rFonts w:ascii="Times New Roman" w:hAnsi="Times New Roman" w:cs="Times New Roman"/>
          <w:i/>
          <w:szCs w:val="24"/>
        </w:rPr>
        <w:t xml:space="preserve"> are stressed by accountability, how do their school management </w:t>
      </w:r>
      <w:r w:rsidR="003922AA">
        <w:rPr>
          <w:rFonts w:ascii="Times New Roman" w:hAnsi="Times New Roman" w:cs="Times New Roman"/>
          <w:i/>
          <w:szCs w:val="24"/>
        </w:rPr>
        <w:t xml:space="preserve">practices </w:t>
      </w:r>
      <w:r>
        <w:rPr>
          <w:rFonts w:ascii="Times New Roman" w:hAnsi="Times New Roman" w:cs="Times New Roman"/>
          <w:i/>
          <w:szCs w:val="24"/>
        </w:rPr>
        <w:t>change, and does it worsen the environment in the school?</w:t>
      </w:r>
    </w:p>
    <w:p w14:paraId="64111615" w14:textId="77777777" w:rsidR="00C93B24" w:rsidRDefault="00C93B24" w:rsidP="00C93B24">
      <w:pPr>
        <w:pStyle w:val="NoSpacing"/>
        <w:jc w:val="both"/>
        <w:rPr>
          <w:rFonts w:ascii="Times New Roman" w:hAnsi="Times New Roman" w:cs="Times New Roman"/>
          <w:b/>
          <w:szCs w:val="24"/>
        </w:rPr>
      </w:pPr>
    </w:p>
    <w:p w14:paraId="7E891DFC" w14:textId="6501A461" w:rsidR="00C93B24" w:rsidRDefault="003E23E1" w:rsidP="00C93B24">
      <w:pPr>
        <w:pStyle w:val="NoSpacing"/>
        <w:numPr>
          <w:ilvl w:val="1"/>
          <w:numId w:val="32"/>
        </w:numPr>
        <w:jc w:val="both"/>
        <w:rPr>
          <w:rFonts w:ascii="Times New Roman" w:hAnsi="Times New Roman" w:cs="Times New Roman"/>
          <w:b/>
          <w:szCs w:val="24"/>
        </w:rPr>
      </w:pPr>
      <w:r>
        <w:rPr>
          <w:rFonts w:ascii="Times New Roman" w:hAnsi="Times New Roman" w:cs="Times New Roman"/>
          <w:b/>
          <w:szCs w:val="24"/>
        </w:rPr>
        <w:t xml:space="preserve"> </w:t>
      </w:r>
      <w:r w:rsidR="00C93B24">
        <w:rPr>
          <w:rFonts w:ascii="Times New Roman" w:hAnsi="Times New Roman" w:cs="Times New Roman"/>
          <w:b/>
          <w:szCs w:val="24"/>
        </w:rPr>
        <w:t xml:space="preserve">Data </w:t>
      </w:r>
    </w:p>
    <w:p w14:paraId="6D503E23" w14:textId="77777777" w:rsidR="00C93B24" w:rsidRDefault="00C93B24" w:rsidP="00C93B24">
      <w:pPr>
        <w:pStyle w:val="NoSpacing"/>
        <w:jc w:val="both"/>
        <w:rPr>
          <w:rFonts w:ascii="Times New Roman" w:hAnsi="Times New Roman" w:cs="Times New Roman"/>
          <w:szCs w:val="24"/>
        </w:rPr>
      </w:pPr>
    </w:p>
    <w:p w14:paraId="7627E704" w14:textId="6E05FC0A" w:rsid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t>The data we use are drawn from the 2018 round of TALIS (lower-secondary teachers only</w:t>
      </w:r>
      <w:r w:rsidR="00857B78">
        <w:rPr>
          <w:rFonts w:ascii="Times New Roman" w:hAnsi="Times New Roman" w:cs="Times New Roman"/>
          <w:szCs w:val="24"/>
        </w:rPr>
        <w:t xml:space="preserve"> – the equivalent to those teaching Key Stage 3</w:t>
      </w:r>
      <w:r>
        <w:rPr>
          <w:rFonts w:ascii="Times New Roman" w:hAnsi="Times New Roman" w:cs="Times New Roman"/>
          <w:szCs w:val="24"/>
        </w:rPr>
        <w:t xml:space="preserve">). As part of the TALIS questionnaire, teachers and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were asked about the sources of stress in their job. This includes </w:t>
      </w:r>
      <w:r w:rsidR="00C91AD0">
        <w:rPr>
          <w:rFonts w:ascii="Times New Roman" w:hAnsi="Times New Roman" w:cs="Times New Roman"/>
          <w:szCs w:val="24"/>
        </w:rPr>
        <w:t>‘</w:t>
      </w:r>
      <w:r>
        <w:rPr>
          <w:rFonts w:ascii="Times New Roman" w:hAnsi="Times New Roman" w:cs="Times New Roman"/>
          <w:i/>
          <w:szCs w:val="24"/>
        </w:rPr>
        <w:t>being held responsible for students’ achievement</w:t>
      </w:r>
      <w:r w:rsidR="00C91AD0">
        <w:rPr>
          <w:rFonts w:ascii="Times New Roman" w:hAnsi="Times New Roman" w:cs="Times New Roman"/>
          <w:szCs w:val="24"/>
        </w:rPr>
        <w:t>’</w:t>
      </w:r>
      <w:r>
        <w:rPr>
          <w:rFonts w:ascii="Times New Roman" w:hAnsi="Times New Roman" w:cs="Times New Roman"/>
          <w:szCs w:val="24"/>
        </w:rPr>
        <w:t>. This is the primary outcome we consider in this paper, focusing upon those who selected one of the two most extreme options (</w:t>
      </w:r>
      <w:r w:rsidR="00C91AD0">
        <w:rPr>
          <w:rFonts w:ascii="Times New Roman" w:hAnsi="Times New Roman" w:cs="Times New Roman"/>
          <w:szCs w:val="24"/>
        </w:rPr>
        <w:t>‘</w:t>
      </w:r>
      <w:r>
        <w:rPr>
          <w:rFonts w:ascii="Times New Roman" w:hAnsi="Times New Roman" w:cs="Times New Roman"/>
          <w:szCs w:val="24"/>
        </w:rPr>
        <w:t>a lot</w:t>
      </w:r>
      <w:r w:rsidR="00C91AD0">
        <w:rPr>
          <w:rFonts w:ascii="Times New Roman" w:hAnsi="Times New Roman" w:cs="Times New Roman"/>
          <w:szCs w:val="24"/>
        </w:rPr>
        <w:t>’</w:t>
      </w:r>
      <w:r>
        <w:rPr>
          <w:rFonts w:ascii="Times New Roman" w:hAnsi="Times New Roman" w:cs="Times New Roman"/>
          <w:szCs w:val="24"/>
        </w:rPr>
        <w:t xml:space="preserve"> and </w:t>
      </w:r>
      <w:r w:rsidR="00C91AD0">
        <w:rPr>
          <w:rFonts w:ascii="Times New Roman" w:hAnsi="Times New Roman" w:cs="Times New Roman"/>
          <w:szCs w:val="24"/>
        </w:rPr>
        <w:t>‘</w:t>
      </w:r>
      <w:r>
        <w:rPr>
          <w:rFonts w:ascii="Times New Roman" w:hAnsi="Times New Roman" w:cs="Times New Roman"/>
          <w:szCs w:val="24"/>
        </w:rPr>
        <w:t>quite a bit</w:t>
      </w:r>
      <w:r w:rsidR="00C91AD0">
        <w:rPr>
          <w:rFonts w:ascii="Times New Roman" w:hAnsi="Times New Roman" w:cs="Times New Roman"/>
          <w:szCs w:val="24"/>
        </w:rPr>
        <w:t>’</w:t>
      </w:r>
      <w:r>
        <w:rPr>
          <w:rFonts w:ascii="Times New Roman" w:hAnsi="Times New Roman" w:cs="Times New Roman"/>
          <w:szCs w:val="24"/>
        </w:rPr>
        <w:t>).</w:t>
      </w:r>
    </w:p>
    <w:p w14:paraId="73D683AE" w14:textId="76A306A9" w:rsidR="00C93B24" w:rsidRDefault="00C93B24" w:rsidP="00C93B24">
      <w:pPr>
        <w:pStyle w:val="NoSpacing"/>
        <w:spacing w:line="360" w:lineRule="auto"/>
        <w:jc w:val="both"/>
        <w:rPr>
          <w:rFonts w:ascii="Times New Roman" w:hAnsi="Times New Roman" w:cs="Times New Roman"/>
          <w:szCs w:val="24"/>
        </w:rPr>
      </w:pP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were also asked about how regularly they monitor staff through formal appraisals and what information is used to judge the performance of teachers as part of their appraisals. In this chapter, we are particularly interested in </w:t>
      </w:r>
      <w:proofErr w:type="spellStart"/>
      <w:r>
        <w:rPr>
          <w:rFonts w:ascii="Times New Roman" w:hAnsi="Times New Roman" w:cs="Times New Roman"/>
          <w:szCs w:val="24"/>
        </w:rPr>
        <w:t>headteachers</w:t>
      </w:r>
      <w:proofErr w:type="spellEnd"/>
      <w:r w:rsidR="00C91AD0">
        <w:rPr>
          <w:rFonts w:ascii="Times New Roman" w:hAnsi="Times New Roman" w:cs="Times New Roman"/>
          <w:szCs w:val="24"/>
        </w:rPr>
        <w:t>’</w:t>
      </w:r>
      <w:r>
        <w:rPr>
          <w:rFonts w:ascii="Times New Roman" w:hAnsi="Times New Roman" w:cs="Times New Roman"/>
          <w:szCs w:val="24"/>
        </w:rPr>
        <w:t xml:space="preserve"> use of national</w:t>
      </w:r>
      <w:r w:rsidR="00C91AD0">
        <w:rPr>
          <w:rFonts w:ascii="Times New Roman" w:hAnsi="Times New Roman" w:cs="Times New Roman"/>
          <w:szCs w:val="24"/>
        </w:rPr>
        <w:t>-</w:t>
      </w:r>
      <w:r>
        <w:rPr>
          <w:rFonts w:ascii="Times New Roman" w:hAnsi="Times New Roman" w:cs="Times New Roman"/>
          <w:szCs w:val="24"/>
        </w:rPr>
        <w:t>, school</w:t>
      </w:r>
      <w:r w:rsidR="00C91AD0">
        <w:rPr>
          <w:rFonts w:ascii="Times New Roman" w:hAnsi="Times New Roman" w:cs="Times New Roman"/>
          <w:szCs w:val="24"/>
        </w:rPr>
        <w:t>-</w:t>
      </w:r>
      <w:r>
        <w:rPr>
          <w:rFonts w:ascii="Times New Roman" w:hAnsi="Times New Roman" w:cs="Times New Roman"/>
          <w:szCs w:val="24"/>
        </w:rPr>
        <w:t xml:space="preserve"> or class-based tests as part of pupil appraisal. Finally,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were also asked about the potential consequences of teacher appraisal. Our particular interest here is whether material sanctions, reduced prospects of career profession or dismissal are ever a consequence of a negative appraisal. Specifically, we will use this information as part of our investigations into whether teachers find accountability particularly stressful when test</w:t>
      </w:r>
      <w:r w:rsidR="006C0EF6">
        <w:rPr>
          <w:rFonts w:ascii="Times New Roman" w:hAnsi="Times New Roman" w:cs="Times New Roman"/>
          <w:szCs w:val="24"/>
        </w:rPr>
        <w:t>-</w:t>
      </w:r>
      <w:r>
        <w:rPr>
          <w:rFonts w:ascii="Times New Roman" w:hAnsi="Times New Roman" w:cs="Times New Roman"/>
          <w:szCs w:val="24"/>
        </w:rPr>
        <w:t xml:space="preserve">score metrics are used by senior management in their appraisal </w:t>
      </w:r>
      <w:r>
        <w:rPr>
          <w:rFonts w:ascii="Times New Roman" w:hAnsi="Times New Roman" w:cs="Times New Roman"/>
          <w:i/>
          <w:szCs w:val="24"/>
          <w:u w:val="single"/>
        </w:rPr>
        <w:t>and</w:t>
      </w:r>
      <w:r>
        <w:rPr>
          <w:rFonts w:ascii="Times New Roman" w:hAnsi="Times New Roman" w:cs="Times New Roman"/>
          <w:szCs w:val="24"/>
        </w:rPr>
        <w:t xml:space="preserve"> when this has potentially serious consequences for their career. </w:t>
      </w:r>
    </w:p>
    <w:p w14:paraId="0786948A" w14:textId="77777777" w:rsidR="00C93B24" w:rsidRDefault="00C93B24" w:rsidP="00C93B24">
      <w:pPr>
        <w:pStyle w:val="NoSpacing"/>
        <w:spacing w:line="360" w:lineRule="auto"/>
        <w:jc w:val="both"/>
        <w:rPr>
          <w:rFonts w:ascii="Times New Roman" w:hAnsi="Times New Roman" w:cs="Times New Roman"/>
          <w:szCs w:val="24"/>
        </w:rPr>
      </w:pPr>
    </w:p>
    <w:p w14:paraId="1928B3E6" w14:textId="4AFBBC71" w:rsid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lastRenderedPageBreak/>
        <w:t xml:space="preserve">In addition to TALIS, we also draw upon information from the PISA 2018 </w:t>
      </w:r>
      <w:proofErr w:type="spellStart"/>
      <w:r>
        <w:rPr>
          <w:rFonts w:ascii="Times New Roman" w:hAnsi="Times New Roman" w:cs="Times New Roman"/>
          <w:szCs w:val="24"/>
        </w:rPr>
        <w:t>headteacher</w:t>
      </w:r>
      <w:proofErr w:type="spellEnd"/>
      <w:r>
        <w:rPr>
          <w:rFonts w:ascii="Times New Roman" w:hAnsi="Times New Roman" w:cs="Times New Roman"/>
          <w:szCs w:val="24"/>
        </w:rPr>
        <w:t xml:space="preserve"> survey in order to address research question 1. As part of PISA 2018,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were asked how they and the national government use national assessment data and how external evaluations (e.g. inspections) are used as part of the quality assurance process for their school. These indicators are combined into a single accountability scale, which has been standardised to mean zero and standard deviation one across countries, with greater values indicating greater use of (test</w:t>
      </w:r>
      <w:r w:rsidR="002A2C2C">
        <w:rPr>
          <w:rFonts w:ascii="Times New Roman" w:hAnsi="Times New Roman" w:cs="Times New Roman"/>
          <w:szCs w:val="24"/>
        </w:rPr>
        <w:t>-</w:t>
      </w:r>
      <w:r>
        <w:rPr>
          <w:rFonts w:ascii="Times New Roman" w:hAnsi="Times New Roman" w:cs="Times New Roman"/>
          <w:szCs w:val="24"/>
        </w:rPr>
        <w:t>score</w:t>
      </w:r>
      <w:r w:rsidR="002A2C2C">
        <w:rPr>
          <w:rFonts w:ascii="Times New Roman" w:hAnsi="Times New Roman" w:cs="Times New Roman"/>
          <w:szCs w:val="24"/>
        </w:rPr>
        <w:t>-</w:t>
      </w:r>
      <w:r>
        <w:rPr>
          <w:rFonts w:ascii="Times New Roman" w:hAnsi="Times New Roman" w:cs="Times New Roman"/>
          <w:szCs w:val="24"/>
        </w:rPr>
        <w:t xml:space="preserve">driven) school accountability. </w:t>
      </w:r>
    </w:p>
    <w:p w14:paraId="498A4E5A" w14:textId="77777777" w:rsidR="00C93B24" w:rsidRDefault="00C93B24" w:rsidP="00C93B24">
      <w:pPr>
        <w:pStyle w:val="NoSpacing"/>
        <w:jc w:val="both"/>
        <w:rPr>
          <w:rFonts w:ascii="Times New Roman" w:hAnsi="Times New Roman" w:cs="Times New Roman"/>
          <w:b/>
          <w:szCs w:val="24"/>
        </w:rPr>
      </w:pPr>
      <w:r>
        <w:rPr>
          <w:rFonts w:ascii="Times New Roman" w:hAnsi="Times New Roman" w:cs="Times New Roman"/>
          <w:b/>
          <w:szCs w:val="24"/>
        </w:rPr>
        <w:t xml:space="preserve">11.3 Do countries that place more emphasis upon school-performance accountability measures have more stressed teachers and </w:t>
      </w:r>
      <w:proofErr w:type="spellStart"/>
      <w:r>
        <w:rPr>
          <w:rFonts w:ascii="Times New Roman" w:hAnsi="Times New Roman" w:cs="Times New Roman"/>
          <w:b/>
          <w:szCs w:val="24"/>
        </w:rPr>
        <w:t>headteachers</w:t>
      </w:r>
      <w:proofErr w:type="spellEnd"/>
      <w:r>
        <w:rPr>
          <w:rFonts w:ascii="Times New Roman" w:hAnsi="Times New Roman" w:cs="Times New Roman"/>
          <w:b/>
          <w:szCs w:val="24"/>
        </w:rPr>
        <w:t>?</w:t>
      </w:r>
    </w:p>
    <w:p w14:paraId="59ECBDB1" w14:textId="77777777" w:rsidR="00C93B24" w:rsidRDefault="00C93B24" w:rsidP="00C93B24">
      <w:pPr>
        <w:pStyle w:val="NoSpacing"/>
        <w:jc w:val="both"/>
        <w:rPr>
          <w:rFonts w:ascii="Times New Roman" w:hAnsi="Times New Roman" w:cs="Times New Roman"/>
          <w:szCs w:val="24"/>
        </w:rPr>
      </w:pPr>
    </w:p>
    <w:p w14:paraId="6A3617D3" w14:textId="44FF87E2" w:rsidR="00C93B24" w:rsidRDefault="00C93B24" w:rsidP="00C93B24">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Figure 11.1 illustrates the relationship between the scale of school-system accountability and the percentage of </w:t>
      </w:r>
      <w:proofErr w:type="spellStart"/>
      <w:r>
        <w:rPr>
          <w:rFonts w:ascii="Times New Roman" w:hAnsi="Times New Roman" w:cs="Times New Roman"/>
          <w:szCs w:val="24"/>
        </w:rPr>
        <w:t>headteachers</w:t>
      </w:r>
      <w:proofErr w:type="spellEnd"/>
      <w:r w:rsidR="00EE0B6F">
        <w:rPr>
          <w:rFonts w:ascii="Times New Roman" w:hAnsi="Times New Roman" w:cs="Times New Roman"/>
          <w:szCs w:val="24"/>
        </w:rPr>
        <w:t>,</w:t>
      </w:r>
      <w:r>
        <w:rPr>
          <w:rFonts w:ascii="Times New Roman" w:hAnsi="Times New Roman" w:cs="Times New Roman"/>
          <w:szCs w:val="24"/>
        </w:rPr>
        <w:t xml:space="preserve"> panel </w:t>
      </w:r>
      <w:r w:rsidR="00EE0B6F">
        <w:rPr>
          <w:rFonts w:ascii="Times New Roman" w:hAnsi="Times New Roman" w:cs="Times New Roman"/>
          <w:szCs w:val="24"/>
        </w:rPr>
        <w:t>(</w:t>
      </w:r>
      <w:r>
        <w:rPr>
          <w:rFonts w:ascii="Times New Roman" w:hAnsi="Times New Roman" w:cs="Times New Roman"/>
          <w:szCs w:val="24"/>
        </w:rPr>
        <w:t>a)</w:t>
      </w:r>
      <w:r w:rsidR="007C4C1B">
        <w:rPr>
          <w:rFonts w:ascii="Times New Roman" w:hAnsi="Times New Roman" w:cs="Times New Roman"/>
          <w:szCs w:val="24"/>
        </w:rPr>
        <w:t>,</w:t>
      </w:r>
      <w:r>
        <w:rPr>
          <w:rFonts w:ascii="Times New Roman" w:hAnsi="Times New Roman" w:cs="Times New Roman"/>
          <w:szCs w:val="24"/>
        </w:rPr>
        <w:t xml:space="preserve"> and teachers</w:t>
      </w:r>
      <w:r w:rsidR="007C4C1B">
        <w:rPr>
          <w:rFonts w:ascii="Times New Roman" w:hAnsi="Times New Roman" w:cs="Times New Roman"/>
          <w:szCs w:val="24"/>
        </w:rPr>
        <w:t>,</w:t>
      </w:r>
      <w:r>
        <w:rPr>
          <w:rFonts w:ascii="Times New Roman" w:hAnsi="Times New Roman" w:cs="Times New Roman"/>
          <w:szCs w:val="24"/>
        </w:rPr>
        <w:t xml:space="preserve"> panel </w:t>
      </w:r>
      <w:r w:rsidR="007C4C1B">
        <w:rPr>
          <w:rFonts w:ascii="Times New Roman" w:hAnsi="Times New Roman" w:cs="Times New Roman"/>
          <w:szCs w:val="24"/>
        </w:rPr>
        <w:t>(</w:t>
      </w:r>
      <w:r>
        <w:rPr>
          <w:rFonts w:ascii="Times New Roman" w:hAnsi="Times New Roman" w:cs="Times New Roman"/>
          <w:szCs w:val="24"/>
        </w:rPr>
        <w:t>b)</w:t>
      </w:r>
      <w:r w:rsidR="007C4C1B">
        <w:rPr>
          <w:rFonts w:ascii="Times New Roman" w:hAnsi="Times New Roman" w:cs="Times New Roman"/>
          <w:szCs w:val="24"/>
        </w:rPr>
        <w:t>,</w:t>
      </w:r>
      <w:r>
        <w:rPr>
          <w:rFonts w:ascii="Times New Roman" w:hAnsi="Times New Roman" w:cs="Times New Roman"/>
          <w:szCs w:val="24"/>
        </w:rPr>
        <w:t xml:space="preserve"> who report being stressed by accountability at the country</w:t>
      </w:r>
      <w:r w:rsidR="007C4C1B">
        <w:rPr>
          <w:rFonts w:ascii="Times New Roman" w:hAnsi="Times New Roman" w:cs="Times New Roman"/>
          <w:szCs w:val="24"/>
        </w:rPr>
        <w:t xml:space="preserve"> </w:t>
      </w:r>
      <w:r>
        <w:rPr>
          <w:rFonts w:ascii="Times New Roman" w:hAnsi="Times New Roman" w:cs="Times New Roman"/>
          <w:szCs w:val="24"/>
        </w:rPr>
        <w:t xml:space="preserve">level. In both graphs, there is a moderate, positive correlation (Pearson r ≈0.3). Consistent with our hypothesis, countries with more extensive, data-driven systems of school accountability also have staff who feel more stressed by this aspect of their job. Yet there are some clear exceptions to this relationship as well. For instance, despite its extensive use of data-driven accountability, the United States sits just below the international average in terms of the proportion of teachers and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reporting high</w:t>
      </w:r>
      <w:r w:rsidR="007C4C1B">
        <w:rPr>
          <w:rFonts w:ascii="Times New Roman" w:hAnsi="Times New Roman" w:cs="Times New Roman"/>
          <w:szCs w:val="24"/>
        </w:rPr>
        <w:t xml:space="preserve"> </w:t>
      </w:r>
      <w:r>
        <w:rPr>
          <w:rFonts w:ascii="Times New Roman" w:hAnsi="Times New Roman" w:cs="Times New Roman"/>
          <w:szCs w:val="24"/>
        </w:rPr>
        <w:t xml:space="preserve">levels of accountability-induced stress. On the other hand, in Portugal many more teachers and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report high</w:t>
      </w:r>
      <w:r w:rsidR="007C4C1B">
        <w:rPr>
          <w:rFonts w:ascii="Times New Roman" w:hAnsi="Times New Roman" w:cs="Times New Roman"/>
          <w:szCs w:val="24"/>
        </w:rPr>
        <w:t xml:space="preserve"> </w:t>
      </w:r>
      <w:r>
        <w:rPr>
          <w:rFonts w:ascii="Times New Roman" w:hAnsi="Times New Roman" w:cs="Times New Roman"/>
          <w:szCs w:val="24"/>
        </w:rPr>
        <w:t xml:space="preserve">levels of stress due to accountability than one would anticipate, given the level of accountability in its school system. </w:t>
      </w:r>
    </w:p>
    <w:p w14:paraId="383CE267" w14:textId="77777777" w:rsidR="00C93B24" w:rsidRDefault="00C93B24" w:rsidP="00C93B24">
      <w:pPr>
        <w:pStyle w:val="NoSpacing"/>
        <w:jc w:val="both"/>
        <w:rPr>
          <w:rFonts w:ascii="Times New Roman" w:hAnsi="Times New Roman" w:cs="Times New Roman"/>
          <w:b/>
          <w:szCs w:val="24"/>
        </w:rPr>
      </w:pPr>
    </w:p>
    <w:p w14:paraId="12C660B6" w14:textId="77777777" w:rsidR="00C93B24" w:rsidRDefault="00C93B24" w:rsidP="00C93B24">
      <w:pPr>
        <w:pStyle w:val="NoSpacing"/>
        <w:jc w:val="both"/>
        <w:rPr>
          <w:rFonts w:ascii="Times New Roman" w:hAnsi="Times New Roman" w:cs="Times New Roman"/>
          <w:szCs w:val="24"/>
        </w:rPr>
      </w:pPr>
    </w:p>
    <w:p w14:paraId="5F78F10B" w14:textId="77777777" w:rsidR="00C93B24" w:rsidRDefault="00C93B24" w:rsidP="00C93B24">
      <w:pPr>
        <w:pStyle w:val="NoSpacing"/>
        <w:jc w:val="both"/>
        <w:rPr>
          <w:rFonts w:ascii="Times New Roman" w:hAnsi="Times New Roman" w:cs="Times New Roman"/>
          <w:szCs w:val="24"/>
        </w:rPr>
      </w:pPr>
    </w:p>
    <w:p w14:paraId="3DC42569" w14:textId="77777777" w:rsidR="00C93B24" w:rsidRDefault="00C93B24" w:rsidP="00C93B24">
      <w:pPr>
        <w:pStyle w:val="NoSpacing"/>
        <w:jc w:val="both"/>
        <w:rPr>
          <w:rFonts w:ascii="Times New Roman" w:hAnsi="Times New Roman" w:cs="Times New Roman"/>
          <w:szCs w:val="24"/>
        </w:rPr>
      </w:pPr>
    </w:p>
    <w:p w14:paraId="28DC14FF" w14:textId="77777777" w:rsidR="00C93B24" w:rsidRDefault="00C93B24" w:rsidP="00C93B24">
      <w:pPr>
        <w:pStyle w:val="NoSpacing"/>
        <w:jc w:val="both"/>
        <w:rPr>
          <w:rFonts w:ascii="Times New Roman" w:hAnsi="Times New Roman" w:cs="Times New Roman"/>
          <w:szCs w:val="24"/>
        </w:rPr>
      </w:pPr>
    </w:p>
    <w:p w14:paraId="1E1E4B0A" w14:textId="77777777" w:rsidR="00C93B24" w:rsidRDefault="00C93B24" w:rsidP="00C93B24">
      <w:pPr>
        <w:pStyle w:val="NoSpacing"/>
        <w:jc w:val="both"/>
        <w:rPr>
          <w:rFonts w:ascii="Times New Roman" w:hAnsi="Times New Roman" w:cs="Times New Roman"/>
          <w:szCs w:val="24"/>
        </w:rPr>
      </w:pPr>
    </w:p>
    <w:p w14:paraId="0B316E4A" w14:textId="77777777" w:rsidR="00C93B24" w:rsidRDefault="00C93B24" w:rsidP="00C93B24">
      <w:pPr>
        <w:pStyle w:val="NoSpacing"/>
        <w:jc w:val="both"/>
        <w:rPr>
          <w:rFonts w:ascii="Times New Roman" w:hAnsi="Times New Roman" w:cs="Times New Roman"/>
          <w:szCs w:val="24"/>
        </w:rPr>
      </w:pPr>
    </w:p>
    <w:p w14:paraId="0260D472" w14:textId="77777777" w:rsidR="00C93B24" w:rsidRDefault="00C93B24" w:rsidP="00C93B24">
      <w:pPr>
        <w:pStyle w:val="NoSpacing"/>
        <w:jc w:val="both"/>
        <w:rPr>
          <w:rFonts w:ascii="Times New Roman" w:hAnsi="Times New Roman" w:cs="Times New Roman"/>
          <w:szCs w:val="24"/>
        </w:rPr>
      </w:pPr>
    </w:p>
    <w:p w14:paraId="57C2B86F" w14:textId="77777777" w:rsidR="00C93B24" w:rsidRDefault="00C93B24" w:rsidP="00C93B24">
      <w:pPr>
        <w:pStyle w:val="NoSpacing"/>
        <w:jc w:val="both"/>
        <w:rPr>
          <w:rFonts w:ascii="Times New Roman" w:hAnsi="Times New Roman" w:cs="Times New Roman"/>
          <w:szCs w:val="24"/>
        </w:rPr>
      </w:pPr>
    </w:p>
    <w:p w14:paraId="642A5BCE" w14:textId="77777777" w:rsidR="00C93B24" w:rsidRDefault="00C93B24" w:rsidP="00C93B24">
      <w:pPr>
        <w:pStyle w:val="NoSpacing"/>
        <w:jc w:val="both"/>
        <w:rPr>
          <w:rFonts w:ascii="Times New Roman" w:hAnsi="Times New Roman" w:cs="Times New Roman"/>
          <w:szCs w:val="24"/>
        </w:rPr>
      </w:pPr>
    </w:p>
    <w:p w14:paraId="4810EABE" w14:textId="77777777" w:rsidR="00C93B24" w:rsidRDefault="00C93B24" w:rsidP="00C93B24">
      <w:pPr>
        <w:pStyle w:val="NoSpacing"/>
        <w:jc w:val="both"/>
        <w:rPr>
          <w:rFonts w:ascii="Times New Roman" w:hAnsi="Times New Roman" w:cs="Times New Roman"/>
          <w:szCs w:val="24"/>
        </w:rPr>
      </w:pPr>
    </w:p>
    <w:p w14:paraId="4C0A4CFF" w14:textId="77777777" w:rsidR="00C93B24" w:rsidRDefault="00C93B24" w:rsidP="00C93B24">
      <w:pPr>
        <w:pStyle w:val="NoSpacing"/>
        <w:jc w:val="both"/>
        <w:rPr>
          <w:rFonts w:ascii="Times New Roman" w:hAnsi="Times New Roman" w:cs="Times New Roman"/>
          <w:szCs w:val="24"/>
        </w:rPr>
      </w:pPr>
    </w:p>
    <w:p w14:paraId="4238A189" w14:textId="77777777" w:rsidR="00C93B24" w:rsidRDefault="00C93B24" w:rsidP="00C93B24">
      <w:pPr>
        <w:pStyle w:val="NoSpacing"/>
        <w:jc w:val="both"/>
        <w:rPr>
          <w:rFonts w:ascii="Times New Roman" w:hAnsi="Times New Roman" w:cs="Times New Roman"/>
          <w:szCs w:val="24"/>
        </w:rPr>
      </w:pPr>
    </w:p>
    <w:p w14:paraId="1199E8E0" w14:textId="77777777" w:rsidR="00C93B24" w:rsidRDefault="00C93B24" w:rsidP="00C93B24">
      <w:pPr>
        <w:pStyle w:val="NoSpacing"/>
        <w:jc w:val="both"/>
        <w:rPr>
          <w:rFonts w:ascii="Times New Roman" w:hAnsi="Times New Roman" w:cs="Times New Roman"/>
          <w:szCs w:val="24"/>
        </w:rPr>
      </w:pPr>
    </w:p>
    <w:p w14:paraId="5887A6A0" w14:textId="77777777" w:rsidR="00C93B24" w:rsidRDefault="00C93B24" w:rsidP="00C93B24">
      <w:pPr>
        <w:pStyle w:val="NoSpacing"/>
        <w:jc w:val="both"/>
        <w:rPr>
          <w:rFonts w:ascii="Times New Roman" w:hAnsi="Times New Roman" w:cs="Times New Roman"/>
          <w:szCs w:val="24"/>
        </w:rPr>
      </w:pPr>
    </w:p>
    <w:p w14:paraId="67102C61" w14:textId="77777777" w:rsidR="00C93B24" w:rsidRDefault="00C93B24" w:rsidP="00C93B24">
      <w:pPr>
        <w:pStyle w:val="NoSpacing"/>
        <w:jc w:val="both"/>
        <w:rPr>
          <w:rFonts w:ascii="Times New Roman" w:hAnsi="Times New Roman" w:cs="Times New Roman"/>
          <w:szCs w:val="24"/>
        </w:rPr>
      </w:pPr>
    </w:p>
    <w:p w14:paraId="7283606C" w14:textId="77777777" w:rsidR="00C93B24" w:rsidRDefault="00C93B24" w:rsidP="00C93B24">
      <w:pPr>
        <w:pStyle w:val="NoSpacing"/>
        <w:jc w:val="both"/>
        <w:rPr>
          <w:rFonts w:ascii="Times New Roman" w:hAnsi="Times New Roman" w:cs="Times New Roman"/>
          <w:szCs w:val="24"/>
        </w:rPr>
      </w:pPr>
    </w:p>
    <w:p w14:paraId="3517119C" w14:textId="77777777" w:rsidR="00C93B24" w:rsidRDefault="00C93B24" w:rsidP="00C93B24">
      <w:pPr>
        <w:pStyle w:val="NoSpacing"/>
        <w:jc w:val="both"/>
        <w:rPr>
          <w:rFonts w:ascii="Times New Roman" w:hAnsi="Times New Roman" w:cs="Times New Roman"/>
          <w:szCs w:val="24"/>
        </w:rPr>
      </w:pPr>
    </w:p>
    <w:p w14:paraId="510B699C" w14:textId="77777777" w:rsidR="00C93B24" w:rsidRDefault="00C93B24" w:rsidP="00C93B24">
      <w:pPr>
        <w:spacing w:after="0" w:line="240" w:lineRule="auto"/>
        <w:rPr>
          <w:rFonts w:ascii="Times New Roman" w:hAnsi="Times New Roman" w:cs="Times New Roman"/>
          <w:szCs w:val="24"/>
        </w:rPr>
        <w:sectPr w:rsidR="00C93B24">
          <w:pgSz w:w="11906" w:h="16838"/>
          <w:pgMar w:top="1440" w:right="1440" w:bottom="1440" w:left="1440" w:header="708" w:footer="708" w:gutter="0"/>
          <w:cols w:space="720"/>
        </w:sectPr>
      </w:pPr>
    </w:p>
    <w:p w14:paraId="3DDF5AA4" w14:textId="77777777" w:rsidR="00C93B24" w:rsidRDefault="00C93B24" w:rsidP="00C93B24">
      <w:pPr>
        <w:pStyle w:val="NoSpacing"/>
        <w:jc w:val="both"/>
        <w:rPr>
          <w:rFonts w:ascii="Times New Roman" w:hAnsi="Times New Roman" w:cs="Times New Roman"/>
          <w:szCs w:val="24"/>
        </w:rPr>
      </w:pPr>
    </w:p>
    <w:p w14:paraId="3CA51EAB" w14:textId="5932C15E" w:rsidR="00C93B24" w:rsidRDefault="00C93B24" w:rsidP="00C93B24">
      <w:pPr>
        <w:spacing w:after="0" w:line="240" w:lineRule="auto"/>
        <w:jc w:val="center"/>
        <w:rPr>
          <w:rFonts w:ascii="Times New Roman" w:hAnsi="Times New Roman" w:cs="Times New Roman"/>
          <w:b/>
          <w:sz w:val="24"/>
          <w:szCs w:val="24"/>
        </w:rPr>
      </w:pPr>
      <w:r w:rsidRPr="00C93B24">
        <w:rPr>
          <w:rFonts w:ascii="Times New Roman" w:hAnsi="Times New Roman" w:cs="Times New Roman"/>
          <w:b/>
          <w:sz w:val="24"/>
          <w:szCs w:val="24"/>
        </w:rPr>
        <w:t xml:space="preserve">Figure 11.1 </w:t>
      </w:r>
      <w:proofErr w:type="gramStart"/>
      <w:r w:rsidRPr="00C93B24">
        <w:rPr>
          <w:rFonts w:ascii="Times New Roman" w:hAnsi="Times New Roman" w:cs="Times New Roman"/>
          <w:b/>
          <w:sz w:val="24"/>
          <w:szCs w:val="24"/>
        </w:rPr>
        <w:t>The</w:t>
      </w:r>
      <w:proofErr w:type="gramEnd"/>
      <w:r w:rsidRPr="00C93B24">
        <w:rPr>
          <w:rFonts w:ascii="Times New Roman" w:hAnsi="Times New Roman" w:cs="Times New Roman"/>
          <w:b/>
          <w:sz w:val="24"/>
          <w:szCs w:val="24"/>
        </w:rPr>
        <w:t xml:space="preserve"> cross-national relationship between the extent of school accountability and the percent</w:t>
      </w:r>
      <w:r w:rsidR="007C4C1B">
        <w:rPr>
          <w:rFonts w:ascii="Times New Roman" w:hAnsi="Times New Roman" w:cs="Times New Roman"/>
          <w:b/>
          <w:sz w:val="24"/>
          <w:szCs w:val="24"/>
        </w:rPr>
        <w:t>age</w:t>
      </w:r>
      <w:r w:rsidRPr="00C93B24">
        <w:rPr>
          <w:rFonts w:ascii="Times New Roman" w:hAnsi="Times New Roman" w:cs="Times New Roman"/>
          <w:b/>
          <w:sz w:val="24"/>
          <w:szCs w:val="24"/>
        </w:rPr>
        <w:t xml:space="preserve"> of staff stress by accountability</w:t>
      </w:r>
    </w:p>
    <w:p w14:paraId="0B310B31" w14:textId="77777777" w:rsidR="0028671A" w:rsidRPr="00C93B24" w:rsidRDefault="0028671A" w:rsidP="00C93B24">
      <w:pPr>
        <w:spacing w:after="0" w:line="240" w:lineRule="auto"/>
        <w:jc w:val="center"/>
        <w:rPr>
          <w:rFonts w:ascii="Times New Roman" w:hAnsi="Times New Roman" w:cs="Times New Roman"/>
          <w:b/>
          <w:sz w:val="24"/>
          <w:szCs w:val="24"/>
        </w:rPr>
      </w:pPr>
    </w:p>
    <w:p w14:paraId="25965ED7" w14:textId="77777777" w:rsidR="00C93B24" w:rsidRDefault="00C93B24" w:rsidP="00C93B24">
      <w:pPr>
        <w:pStyle w:val="ListParagraph"/>
        <w:numPr>
          <w:ilvl w:val="0"/>
          <w:numId w:val="34"/>
        </w:numPr>
        <w:spacing w:after="0" w:line="240" w:lineRule="auto"/>
        <w:rPr>
          <w:rFonts w:ascii="Times New Roman" w:hAnsi="Times New Roman" w:cs="Times New Roman"/>
        </w:rPr>
      </w:pPr>
      <w:proofErr w:type="spellStart"/>
      <w:r>
        <w:rPr>
          <w:rFonts w:ascii="Times New Roman" w:hAnsi="Times New Roman" w:cs="Times New Roman"/>
        </w:rPr>
        <w:t>Headteachers</w:t>
      </w:r>
      <w:proofErr w:type="spellEnd"/>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 Teachers</w:t>
      </w:r>
    </w:p>
    <w:p w14:paraId="14C113FB" w14:textId="42105FED" w:rsidR="00C93B24" w:rsidRDefault="00C93B24" w:rsidP="00C93B24">
      <w:pPr>
        <w:rPr>
          <w:rFonts w:ascii="Times New Roman" w:hAnsi="Times New Roman" w:cs="Times New Roman"/>
        </w:rPr>
      </w:pPr>
      <w:r>
        <w:rPr>
          <w:rFonts w:ascii="Times New Roman" w:hAnsi="Times New Roman" w:cs="Times New Roman"/>
          <w:noProof/>
          <w:lang w:eastAsia="en-GB"/>
        </w:rPr>
        <w:drawing>
          <wp:inline distT="0" distB="0" distL="0" distR="0" wp14:anchorId="34CDEFEB" wp14:editId="76F22207">
            <wp:extent cx="4648200" cy="46482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648200" cy="4648200"/>
                    </a:xfrm>
                    <a:prstGeom prst="rect">
                      <a:avLst/>
                    </a:prstGeom>
                    <a:noFill/>
                    <a:ln>
                      <a:noFill/>
                    </a:ln>
                  </pic:spPr>
                </pic:pic>
              </a:graphicData>
            </a:graphic>
          </wp:inline>
        </w:drawing>
      </w:r>
      <w:r>
        <w:rPr>
          <w:rFonts w:ascii="Times New Roman" w:hAnsi="Times New Roman" w:cs="Times New Roman"/>
        </w:rPr>
        <w:t xml:space="preserve">  </w:t>
      </w:r>
      <w:r>
        <w:rPr>
          <w:rFonts w:ascii="Times New Roman" w:hAnsi="Times New Roman" w:cs="Times New Roman"/>
          <w:noProof/>
          <w:lang w:eastAsia="en-GB"/>
        </w:rPr>
        <w:drawing>
          <wp:inline distT="0" distB="0" distL="0" distR="0" wp14:anchorId="5B79C856" wp14:editId="26D09071">
            <wp:extent cx="4105275" cy="456247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105275" cy="4562475"/>
                    </a:xfrm>
                    <a:prstGeom prst="rect">
                      <a:avLst/>
                    </a:prstGeom>
                    <a:noFill/>
                    <a:ln>
                      <a:noFill/>
                    </a:ln>
                  </pic:spPr>
                </pic:pic>
              </a:graphicData>
            </a:graphic>
          </wp:inline>
        </w:drawing>
      </w:r>
    </w:p>
    <w:p w14:paraId="4E284EA9" w14:textId="25741FBA" w:rsidR="00C93B24" w:rsidRPr="00C93B24" w:rsidRDefault="00C93B24" w:rsidP="00C93B24">
      <w:pPr>
        <w:spacing w:line="240" w:lineRule="auto"/>
        <w:jc w:val="both"/>
        <w:rPr>
          <w:rFonts w:ascii="Times New Roman" w:hAnsi="Times New Roman" w:cs="Times New Roman"/>
          <w:sz w:val="20"/>
          <w:szCs w:val="20"/>
        </w:rPr>
      </w:pPr>
      <w:r w:rsidRPr="00C93B24">
        <w:rPr>
          <w:rFonts w:ascii="Times New Roman" w:hAnsi="Times New Roman" w:cs="Times New Roman"/>
          <w:sz w:val="20"/>
          <w:szCs w:val="20"/>
        </w:rPr>
        <w:t xml:space="preserve">Notes: Accountability scale derived using PISA 2018 data, based upon how </w:t>
      </w:r>
      <w:proofErr w:type="spellStart"/>
      <w:r w:rsidRPr="00C93B24">
        <w:rPr>
          <w:rFonts w:ascii="Times New Roman" w:hAnsi="Times New Roman" w:cs="Times New Roman"/>
          <w:sz w:val="20"/>
          <w:szCs w:val="20"/>
        </w:rPr>
        <w:t>headteachers</w:t>
      </w:r>
      <w:proofErr w:type="spellEnd"/>
      <w:r w:rsidRPr="00C93B24">
        <w:rPr>
          <w:rFonts w:ascii="Times New Roman" w:hAnsi="Times New Roman" w:cs="Times New Roman"/>
          <w:sz w:val="20"/>
          <w:szCs w:val="20"/>
        </w:rPr>
        <w:t xml:space="preserve"> use student assessment data, how achievement data are disseminated to stakeholders and whether external evaluation used in quality assurance. Higher values on this scale indicate greater levels of school accountability. OLS regression estimate illustrated by dashed line. Pearson correlation = 0.31 in panel (a) and 0.32 in panel (b).</w:t>
      </w:r>
      <w:r w:rsidR="00E05EAC">
        <w:rPr>
          <w:rFonts w:ascii="Times New Roman" w:hAnsi="Times New Roman" w:cs="Times New Roman"/>
          <w:sz w:val="20"/>
          <w:szCs w:val="20"/>
        </w:rPr>
        <w:t xml:space="preserve"> See Appendix B for country key.</w:t>
      </w:r>
      <w:r w:rsidR="00875EB6">
        <w:rPr>
          <w:rFonts w:ascii="Times New Roman" w:hAnsi="Times New Roman" w:cs="Times New Roman"/>
          <w:sz w:val="20"/>
          <w:szCs w:val="20"/>
        </w:rPr>
        <w:t xml:space="preserve"> Source = TALIS 2018 dataset.</w:t>
      </w:r>
    </w:p>
    <w:p w14:paraId="7B5E985C" w14:textId="77777777" w:rsidR="00C93B24" w:rsidRDefault="00C93B24" w:rsidP="00C93B24">
      <w:pPr>
        <w:pStyle w:val="NoSpacing"/>
        <w:jc w:val="both"/>
        <w:rPr>
          <w:rFonts w:ascii="Times New Roman" w:hAnsi="Times New Roman" w:cs="Times New Roman"/>
          <w:szCs w:val="24"/>
        </w:rPr>
      </w:pPr>
    </w:p>
    <w:p w14:paraId="770801FF" w14:textId="77777777" w:rsidR="00C93B24" w:rsidRDefault="00C93B24" w:rsidP="00C93B24">
      <w:pPr>
        <w:spacing w:after="0" w:line="240" w:lineRule="auto"/>
        <w:rPr>
          <w:rFonts w:ascii="Times New Roman" w:hAnsi="Times New Roman" w:cs="Times New Roman"/>
          <w:szCs w:val="24"/>
        </w:rPr>
        <w:sectPr w:rsidR="00C93B24">
          <w:pgSz w:w="16838" w:h="11906" w:orient="landscape"/>
          <w:pgMar w:top="720" w:right="720" w:bottom="720" w:left="720" w:header="708" w:footer="708" w:gutter="0"/>
          <w:cols w:space="720"/>
        </w:sectPr>
      </w:pPr>
    </w:p>
    <w:p w14:paraId="09418827" w14:textId="5295A059" w:rsidR="00C93B24" w:rsidRDefault="00C93B24" w:rsidP="00C93B24">
      <w:pPr>
        <w:pStyle w:val="NoSpacing"/>
        <w:jc w:val="both"/>
        <w:rPr>
          <w:rFonts w:ascii="Times New Roman" w:hAnsi="Times New Roman" w:cs="Times New Roman"/>
          <w:b/>
          <w:szCs w:val="24"/>
        </w:rPr>
      </w:pPr>
      <w:r>
        <w:rPr>
          <w:rFonts w:ascii="Times New Roman" w:hAnsi="Times New Roman" w:cs="Times New Roman"/>
          <w:b/>
          <w:szCs w:val="24"/>
        </w:rPr>
        <w:lastRenderedPageBreak/>
        <w:t>11.4 Are teachers more stressed by accountability when senior leaders use achievement data to make judgements about their performance (</w:t>
      </w:r>
      <w:r w:rsidR="00CB2BB4">
        <w:rPr>
          <w:rFonts w:ascii="Times New Roman" w:hAnsi="Times New Roman" w:cs="Times New Roman"/>
          <w:b/>
          <w:szCs w:val="24"/>
        </w:rPr>
        <w:t>a</w:t>
      </w:r>
      <w:r>
        <w:rPr>
          <w:rFonts w:ascii="Times New Roman" w:hAnsi="Times New Roman" w:cs="Times New Roman"/>
          <w:b/>
          <w:szCs w:val="24"/>
        </w:rPr>
        <w:t>nd when this may have consequences for their career)?</w:t>
      </w:r>
    </w:p>
    <w:p w14:paraId="32110507" w14:textId="77777777" w:rsidR="00C93B24" w:rsidRDefault="00C93B24" w:rsidP="00C93B24">
      <w:pPr>
        <w:pStyle w:val="NoSpacing"/>
        <w:jc w:val="both"/>
        <w:rPr>
          <w:rFonts w:ascii="Times New Roman" w:hAnsi="Times New Roman" w:cs="Times New Roman"/>
          <w:szCs w:val="24"/>
        </w:rPr>
      </w:pPr>
    </w:p>
    <w:p w14:paraId="19EFA110" w14:textId="62733E57" w:rsidR="00C93B24" w:rsidRP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t>To address research question 2, we construct an indicator variable for whether senior management regularly monitors teachers using test</w:t>
      </w:r>
      <w:r w:rsidR="004936E1">
        <w:rPr>
          <w:rFonts w:ascii="Times New Roman" w:hAnsi="Times New Roman" w:cs="Times New Roman"/>
          <w:szCs w:val="24"/>
        </w:rPr>
        <w:t>-</w:t>
      </w:r>
      <w:r>
        <w:rPr>
          <w:rFonts w:ascii="Times New Roman" w:hAnsi="Times New Roman" w:cs="Times New Roman"/>
          <w:szCs w:val="24"/>
        </w:rPr>
        <w:t>score/achievement data</w:t>
      </w:r>
      <w:r w:rsidR="009907FE">
        <w:rPr>
          <w:rFonts w:ascii="Times New Roman" w:hAnsi="Times New Roman" w:cs="Times New Roman"/>
          <w:szCs w:val="24"/>
        </w:rPr>
        <w:t xml:space="preserve"> (see Appendix B for the frequency of this variable across countries)</w:t>
      </w:r>
      <w:r>
        <w:rPr>
          <w:rStyle w:val="FootnoteReference"/>
          <w:rFonts w:ascii="Times New Roman" w:hAnsi="Times New Roman" w:cs="Times New Roman"/>
          <w:szCs w:val="24"/>
        </w:rPr>
        <w:footnoteReference w:id="30"/>
      </w:r>
      <w:r>
        <w:rPr>
          <w:rFonts w:ascii="Times New Roman" w:hAnsi="Times New Roman" w:cs="Times New Roman"/>
          <w:szCs w:val="24"/>
        </w:rPr>
        <w:t>. We then estimate a linear probability model to investigate whether this variable is associated with the stress teachers feel under due to accountability (the controls included in this model can be found in Table 11.1 below). This model is estimated across all countries included in the TALIS database, with results presented in terms of marginal effects (i.e. the difference in the probability of suffering stress due to accountability) in Table 11.1.</w:t>
      </w:r>
    </w:p>
    <w:p w14:paraId="190294DE" w14:textId="1BC7148D" w:rsidR="00C93B24" w:rsidRPr="00C93B24" w:rsidRDefault="00C93B24" w:rsidP="00C93B24">
      <w:pPr>
        <w:spacing w:line="240" w:lineRule="auto"/>
        <w:jc w:val="center"/>
        <w:rPr>
          <w:rFonts w:ascii="Times New Roman" w:hAnsi="Times New Roman" w:cs="Times New Roman"/>
          <w:b/>
          <w:sz w:val="24"/>
          <w:szCs w:val="24"/>
        </w:rPr>
      </w:pPr>
      <w:r w:rsidRPr="00C93B24">
        <w:rPr>
          <w:rFonts w:ascii="Times New Roman" w:hAnsi="Times New Roman" w:cs="Times New Roman"/>
          <w:b/>
          <w:sz w:val="24"/>
          <w:szCs w:val="24"/>
        </w:rPr>
        <w:t xml:space="preserve">Table 11.1 </w:t>
      </w:r>
      <w:proofErr w:type="gramStart"/>
      <w:r w:rsidRPr="00C93B24">
        <w:rPr>
          <w:rFonts w:ascii="Times New Roman" w:hAnsi="Times New Roman" w:cs="Times New Roman"/>
          <w:b/>
          <w:sz w:val="24"/>
          <w:szCs w:val="24"/>
        </w:rPr>
        <w:t>The</w:t>
      </w:r>
      <w:proofErr w:type="gramEnd"/>
      <w:r w:rsidRPr="00C93B24">
        <w:rPr>
          <w:rFonts w:ascii="Times New Roman" w:hAnsi="Times New Roman" w:cs="Times New Roman"/>
          <w:b/>
          <w:sz w:val="24"/>
          <w:szCs w:val="24"/>
        </w:rPr>
        <w:t xml:space="preserve"> association between whether regular use of test</w:t>
      </w:r>
      <w:r w:rsidR="002A2C2C">
        <w:rPr>
          <w:rFonts w:ascii="Times New Roman" w:hAnsi="Times New Roman" w:cs="Times New Roman"/>
          <w:b/>
          <w:sz w:val="24"/>
          <w:szCs w:val="24"/>
        </w:rPr>
        <w:t>-</w:t>
      </w:r>
      <w:r w:rsidRPr="00C93B24">
        <w:rPr>
          <w:rFonts w:ascii="Times New Roman" w:hAnsi="Times New Roman" w:cs="Times New Roman"/>
          <w:b/>
          <w:sz w:val="24"/>
          <w:szCs w:val="24"/>
        </w:rPr>
        <w:t xml:space="preserve">score data in appraisals by senior school leaders </w:t>
      </w:r>
      <w:r w:rsidR="00564C70">
        <w:rPr>
          <w:rFonts w:ascii="Times New Roman" w:hAnsi="Times New Roman" w:cs="Times New Roman"/>
          <w:b/>
          <w:sz w:val="24"/>
          <w:szCs w:val="24"/>
        </w:rPr>
        <w:t>leads to</w:t>
      </w:r>
      <w:r w:rsidRPr="00C93B24">
        <w:rPr>
          <w:rFonts w:ascii="Times New Roman" w:hAnsi="Times New Roman" w:cs="Times New Roman"/>
          <w:b/>
          <w:sz w:val="24"/>
          <w:szCs w:val="24"/>
        </w:rPr>
        <w:t xml:space="preserve"> accountability-induced stress amongst teachers </w:t>
      </w:r>
    </w:p>
    <w:tbl>
      <w:tblPr>
        <w:tblW w:w="9160" w:type="dxa"/>
        <w:jc w:val="center"/>
        <w:tblLook w:val="04A0" w:firstRow="1" w:lastRow="0" w:firstColumn="1" w:lastColumn="0" w:noHBand="0" w:noVBand="1"/>
      </w:tblPr>
      <w:tblGrid>
        <w:gridCol w:w="5320"/>
        <w:gridCol w:w="1268"/>
        <w:gridCol w:w="960"/>
        <w:gridCol w:w="1268"/>
        <w:gridCol w:w="960"/>
      </w:tblGrid>
      <w:tr w:rsidR="00C93B24" w14:paraId="7638CB19" w14:textId="77777777" w:rsidTr="00C93B24">
        <w:trPr>
          <w:trHeight w:val="300"/>
          <w:jc w:val="center"/>
        </w:trPr>
        <w:tc>
          <w:tcPr>
            <w:tcW w:w="5320" w:type="dxa"/>
            <w:tcBorders>
              <w:top w:val="single" w:sz="4" w:space="0" w:color="auto"/>
              <w:left w:val="nil"/>
              <w:bottom w:val="nil"/>
              <w:right w:val="nil"/>
            </w:tcBorders>
            <w:shd w:val="clear" w:color="auto" w:fill="B4C6E7"/>
            <w:noWrap/>
            <w:vAlign w:val="bottom"/>
            <w:hideMark/>
          </w:tcPr>
          <w:p w14:paraId="1315C904"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w:t>
            </w:r>
          </w:p>
        </w:tc>
        <w:tc>
          <w:tcPr>
            <w:tcW w:w="1920" w:type="dxa"/>
            <w:gridSpan w:val="2"/>
            <w:tcBorders>
              <w:top w:val="single" w:sz="4" w:space="0" w:color="auto"/>
              <w:left w:val="nil"/>
              <w:bottom w:val="nil"/>
              <w:right w:val="nil"/>
            </w:tcBorders>
            <w:shd w:val="clear" w:color="auto" w:fill="B4C6E7"/>
            <w:noWrap/>
            <w:vAlign w:val="bottom"/>
            <w:hideMark/>
          </w:tcPr>
          <w:p w14:paraId="45CD530E"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Model 1</w:t>
            </w:r>
          </w:p>
        </w:tc>
        <w:tc>
          <w:tcPr>
            <w:tcW w:w="1920" w:type="dxa"/>
            <w:gridSpan w:val="2"/>
            <w:tcBorders>
              <w:top w:val="single" w:sz="4" w:space="0" w:color="auto"/>
              <w:left w:val="nil"/>
              <w:bottom w:val="nil"/>
              <w:right w:val="nil"/>
            </w:tcBorders>
            <w:shd w:val="clear" w:color="auto" w:fill="B4C6E7"/>
            <w:noWrap/>
            <w:vAlign w:val="bottom"/>
            <w:hideMark/>
          </w:tcPr>
          <w:p w14:paraId="70F80731"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Model 2</w:t>
            </w:r>
          </w:p>
        </w:tc>
      </w:tr>
      <w:tr w:rsidR="00C93B24" w14:paraId="5668B9A4" w14:textId="77777777" w:rsidTr="00C93B24">
        <w:trPr>
          <w:trHeight w:val="300"/>
          <w:jc w:val="center"/>
        </w:trPr>
        <w:tc>
          <w:tcPr>
            <w:tcW w:w="5320" w:type="dxa"/>
            <w:tcBorders>
              <w:top w:val="nil"/>
              <w:left w:val="nil"/>
              <w:bottom w:val="single" w:sz="4" w:space="0" w:color="auto"/>
              <w:right w:val="nil"/>
            </w:tcBorders>
            <w:shd w:val="clear" w:color="auto" w:fill="B4C6E7"/>
            <w:noWrap/>
            <w:vAlign w:val="bottom"/>
            <w:hideMark/>
          </w:tcPr>
          <w:p w14:paraId="7BD47849"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w:t>
            </w:r>
          </w:p>
        </w:tc>
        <w:tc>
          <w:tcPr>
            <w:tcW w:w="960" w:type="dxa"/>
            <w:tcBorders>
              <w:top w:val="nil"/>
              <w:left w:val="nil"/>
              <w:bottom w:val="single" w:sz="4" w:space="0" w:color="auto"/>
              <w:right w:val="nil"/>
            </w:tcBorders>
            <w:shd w:val="clear" w:color="auto" w:fill="B4C6E7"/>
            <w:noWrap/>
            <w:vAlign w:val="bottom"/>
            <w:hideMark/>
          </w:tcPr>
          <w:p w14:paraId="2117929D"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xml:space="preserve">Difference in probability </w:t>
            </w:r>
          </w:p>
        </w:tc>
        <w:tc>
          <w:tcPr>
            <w:tcW w:w="960" w:type="dxa"/>
            <w:tcBorders>
              <w:top w:val="nil"/>
              <w:left w:val="nil"/>
              <w:bottom w:val="single" w:sz="4" w:space="0" w:color="auto"/>
              <w:right w:val="nil"/>
            </w:tcBorders>
            <w:shd w:val="clear" w:color="auto" w:fill="B4C6E7"/>
            <w:noWrap/>
            <w:vAlign w:val="bottom"/>
            <w:hideMark/>
          </w:tcPr>
          <w:p w14:paraId="206061E3"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SE</w:t>
            </w:r>
          </w:p>
        </w:tc>
        <w:tc>
          <w:tcPr>
            <w:tcW w:w="960" w:type="dxa"/>
            <w:tcBorders>
              <w:top w:val="nil"/>
              <w:left w:val="nil"/>
              <w:bottom w:val="single" w:sz="4" w:space="0" w:color="auto"/>
              <w:right w:val="nil"/>
            </w:tcBorders>
            <w:shd w:val="clear" w:color="auto" w:fill="B4C6E7"/>
            <w:noWrap/>
            <w:vAlign w:val="bottom"/>
            <w:hideMark/>
          </w:tcPr>
          <w:p w14:paraId="2C97F491"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Difference in probability</w:t>
            </w:r>
          </w:p>
        </w:tc>
        <w:tc>
          <w:tcPr>
            <w:tcW w:w="960" w:type="dxa"/>
            <w:tcBorders>
              <w:top w:val="nil"/>
              <w:left w:val="nil"/>
              <w:bottom w:val="single" w:sz="4" w:space="0" w:color="auto"/>
              <w:right w:val="nil"/>
            </w:tcBorders>
            <w:shd w:val="clear" w:color="auto" w:fill="B4C6E7"/>
            <w:noWrap/>
            <w:vAlign w:val="bottom"/>
            <w:hideMark/>
          </w:tcPr>
          <w:p w14:paraId="5C8E33DE"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SE</w:t>
            </w:r>
          </w:p>
        </w:tc>
      </w:tr>
      <w:tr w:rsidR="00C93B24" w14:paraId="0D3FB678" w14:textId="77777777" w:rsidTr="00C93B24">
        <w:trPr>
          <w:trHeight w:val="300"/>
          <w:jc w:val="center"/>
        </w:trPr>
        <w:tc>
          <w:tcPr>
            <w:tcW w:w="5320" w:type="dxa"/>
            <w:noWrap/>
            <w:vAlign w:val="bottom"/>
            <w:hideMark/>
          </w:tcPr>
          <w:p w14:paraId="0AA6BB4C"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SMT regularly use test scores in appraisal (Ref: No)</w:t>
            </w:r>
          </w:p>
        </w:tc>
        <w:tc>
          <w:tcPr>
            <w:tcW w:w="960" w:type="dxa"/>
            <w:noWrap/>
            <w:vAlign w:val="bottom"/>
          </w:tcPr>
          <w:p w14:paraId="396C099C" w14:textId="77777777" w:rsidR="00C93B24" w:rsidRDefault="00C93B24">
            <w:pPr>
              <w:spacing w:after="0" w:line="240" w:lineRule="auto"/>
              <w:rPr>
                <w:rFonts w:ascii="Times New Roman" w:eastAsia="Times New Roman" w:hAnsi="Times New Roman" w:cs="Times New Roman"/>
                <w:b/>
                <w:bCs/>
                <w:color w:val="000000"/>
                <w:lang w:eastAsia="en-GB"/>
              </w:rPr>
            </w:pPr>
          </w:p>
        </w:tc>
        <w:tc>
          <w:tcPr>
            <w:tcW w:w="960" w:type="dxa"/>
            <w:noWrap/>
            <w:vAlign w:val="bottom"/>
          </w:tcPr>
          <w:p w14:paraId="00B96597" w14:textId="77777777" w:rsidR="00C93B24" w:rsidRDefault="00C93B24">
            <w:pPr>
              <w:spacing w:after="0" w:line="240" w:lineRule="auto"/>
              <w:rPr>
                <w:rFonts w:ascii="Times New Roman" w:eastAsia="Times New Roman" w:hAnsi="Times New Roman" w:cs="Times New Roman"/>
                <w:sz w:val="20"/>
                <w:szCs w:val="20"/>
                <w:lang w:eastAsia="en-GB"/>
              </w:rPr>
            </w:pPr>
          </w:p>
        </w:tc>
        <w:tc>
          <w:tcPr>
            <w:tcW w:w="960" w:type="dxa"/>
            <w:noWrap/>
            <w:vAlign w:val="bottom"/>
          </w:tcPr>
          <w:p w14:paraId="637B0302" w14:textId="77777777" w:rsidR="00C93B24" w:rsidRDefault="00C93B24">
            <w:pPr>
              <w:spacing w:after="0" w:line="240" w:lineRule="auto"/>
              <w:rPr>
                <w:rFonts w:ascii="Times New Roman" w:eastAsia="Times New Roman" w:hAnsi="Times New Roman" w:cs="Times New Roman"/>
                <w:sz w:val="20"/>
                <w:szCs w:val="20"/>
                <w:lang w:eastAsia="en-GB"/>
              </w:rPr>
            </w:pPr>
          </w:p>
        </w:tc>
        <w:tc>
          <w:tcPr>
            <w:tcW w:w="960" w:type="dxa"/>
            <w:noWrap/>
            <w:vAlign w:val="bottom"/>
            <w:hideMark/>
          </w:tcPr>
          <w:p w14:paraId="012F4391" w14:textId="77777777" w:rsidR="00C93B24" w:rsidRDefault="00C93B24">
            <w:pPr>
              <w:rPr>
                <w:rFonts w:ascii="Times New Roman" w:eastAsia="Times New Roman" w:hAnsi="Times New Roman" w:cs="Times New Roman"/>
                <w:sz w:val="20"/>
                <w:szCs w:val="20"/>
                <w:lang w:eastAsia="en-GB"/>
              </w:rPr>
            </w:pPr>
          </w:p>
        </w:tc>
      </w:tr>
      <w:tr w:rsidR="00C93B24" w14:paraId="47B42606" w14:textId="77777777" w:rsidTr="00C93B24">
        <w:trPr>
          <w:trHeight w:val="300"/>
          <w:jc w:val="center"/>
        </w:trPr>
        <w:tc>
          <w:tcPr>
            <w:tcW w:w="5320" w:type="dxa"/>
            <w:noWrap/>
            <w:vAlign w:val="bottom"/>
            <w:hideMark/>
          </w:tcPr>
          <w:p w14:paraId="6047D430"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Yes</w:t>
            </w:r>
          </w:p>
        </w:tc>
        <w:tc>
          <w:tcPr>
            <w:tcW w:w="960" w:type="dxa"/>
            <w:vAlign w:val="center"/>
            <w:hideMark/>
          </w:tcPr>
          <w:p w14:paraId="3EA41C6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1.3%</w:t>
            </w:r>
          </w:p>
        </w:tc>
        <w:tc>
          <w:tcPr>
            <w:tcW w:w="960" w:type="dxa"/>
            <w:vAlign w:val="center"/>
            <w:hideMark/>
          </w:tcPr>
          <w:p w14:paraId="38E361C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0.9%</w:t>
            </w:r>
          </w:p>
        </w:tc>
        <w:tc>
          <w:tcPr>
            <w:tcW w:w="960" w:type="dxa"/>
            <w:vAlign w:val="center"/>
            <w:hideMark/>
          </w:tcPr>
          <w:p w14:paraId="062BFE5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1.2%</w:t>
            </w:r>
          </w:p>
        </w:tc>
        <w:tc>
          <w:tcPr>
            <w:tcW w:w="960" w:type="dxa"/>
            <w:vAlign w:val="center"/>
            <w:hideMark/>
          </w:tcPr>
          <w:p w14:paraId="60CA308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1.2%</w:t>
            </w:r>
          </w:p>
        </w:tc>
      </w:tr>
      <w:tr w:rsidR="00C93B24" w14:paraId="4202A80F" w14:textId="77777777" w:rsidTr="00C93B24">
        <w:trPr>
          <w:trHeight w:val="300"/>
          <w:jc w:val="center"/>
        </w:trPr>
        <w:tc>
          <w:tcPr>
            <w:tcW w:w="5320" w:type="dxa"/>
            <w:tcBorders>
              <w:top w:val="single" w:sz="4" w:space="0" w:color="auto"/>
              <w:left w:val="nil"/>
              <w:bottom w:val="single" w:sz="4" w:space="0" w:color="auto"/>
              <w:right w:val="nil"/>
            </w:tcBorders>
            <w:noWrap/>
            <w:vAlign w:val="bottom"/>
            <w:hideMark/>
          </w:tcPr>
          <w:p w14:paraId="6523877F"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N</w:t>
            </w:r>
          </w:p>
        </w:tc>
        <w:tc>
          <w:tcPr>
            <w:tcW w:w="1920" w:type="dxa"/>
            <w:gridSpan w:val="2"/>
            <w:tcBorders>
              <w:top w:val="single" w:sz="4" w:space="0" w:color="auto"/>
              <w:left w:val="nil"/>
              <w:bottom w:val="single" w:sz="4" w:space="0" w:color="auto"/>
              <w:right w:val="nil"/>
            </w:tcBorders>
            <w:noWrap/>
            <w:vAlign w:val="bottom"/>
            <w:hideMark/>
          </w:tcPr>
          <w:p w14:paraId="1F1212BE"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133,757</w:t>
            </w:r>
          </w:p>
        </w:tc>
        <w:tc>
          <w:tcPr>
            <w:tcW w:w="1920" w:type="dxa"/>
            <w:gridSpan w:val="2"/>
            <w:tcBorders>
              <w:top w:val="single" w:sz="4" w:space="0" w:color="auto"/>
              <w:left w:val="nil"/>
              <w:bottom w:val="single" w:sz="4" w:space="0" w:color="auto"/>
              <w:right w:val="nil"/>
            </w:tcBorders>
            <w:noWrap/>
            <w:vAlign w:val="bottom"/>
            <w:hideMark/>
          </w:tcPr>
          <w:p w14:paraId="1365C351"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132,587</w:t>
            </w:r>
          </w:p>
        </w:tc>
      </w:tr>
      <w:tr w:rsidR="00C93B24" w14:paraId="3B5E7809" w14:textId="77777777" w:rsidTr="00C93B24">
        <w:trPr>
          <w:trHeight w:val="300"/>
          <w:jc w:val="center"/>
        </w:trPr>
        <w:tc>
          <w:tcPr>
            <w:tcW w:w="5320" w:type="dxa"/>
            <w:noWrap/>
            <w:vAlign w:val="bottom"/>
            <w:hideMark/>
          </w:tcPr>
          <w:p w14:paraId="7AF612AD"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Controls</w:t>
            </w:r>
          </w:p>
        </w:tc>
        <w:tc>
          <w:tcPr>
            <w:tcW w:w="960" w:type="dxa"/>
            <w:noWrap/>
            <w:vAlign w:val="bottom"/>
            <w:hideMark/>
          </w:tcPr>
          <w:p w14:paraId="4D375EC6"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w:t>
            </w:r>
          </w:p>
        </w:tc>
        <w:tc>
          <w:tcPr>
            <w:tcW w:w="960" w:type="dxa"/>
            <w:noWrap/>
            <w:vAlign w:val="bottom"/>
            <w:hideMark/>
          </w:tcPr>
          <w:p w14:paraId="603BA95F"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w:t>
            </w:r>
          </w:p>
        </w:tc>
        <w:tc>
          <w:tcPr>
            <w:tcW w:w="960" w:type="dxa"/>
            <w:noWrap/>
            <w:vAlign w:val="bottom"/>
            <w:hideMark/>
          </w:tcPr>
          <w:p w14:paraId="6BDD7A6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w:t>
            </w:r>
          </w:p>
        </w:tc>
        <w:tc>
          <w:tcPr>
            <w:tcW w:w="960" w:type="dxa"/>
            <w:noWrap/>
            <w:vAlign w:val="bottom"/>
            <w:hideMark/>
          </w:tcPr>
          <w:p w14:paraId="2AAC9F0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w:t>
            </w:r>
          </w:p>
        </w:tc>
      </w:tr>
      <w:tr w:rsidR="00C93B24" w14:paraId="3D02498C" w14:textId="77777777" w:rsidTr="00C93B24">
        <w:trPr>
          <w:trHeight w:val="300"/>
          <w:jc w:val="center"/>
        </w:trPr>
        <w:tc>
          <w:tcPr>
            <w:tcW w:w="5320" w:type="dxa"/>
            <w:noWrap/>
            <w:vAlign w:val="bottom"/>
            <w:hideMark/>
          </w:tcPr>
          <w:p w14:paraId="322FC198"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Country dummies</w:t>
            </w:r>
          </w:p>
        </w:tc>
        <w:tc>
          <w:tcPr>
            <w:tcW w:w="1920" w:type="dxa"/>
            <w:gridSpan w:val="2"/>
            <w:noWrap/>
            <w:vAlign w:val="bottom"/>
            <w:hideMark/>
          </w:tcPr>
          <w:p w14:paraId="6D22B34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674429B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12046036" w14:textId="77777777" w:rsidTr="00C93B24">
        <w:trPr>
          <w:trHeight w:val="300"/>
          <w:jc w:val="center"/>
        </w:trPr>
        <w:tc>
          <w:tcPr>
            <w:tcW w:w="5320" w:type="dxa"/>
            <w:noWrap/>
            <w:vAlign w:val="bottom"/>
            <w:hideMark/>
          </w:tcPr>
          <w:p w14:paraId="1BCC4C70"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School location dummies</w:t>
            </w:r>
          </w:p>
        </w:tc>
        <w:tc>
          <w:tcPr>
            <w:tcW w:w="1920" w:type="dxa"/>
            <w:gridSpan w:val="2"/>
            <w:noWrap/>
            <w:vAlign w:val="bottom"/>
            <w:hideMark/>
          </w:tcPr>
          <w:p w14:paraId="079D309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345DEAC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500B36B3" w14:textId="77777777" w:rsidTr="00C93B24">
        <w:trPr>
          <w:trHeight w:val="300"/>
          <w:jc w:val="center"/>
        </w:trPr>
        <w:tc>
          <w:tcPr>
            <w:tcW w:w="5320" w:type="dxa"/>
            <w:noWrap/>
            <w:vAlign w:val="bottom"/>
            <w:hideMark/>
          </w:tcPr>
          <w:p w14:paraId="4CEBA686"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School lack of resources scale</w:t>
            </w:r>
          </w:p>
        </w:tc>
        <w:tc>
          <w:tcPr>
            <w:tcW w:w="1920" w:type="dxa"/>
            <w:gridSpan w:val="2"/>
            <w:noWrap/>
            <w:vAlign w:val="bottom"/>
            <w:hideMark/>
          </w:tcPr>
          <w:p w14:paraId="0760314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104F5F6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64556A10" w14:textId="77777777" w:rsidTr="00C93B24">
        <w:trPr>
          <w:trHeight w:val="300"/>
          <w:jc w:val="center"/>
        </w:trPr>
        <w:tc>
          <w:tcPr>
            <w:tcW w:w="5320" w:type="dxa"/>
            <w:noWrap/>
            <w:vAlign w:val="bottom"/>
            <w:hideMark/>
          </w:tcPr>
          <w:p w14:paraId="593E53C8"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Pupil:teacher</w:t>
            </w:r>
            <w:proofErr w:type="spellEnd"/>
            <w:r>
              <w:rPr>
                <w:rFonts w:ascii="Times New Roman" w:eastAsia="Times New Roman" w:hAnsi="Times New Roman" w:cs="Times New Roman"/>
                <w:color w:val="000000"/>
                <w:lang w:eastAsia="en-GB"/>
              </w:rPr>
              <w:t xml:space="preserve"> ratio</w:t>
            </w:r>
          </w:p>
        </w:tc>
        <w:tc>
          <w:tcPr>
            <w:tcW w:w="1920" w:type="dxa"/>
            <w:gridSpan w:val="2"/>
            <w:noWrap/>
            <w:vAlign w:val="bottom"/>
            <w:hideMark/>
          </w:tcPr>
          <w:p w14:paraId="472108E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5960742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46703577" w14:textId="77777777" w:rsidTr="00C93B24">
        <w:trPr>
          <w:trHeight w:val="300"/>
          <w:jc w:val="center"/>
        </w:trPr>
        <w:tc>
          <w:tcPr>
            <w:tcW w:w="5320" w:type="dxa"/>
            <w:noWrap/>
            <w:vAlign w:val="bottom"/>
            <w:hideMark/>
          </w:tcPr>
          <w:p w14:paraId="3BD2DCDA"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Teacher:TA</w:t>
            </w:r>
            <w:proofErr w:type="spellEnd"/>
            <w:r>
              <w:rPr>
                <w:rFonts w:ascii="Times New Roman" w:eastAsia="Times New Roman" w:hAnsi="Times New Roman" w:cs="Times New Roman"/>
                <w:color w:val="000000"/>
                <w:lang w:eastAsia="en-GB"/>
              </w:rPr>
              <w:t xml:space="preserve"> ratio</w:t>
            </w:r>
          </w:p>
        </w:tc>
        <w:tc>
          <w:tcPr>
            <w:tcW w:w="1920" w:type="dxa"/>
            <w:gridSpan w:val="2"/>
            <w:noWrap/>
            <w:vAlign w:val="bottom"/>
            <w:hideMark/>
          </w:tcPr>
          <w:p w14:paraId="236F666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03B80A4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4DB6CC31" w14:textId="77777777" w:rsidTr="00C93B24">
        <w:trPr>
          <w:trHeight w:val="300"/>
          <w:jc w:val="center"/>
        </w:trPr>
        <w:tc>
          <w:tcPr>
            <w:tcW w:w="5320" w:type="dxa"/>
            <w:noWrap/>
            <w:vAlign w:val="bottom"/>
            <w:hideMark/>
          </w:tcPr>
          <w:p w14:paraId="59BFFBFB"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Teacher:Admin</w:t>
            </w:r>
            <w:proofErr w:type="spellEnd"/>
            <w:r>
              <w:rPr>
                <w:rFonts w:ascii="Times New Roman" w:eastAsia="Times New Roman" w:hAnsi="Times New Roman" w:cs="Times New Roman"/>
                <w:color w:val="000000"/>
                <w:lang w:eastAsia="en-GB"/>
              </w:rPr>
              <w:t xml:space="preserve"> ratio</w:t>
            </w:r>
          </w:p>
        </w:tc>
        <w:tc>
          <w:tcPr>
            <w:tcW w:w="1920" w:type="dxa"/>
            <w:gridSpan w:val="2"/>
            <w:noWrap/>
            <w:vAlign w:val="bottom"/>
            <w:hideMark/>
          </w:tcPr>
          <w:p w14:paraId="3532BFA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76EF199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7ED2E399" w14:textId="77777777" w:rsidTr="00C93B24">
        <w:trPr>
          <w:trHeight w:val="300"/>
          <w:jc w:val="center"/>
        </w:trPr>
        <w:tc>
          <w:tcPr>
            <w:tcW w:w="5320" w:type="dxa"/>
            <w:noWrap/>
            <w:vAlign w:val="bottom"/>
            <w:hideMark/>
          </w:tcPr>
          <w:p w14:paraId="78C44F23" w14:textId="67F84289"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of immigrant/disadvantaged pupils</w:t>
            </w:r>
          </w:p>
        </w:tc>
        <w:tc>
          <w:tcPr>
            <w:tcW w:w="1920" w:type="dxa"/>
            <w:gridSpan w:val="2"/>
            <w:noWrap/>
            <w:vAlign w:val="bottom"/>
            <w:hideMark/>
          </w:tcPr>
          <w:p w14:paraId="1E1CDBA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5423DC9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484F79F8" w14:textId="77777777" w:rsidTr="00C93B24">
        <w:trPr>
          <w:trHeight w:val="300"/>
          <w:jc w:val="center"/>
        </w:trPr>
        <w:tc>
          <w:tcPr>
            <w:tcW w:w="5320" w:type="dxa"/>
            <w:noWrap/>
            <w:vAlign w:val="bottom"/>
            <w:hideMark/>
          </w:tcPr>
          <w:p w14:paraId="7B7254BF"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Headteacher</w:t>
            </w:r>
            <w:proofErr w:type="spellEnd"/>
            <w:r>
              <w:rPr>
                <w:rFonts w:ascii="Times New Roman" w:eastAsia="Times New Roman" w:hAnsi="Times New Roman" w:cs="Times New Roman"/>
                <w:color w:val="000000"/>
                <w:lang w:eastAsia="en-GB"/>
              </w:rPr>
              <w:t xml:space="preserve"> experience</w:t>
            </w:r>
          </w:p>
        </w:tc>
        <w:tc>
          <w:tcPr>
            <w:tcW w:w="1920" w:type="dxa"/>
            <w:gridSpan w:val="2"/>
            <w:noWrap/>
            <w:vAlign w:val="bottom"/>
            <w:hideMark/>
          </w:tcPr>
          <w:p w14:paraId="6C2A207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272B6F0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67EDC5C7" w14:textId="77777777" w:rsidTr="00C93B24">
        <w:trPr>
          <w:trHeight w:val="300"/>
          <w:jc w:val="center"/>
        </w:trPr>
        <w:tc>
          <w:tcPr>
            <w:tcW w:w="5320" w:type="dxa"/>
            <w:noWrap/>
            <w:vAlign w:val="bottom"/>
            <w:hideMark/>
          </w:tcPr>
          <w:p w14:paraId="2C0706CC"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Teacher experience + demographics</w:t>
            </w:r>
          </w:p>
        </w:tc>
        <w:tc>
          <w:tcPr>
            <w:tcW w:w="1920" w:type="dxa"/>
            <w:gridSpan w:val="2"/>
            <w:noWrap/>
            <w:vAlign w:val="bottom"/>
            <w:hideMark/>
          </w:tcPr>
          <w:p w14:paraId="249C829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920" w:type="dxa"/>
            <w:gridSpan w:val="2"/>
            <w:noWrap/>
            <w:vAlign w:val="bottom"/>
            <w:hideMark/>
          </w:tcPr>
          <w:p w14:paraId="2349F94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1A2850F0" w14:textId="77777777" w:rsidTr="00C93B24">
        <w:trPr>
          <w:trHeight w:val="300"/>
          <w:jc w:val="center"/>
        </w:trPr>
        <w:tc>
          <w:tcPr>
            <w:tcW w:w="5320" w:type="dxa"/>
            <w:noWrap/>
            <w:vAlign w:val="bottom"/>
            <w:hideMark/>
          </w:tcPr>
          <w:p w14:paraId="27C95616"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Teacher feels stress by school discipline</w:t>
            </w:r>
          </w:p>
        </w:tc>
        <w:tc>
          <w:tcPr>
            <w:tcW w:w="1920" w:type="dxa"/>
            <w:gridSpan w:val="2"/>
            <w:noWrap/>
            <w:vAlign w:val="bottom"/>
            <w:hideMark/>
          </w:tcPr>
          <w:p w14:paraId="71F847F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1920" w:type="dxa"/>
            <w:gridSpan w:val="2"/>
            <w:noWrap/>
            <w:vAlign w:val="bottom"/>
            <w:hideMark/>
          </w:tcPr>
          <w:p w14:paraId="5CED642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6AF54D53" w14:textId="77777777" w:rsidTr="00C93B24">
        <w:trPr>
          <w:trHeight w:val="300"/>
          <w:jc w:val="center"/>
        </w:trPr>
        <w:tc>
          <w:tcPr>
            <w:tcW w:w="5320" w:type="dxa"/>
            <w:noWrap/>
            <w:vAlign w:val="bottom"/>
            <w:hideMark/>
          </w:tcPr>
          <w:p w14:paraId="17B5CB13"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Teacher feels stress from abuse from student</w:t>
            </w:r>
          </w:p>
        </w:tc>
        <w:tc>
          <w:tcPr>
            <w:tcW w:w="1920" w:type="dxa"/>
            <w:gridSpan w:val="2"/>
            <w:noWrap/>
            <w:vAlign w:val="bottom"/>
            <w:hideMark/>
          </w:tcPr>
          <w:p w14:paraId="343C611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1920" w:type="dxa"/>
            <w:gridSpan w:val="2"/>
            <w:noWrap/>
            <w:vAlign w:val="bottom"/>
            <w:hideMark/>
          </w:tcPr>
          <w:p w14:paraId="0B66346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0268B54C" w14:textId="77777777" w:rsidTr="00C93B24">
        <w:trPr>
          <w:trHeight w:val="300"/>
          <w:jc w:val="center"/>
        </w:trPr>
        <w:tc>
          <w:tcPr>
            <w:tcW w:w="5320" w:type="dxa"/>
            <w:noWrap/>
            <w:vAlign w:val="bottom"/>
            <w:hideMark/>
          </w:tcPr>
          <w:p w14:paraId="5FA4574C"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Teacher feels stress from too many lessons</w:t>
            </w:r>
          </w:p>
        </w:tc>
        <w:tc>
          <w:tcPr>
            <w:tcW w:w="1920" w:type="dxa"/>
            <w:gridSpan w:val="2"/>
            <w:noWrap/>
            <w:vAlign w:val="bottom"/>
            <w:hideMark/>
          </w:tcPr>
          <w:p w14:paraId="3EB5D90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1920" w:type="dxa"/>
            <w:gridSpan w:val="2"/>
            <w:noWrap/>
            <w:vAlign w:val="bottom"/>
            <w:hideMark/>
          </w:tcPr>
          <w:p w14:paraId="6154846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7F49B8FE" w14:textId="77777777" w:rsidTr="00C93B24">
        <w:trPr>
          <w:trHeight w:val="300"/>
          <w:jc w:val="center"/>
        </w:trPr>
        <w:tc>
          <w:tcPr>
            <w:tcW w:w="5320" w:type="dxa"/>
            <w:tcBorders>
              <w:top w:val="nil"/>
              <w:left w:val="nil"/>
              <w:bottom w:val="single" w:sz="4" w:space="0" w:color="auto"/>
              <w:right w:val="nil"/>
            </w:tcBorders>
            <w:noWrap/>
            <w:vAlign w:val="bottom"/>
            <w:hideMark/>
          </w:tcPr>
          <w:p w14:paraId="05FFCF79" w14:textId="41CC9C76"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Teacher </w:t>
            </w:r>
            <w:r w:rsidR="005B3F35">
              <w:rPr>
                <w:rFonts w:ascii="Times New Roman" w:eastAsia="Times New Roman" w:hAnsi="Times New Roman" w:cs="Times New Roman"/>
                <w:color w:val="000000"/>
                <w:lang w:eastAsia="en-GB"/>
              </w:rPr>
              <w:t xml:space="preserve">feels </w:t>
            </w:r>
            <w:r>
              <w:rPr>
                <w:rFonts w:ascii="Times New Roman" w:eastAsia="Times New Roman" w:hAnsi="Times New Roman" w:cs="Times New Roman"/>
                <w:color w:val="000000"/>
                <w:lang w:eastAsia="en-GB"/>
              </w:rPr>
              <w:t>stress modifying lessons for SEN pupils</w:t>
            </w:r>
          </w:p>
        </w:tc>
        <w:tc>
          <w:tcPr>
            <w:tcW w:w="1920" w:type="dxa"/>
            <w:gridSpan w:val="2"/>
            <w:tcBorders>
              <w:top w:val="nil"/>
              <w:left w:val="nil"/>
              <w:bottom w:val="single" w:sz="4" w:space="0" w:color="auto"/>
              <w:right w:val="nil"/>
            </w:tcBorders>
            <w:noWrap/>
            <w:vAlign w:val="bottom"/>
            <w:hideMark/>
          </w:tcPr>
          <w:p w14:paraId="41C7048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1920" w:type="dxa"/>
            <w:gridSpan w:val="2"/>
            <w:tcBorders>
              <w:top w:val="nil"/>
              <w:left w:val="nil"/>
              <w:bottom w:val="single" w:sz="4" w:space="0" w:color="auto"/>
              <w:right w:val="nil"/>
            </w:tcBorders>
            <w:noWrap/>
            <w:vAlign w:val="bottom"/>
            <w:hideMark/>
          </w:tcPr>
          <w:p w14:paraId="0B05F9B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bl>
    <w:p w14:paraId="37AB57B9" w14:textId="3F218101" w:rsidR="00C93B24" w:rsidRPr="00592DD9" w:rsidRDefault="00C93B24" w:rsidP="00592DD9">
      <w:pPr>
        <w:spacing w:line="240" w:lineRule="auto"/>
        <w:jc w:val="both"/>
        <w:rPr>
          <w:rFonts w:ascii="Times New Roman" w:eastAsiaTheme="minorEastAsia" w:hAnsi="Times New Roman" w:cs="Times New Roman"/>
          <w:sz w:val="20"/>
          <w:szCs w:val="20"/>
        </w:rPr>
      </w:pPr>
      <w:r w:rsidRPr="008B4E20">
        <w:rPr>
          <w:rFonts w:ascii="Times New Roman" w:hAnsi="Times New Roman" w:cs="Times New Roman"/>
          <w:bCs/>
          <w:sz w:val="20"/>
          <w:szCs w:val="20"/>
        </w:rPr>
        <w:t>Notes:</w:t>
      </w:r>
      <w:r>
        <w:rPr>
          <w:rFonts w:ascii="Times New Roman" w:hAnsi="Times New Roman" w:cs="Times New Roman"/>
          <w:sz w:val="20"/>
          <w:szCs w:val="20"/>
        </w:rPr>
        <w:t xml:space="preserve"> SMT use of test scores in appraisal is defined as a</w:t>
      </w:r>
      <w:r w:rsidR="00264673">
        <w:rPr>
          <w:rFonts w:ascii="Times New Roman" w:hAnsi="Times New Roman" w:cs="Times New Roman"/>
          <w:sz w:val="20"/>
          <w:szCs w:val="20"/>
        </w:rPr>
        <w:t>n</w:t>
      </w:r>
      <w:r>
        <w:rPr>
          <w:rFonts w:ascii="Times New Roman" w:hAnsi="Times New Roman" w:cs="Times New Roman"/>
          <w:sz w:val="20"/>
          <w:szCs w:val="20"/>
        </w:rPr>
        <w:t xml:space="preserve"> SMT conducting an appraisal with teachers at least annually, which includes a review of the examination/test</w:t>
      </w:r>
      <w:r w:rsidR="00FE5D0E">
        <w:rPr>
          <w:rFonts w:ascii="Times New Roman" w:hAnsi="Times New Roman" w:cs="Times New Roman"/>
          <w:sz w:val="20"/>
          <w:szCs w:val="20"/>
        </w:rPr>
        <w:t>-</w:t>
      </w:r>
      <w:r>
        <w:rPr>
          <w:rFonts w:ascii="Times New Roman" w:hAnsi="Times New Roman" w:cs="Times New Roman"/>
          <w:sz w:val="20"/>
          <w:szCs w:val="20"/>
        </w:rPr>
        <w:t xml:space="preserve">score data of pupils that they teach. Estimates using data pooled across all countries, with teacher (senate) weights and BRR weights applied. Estimates refer to marginal effects (probability differences). </w:t>
      </w:r>
      <w:r w:rsidR="00875EB6">
        <w:rPr>
          <w:rFonts w:ascii="Times New Roman" w:hAnsi="Times New Roman" w:cs="Times New Roman"/>
          <w:sz w:val="20"/>
          <w:szCs w:val="20"/>
        </w:rPr>
        <w:t>Source = TALIS 2018 dataset.</w:t>
      </w:r>
    </w:p>
    <w:p w14:paraId="19F09019" w14:textId="035EC89A" w:rsid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lastRenderedPageBreak/>
        <w:t>Overall, there is little evidence that senior school leaders regularly using student performance data when conducting appraisals leads to teachers feeling more stressed about accountability. The estimated difference in the probability of suffering stress due to accountability from both model specifications is around one percentage point. This suggests that there is no overall, systematic difference in teacher stress associated with senior leaders regularly using student performance data when appraising their staff. There are some potential exceptions, however, including Columbia, Kazakhstan, Slovak Republic, South Africa, Sweden and England. In these nations, the association does appear more sizable across the two model specifications. For instance, in England secondary teachers are around 12 percentage points more likely to say that they feel stressed due to accountability if SMT use student performance data in teacher appraisals</w:t>
      </w:r>
      <w:r>
        <w:rPr>
          <w:rStyle w:val="FootnoteReference"/>
          <w:rFonts w:ascii="Times New Roman" w:hAnsi="Times New Roman" w:cs="Times New Roman"/>
          <w:szCs w:val="24"/>
        </w:rPr>
        <w:footnoteReference w:id="31"/>
      </w:r>
      <w:r>
        <w:rPr>
          <w:rFonts w:ascii="Times New Roman" w:hAnsi="Times New Roman" w:cs="Times New Roman"/>
          <w:szCs w:val="24"/>
        </w:rPr>
        <w:t xml:space="preserve">. </w:t>
      </w:r>
    </w:p>
    <w:p w14:paraId="3CD4CE06" w14:textId="7A73641B" w:rsidR="00C93B24" w:rsidRDefault="00C93B24" w:rsidP="00C93B24">
      <w:pPr>
        <w:pStyle w:val="NoSpacing"/>
        <w:spacing w:line="360" w:lineRule="auto"/>
        <w:jc w:val="both"/>
        <w:rPr>
          <w:rFonts w:ascii="Times New Roman" w:hAnsi="Times New Roman" w:cs="Times New Roman"/>
          <w:b/>
          <w:szCs w:val="24"/>
        </w:rPr>
      </w:pPr>
      <w:r>
        <w:rPr>
          <w:rFonts w:ascii="Times New Roman" w:hAnsi="Times New Roman" w:cs="Times New Roman"/>
          <w:szCs w:val="24"/>
        </w:rPr>
        <w:t>Table 11.2 extends this analysis by dividing the pooled TALIS data into two subgroups – those schools where teachers never face dismissal following an appraisal (column 1) and those where dismissal is a possibility (column 2). In other words, do we find teachers being more stressed by accountability when test</w:t>
      </w:r>
      <w:r w:rsidR="00FE5D0E">
        <w:rPr>
          <w:rFonts w:ascii="Times New Roman" w:hAnsi="Times New Roman" w:cs="Times New Roman"/>
          <w:szCs w:val="24"/>
        </w:rPr>
        <w:t>-</w:t>
      </w:r>
      <w:r>
        <w:rPr>
          <w:rFonts w:ascii="Times New Roman" w:hAnsi="Times New Roman" w:cs="Times New Roman"/>
          <w:szCs w:val="24"/>
        </w:rPr>
        <w:t xml:space="preserve">score data is used in their appraisal </w:t>
      </w:r>
      <w:r>
        <w:rPr>
          <w:rFonts w:ascii="Times New Roman" w:hAnsi="Times New Roman" w:cs="Times New Roman"/>
          <w:i/>
          <w:szCs w:val="24"/>
        </w:rPr>
        <w:t>and</w:t>
      </w:r>
      <w:r>
        <w:rPr>
          <w:rFonts w:ascii="Times New Roman" w:hAnsi="Times New Roman" w:cs="Times New Roman"/>
          <w:szCs w:val="24"/>
        </w:rPr>
        <w:t xml:space="preserve"> when this could have serious consequences for their career? We find little evidence that this is the case. The differences in the probability of suffering stress due to accountability reported in Table 11.2 are again only around one or two percentage points and do not differ substantially between the two subgroups. For instance, amongst those teachers who could potentially face dismissal due to a poor appraisal, around 47</w:t>
      </w:r>
      <w:r w:rsidR="0049314F">
        <w:rPr>
          <w:rFonts w:ascii="Times New Roman" w:hAnsi="Times New Roman" w:cs="Times New Roman"/>
          <w:szCs w:val="24"/>
        </w:rPr>
        <w:t>%</w:t>
      </w:r>
      <w:r>
        <w:rPr>
          <w:rFonts w:ascii="Times New Roman" w:hAnsi="Times New Roman" w:cs="Times New Roman"/>
          <w:szCs w:val="24"/>
        </w:rPr>
        <w:t xml:space="preserve"> report suffer stress due to accountability if school leaders use test</w:t>
      </w:r>
      <w:r w:rsidR="00FE5D0E">
        <w:rPr>
          <w:rFonts w:ascii="Times New Roman" w:hAnsi="Times New Roman" w:cs="Times New Roman"/>
          <w:szCs w:val="24"/>
        </w:rPr>
        <w:t>-</w:t>
      </w:r>
      <w:r>
        <w:rPr>
          <w:rFonts w:ascii="Times New Roman" w:hAnsi="Times New Roman" w:cs="Times New Roman"/>
          <w:szCs w:val="24"/>
        </w:rPr>
        <w:t>score data as part of their appraisal, compared to 45</w:t>
      </w:r>
      <w:r w:rsidR="0049314F">
        <w:rPr>
          <w:rFonts w:ascii="Times New Roman" w:hAnsi="Times New Roman" w:cs="Times New Roman"/>
          <w:szCs w:val="24"/>
        </w:rPr>
        <w:t>%</w:t>
      </w:r>
      <w:r>
        <w:rPr>
          <w:rFonts w:ascii="Times New Roman" w:hAnsi="Times New Roman" w:cs="Times New Roman"/>
          <w:szCs w:val="24"/>
        </w:rPr>
        <w:t xml:space="preserve"> of teachers where test</w:t>
      </w:r>
      <w:r w:rsidR="00FE5D0E">
        <w:rPr>
          <w:rFonts w:ascii="Times New Roman" w:hAnsi="Times New Roman" w:cs="Times New Roman"/>
          <w:szCs w:val="24"/>
        </w:rPr>
        <w:t>-</w:t>
      </w:r>
      <w:r>
        <w:rPr>
          <w:rFonts w:ascii="Times New Roman" w:hAnsi="Times New Roman" w:cs="Times New Roman"/>
          <w:szCs w:val="24"/>
        </w:rPr>
        <w:t>score data is not used. Hence, even when there are potentially s</w:t>
      </w:r>
      <w:r w:rsidR="005B3F35">
        <w:rPr>
          <w:rFonts w:ascii="Times New Roman" w:hAnsi="Times New Roman" w:cs="Times New Roman"/>
          <w:szCs w:val="24"/>
        </w:rPr>
        <w:t>evere</w:t>
      </w:r>
      <w:r>
        <w:rPr>
          <w:rFonts w:ascii="Times New Roman" w:hAnsi="Times New Roman" w:cs="Times New Roman"/>
          <w:szCs w:val="24"/>
        </w:rPr>
        <w:t xml:space="preserve"> consequences, the use of test</w:t>
      </w:r>
      <w:r w:rsidR="00FE5D0E">
        <w:rPr>
          <w:rFonts w:ascii="Times New Roman" w:hAnsi="Times New Roman" w:cs="Times New Roman"/>
          <w:szCs w:val="24"/>
        </w:rPr>
        <w:t>-</w:t>
      </w:r>
      <w:r>
        <w:rPr>
          <w:rFonts w:ascii="Times New Roman" w:hAnsi="Times New Roman" w:cs="Times New Roman"/>
          <w:szCs w:val="24"/>
        </w:rPr>
        <w:t xml:space="preserve">score data in teachers’ appraisals does not seem to have a strong association with their levels of stress. </w:t>
      </w:r>
    </w:p>
    <w:p w14:paraId="4AF085D5" w14:textId="77777777" w:rsidR="00C93B24" w:rsidRDefault="00C93B24" w:rsidP="00C93B24">
      <w:pPr>
        <w:pStyle w:val="NoSpacing"/>
        <w:jc w:val="both"/>
        <w:rPr>
          <w:rFonts w:ascii="Times New Roman" w:hAnsi="Times New Roman" w:cs="Times New Roman"/>
          <w:b/>
          <w:szCs w:val="24"/>
        </w:rPr>
      </w:pPr>
    </w:p>
    <w:p w14:paraId="084B2B6D" w14:textId="77777777" w:rsidR="00C93B24" w:rsidRDefault="00C93B24" w:rsidP="00C93B24">
      <w:pPr>
        <w:pStyle w:val="NoSpacing"/>
        <w:jc w:val="both"/>
        <w:rPr>
          <w:rFonts w:ascii="Times New Roman" w:hAnsi="Times New Roman" w:cs="Times New Roman"/>
          <w:szCs w:val="24"/>
        </w:rPr>
      </w:pPr>
    </w:p>
    <w:p w14:paraId="46CDAF6B" w14:textId="77777777" w:rsidR="00C93B24" w:rsidRDefault="00C93B24" w:rsidP="00C93B24">
      <w:pPr>
        <w:pStyle w:val="NoSpacing"/>
        <w:jc w:val="both"/>
        <w:rPr>
          <w:rFonts w:ascii="Times New Roman" w:hAnsi="Times New Roman" w:cs="Times New Roman"/>
          <w:szCs w:val="24"/>
        </w:rPr>
      </w:pPr>
    </w:p>
    <w:p w14:paraId="5BCF65E6" w14:textId="77777777" w:rsidR="00C93B24" w:rsidRDefault="00C93B24" w:rsidP="00C93B24">
      <w:pPr>
        <w:pStyle w:val="NoSpacing"/>
        <w:jc w:val="both"/>
        <w:rPr>
          <w:rFonts w:ascii="Times New Roman" w:hAnsi="Times New Roman" w:cs="Times New Roman"/>
          <w:szCs w:val="24"/>
        </w:rPr>
      </w:pPr>
    </w:p>
    <w:p w14:paraId="3E851414" w14:textId="77777777" w:rsidR="00C93B24" w:rsidRDefault="00C93B24" w:rsidP="00C93B24">
      <w:pPr>
        <w:pStyle w:val="NoSpacing"/>
        <w:jc w:val="both"/>
        <w:rPr>
          <w:rFonts w:ascii="Times New Roman" w:hAnsi="Times New Roman" w:cs="Times New Roman"/>
          <w:szCs w:val="24"/>
        </w:rPr>
      </w:pPr>
    </w:p>
    <w:p w14:paraId="12600FD8" w14:textId="77777777" w:rsidR="00C93B24" w:rsidRDefault="00C93B24" w:rsidP="00C93B24">
      <w:pPr>
        <w:pStyle w:val="NoSpacing"/>
        <w:jc w:val="both"/>
        <w:rPr>
          <w:rFonts w:ascii="Times New Roman" w:hAnsi="Times New Roman" w:cs="Times New Roman"/>
          <w:szCs w:val="24"/>
        </w:rPr>
      </w:pPr>
    </w:p>
    <w:p w14:paraId="0A4C9D60" w14:textId="77777777" w:rsidR="00C93B24" w:rsidRDefault="00C93B24" w:rsidP="00C93B24">
      <w:pPr>
        <w:pStyle w:val="NoSpacing"/>
        <w:jc w:val="both"/>
        <w:rPr>
          <w:rFonts w:ascii="Times New Roman" w:hAnsi="Times New Roman" w:cs="Times New Roman"/>
          <w:szCs w:val="24"/>
        </w:rPr>
      </w:pPr>
    </w:p>
    <w:p w14:paraId="383E1F6D" w14:textId="77777777" w:rsidR="00C93B24" w:rsidRDefault="00C93B24" w:rsidP="00C93B24">
      <w:pPr>
        <w:pStyle w:val="NoSpacing"/>
        <w:jc w:val="both"/>
        <w:rPr>
          <w:rFonts w:ascii="Times New Roman" w:hAnsi="Times New Roman" w:cs="Times New Roman"/>
          <w:szCs w:val="24"/>
        </w:rPr>
      </w:pPr>
    </w:p>
    <w:p w14:paraId="4248713D" w14:textId="77777777" w:rsidR="00C93B24" w:rsidRDefault="00C93B24" w:rsidP="00C93B24">
      <w:pPr>
        <w:pStyle w:val="NoSpacing"/>
        <w:jc w:val="both"/>
        <w:rPr>
          <w:rFonts w:ascii="Times New Roman" w:hAnsi="Times New Roman" w:cs="Times New Roman"/>
          <w:szCs w:val="24"/>
        </w:rPr>
      </w:pPr>
    </w:p>
    <w:p w14:paraId="702D066D" w14:textId="77777777" w:rsidR="00C93B24" w:rsidRDefault="00C93B24" w:rsidP="00C93B24">
      <w:pPr>
        <w:pStyle w:val="NoSpacing"/>
        <w:jc w:val="both"/>
        <w:rPr>
          <w:rFonts w:ascii="Times New Roman" w:hAnsi="Times New Roman" w:cs="Times New Roman"/>
          <w:szCs w:val="24"/>
        </w:rPr>
      </w:pPr>
    </w:p>
    <w:p w14:paraId="0A5C7890" w14:textId="0BA0C20F" w:rsidR="00C93B24" w:rsidRPr="00C93B24" w:rsidRDefault="00C93B24" w:rsidP="00C93B24">
      <w:pPr>
        <w:spacing w:line="240" w:lineRule="auto"/>
        <w:jc w:val="center"/>
        <w:rPr>
          <w:rFonts w:ascii="Times New Roman" w:hAnsi="Times New Roman" w:cs="Times New Roman"/>
          <w:b/>
          <w:sz w:val="24"/>
          <w:szCs w:val="24"/>
        </w:rPr>
      </w:pPr>
      <w:bookmarkStart w:id="26" w:name="_Hlk30417144"/>
      <w:r w:rsidRPr="00C93B24">
        <w:rPr>
          <w:rFonts w:ascii="Times New Roman" w:hAnsi="Times New Roman" w:cs="Times New Roman"/>
          <w:b/>
          <w:sz w:val="24"/>
          <w:szCs w:val="24"/>
        </w:rPr>
        <w:lastRenderedPageBreak/>
        <w:t xml:space="preserve">Table 11.2 </w:t>
      </w:r>
      <w:proofErr w:type="gramStart"/>
      <w:r w:rsidRPr="00C93B24">
        <w:rPr>
          <w:rFonts w:ascii="Times New Roman" w:hAnsi="Times New Roman" w:cs="Times New Roman"/>
          <w:b/>
          <w:sz w:val="24"/>
          <w:szCs w:val="24"/>
        </w:rPr>
        <w:t>The</w:t>
      </w:r>
      <w:proofErr w:type="gramEnd"/>
      <w:r w:rsidRPr="00C93B24">
        <w:rPr>
          <w:rFonts w:ascii="Times New Roman" w:hAnsi="Times New Roman" w:cs="Times New Roman"/>
          <w:b/>
          <w:sz w:val="24"/>
          <w:szCs w:val="24"/>
        </w:rPr>
        <w:t xml:space="preserve"> association between whether regular use of test</w:t>
      </w:r>
      <w:r w:rsidR="00FE5D0E">
        <w:rPr>
          <w:rFonts w:ascii="Times New Roman" w:hAnsi="Times New Roman" w:cs="Times New Roman"/>
          <w:b/>
          <w:sz w:val="24"/>
          <w:szCs w:val="24"/>
        </w:rPr>
        <w:t>-</w:t>
      </w:r>
      <w:r w:rsidRPr="00C93B24">
        <w:rPr>
          <w:rFonts w:ascii="Times New Roman" w:hAnsi="Times New Roman" w:cs="Times New Roman"/>
          <w:b/>
          <w:sz w:val="24"/>
          <w:szCs w:val="24"/>
        </w:rPr>
        <w:t xml:space="preserve">score data in appraisals by senior school leaders </w:t>
      </w:r>
      <w:r w:rsidR="00564C70">
        <w:rPr>
          <w:rFonts w:ascii="Times New Roman" w:hAnsi="Times New Roman" w:cs="Times New Roman"/>
          <w:b/>
          <w:sz w:val="24"/>
          <w:szCs w:val="24"/>
        </w:rPr>
        <w:t>leads to</w:t>
      </w:r>
      <w:r w:rsidRPr="00C93B24">
        <w:rPr>
          <w:rFonts w:ascii="Times New Roman" w:hAnsi="Times New Roman" w:cs="Times New Roman"/>
          <w:b/>
          <w:sz w:val="24"/>
          <w:szCs w:val="24"/>
        </w:rPr>
        <w:t xml:space="preserve"> accountability-induced stress amongst teachers. Subgroup estimates by whether the teacher potentially faces dismissal.  </w:t>
      </w:r>
    </w:p>
    <w:tbl>
      <w:tblPr>
        <w:tblW w:w="8680" w:type="dxa"/>
        <w:jc w:val="center"/>
        <w:tblLook w:val="04A0" w:firstRow="1" w:lastRow="0" w:firstColumn="1" w:lastColumn="0" w:noHBand="0" w:noVBand="1"/>
      </w:tblPr>
      <w:tblGrid>
        <w:gridCol w:w="4400"/>
        <w:gridCol w:w="2140"/>
        <w:gridCol w:w="2140"/>
      </w:tblGrid>
      <w:tr w:rsidR="00C93B24" w14:paraId="081182FE" w14:textId="77777777" w:rsidTr="00C93B24">
        <w:trPr>
          <w:trHeight w:val="315"/>
          <w:jc w:val="center"/>
        </w:trPr>
        <w:tc>
          <w:tcPr>
            <w:tcW w:w="4400" w:type="dxa"/>
            <w:tcBorders>
              <w:top w:val="single" w:sz="8" w:space="0" w:color="auto"/>
              <w:left w:val="nil"/>
              <w:bottom w:val="nil"/>
              <w:right w:val="nil"/>
            </w:tcBorders>
            <w:shd w:val="clear" w:color="auto" w:fill="B4C6E7"/>
            <w:noWrap/>
            <w:vAlign w:val="center"/>
            <w:hideMark/>
          </w:tcPr>
          <w:p w14:paraId="1889F49F"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w:t>
            </w:r>
          </w:p>
        </w:tc>
        <w:tc>
          <w:tcPr>
            <w:tcW w:w="2140" w:type="dxa"/>
            <w:tcBorders>
              <w:top w:val="single" w:sz="8" w:space="0" w:color="auto"/>
              <w:left w:val="nil"/>
              <w:bottom w:val="nil"/>
              <w:right w:val="nil"/>
            </w:tcBorders>
            <w:shd w:val="clear" w:color="auto" w:fill="B4C6E7"/>
            <w:noWrap/>
            <w:vAlign w:val="center"/>
            <w:hideMark/>
          </w:tcPr>
          <w:p w14:paraId="7F7A3619"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Won't face sack</w:t>
            </w:r>
          </w:p>
        </w:tc>
        <w:tc>
          <w:tcPr>
            <w:tcW w:w="2140" w:type="dxa"/>
            <w:tcBorders>
              <w:top w:val="single" w:sz="8" w:space="0" w:color="auto"/>
              <w:left w:val="nil"/>
              <w:bottom w:val="nil"/>
              <w:right w:val="nil"/>
            </w:tcBorders>
            <w:shd w:val="clear" w:color="auto" w:fill="B4C6E7"/>
            <w:noWrap/>
            <w:vAlign w:val="center"/>
            <w:hideMark/>
          </w:tcPr>
          <w:p w14:paraId="0E7A6215"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Might face sack</w:t>
            </w:r>
          </w:p>
        </w:tc>
      </w:tr>
      <w:tr w:rsidR="00C93B24" w14:paraId="31F57EF8" w14:textId="77777777" w:rsidTr="00C93B24">
        <w:trPr>
          <w:trHeight w:val="300"/>
          <w:jc w:val="center"/>
        </w:trPr>
        <w:tc>
          <w:tcPr>
            <w:tcW w:w="4400" w:type="dxa"/>
            <w:tcBorders>
              <w:top w:val="single" w:sz="8" w:space="0" w:color="auto"/>
              <w:left w:val="nil"/>
              <w:bottom w:val="nil"/>
              <w:right w:val="nil"/>
            </w:tcBorders>
            <w:noWrap/>
            <w:vAlign w:val="center"/>
            <w:hideMark/>
          </w:tcPr>
          <w:p w14:paraId="22DB0911"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SMT use test scores in appraisal (Ref: No)</w:t>
            </w:r>
          </w:p>
        </w:tc>
        <w:tc>
          <w:tcPr>
            <w:tcW w:w="2140" w:type="dxa"/>
            <w:tcBorders>
              <w:top w:val="single" w:sz="8" w:space="0" w:color="auto"/>
              <w:left w:val="nil"/>
              <w:bottom w:val="nil"/>
              <w:right w:val="nil"/>
            </w:tcBorders>
            <w:noWrap/>
            <w:vAlign w:val="center"/>
            <w:hideMark/>
          </w:tcPr>
          <w:p w14:paraId="47F78CE5"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w:t>
            </w:r>
          </w:p>
        </w:tc>
        <w:tc>
          <w:tcPr>
            <w:tcW w:w="2140" w:type="dxa"/>
            <w:tcBorders>
              <w:top w:val="single" w:sz="8" w:space="0" w:color="auto"/>
              <w:left w:val="nil"/>
              <w:bottom w:val="nil"/>
              <w:right w:val="nil"/>
            </w:tcBorders>
            <w:noWrap/>
            <w:vAlign w:val="center"/>
            <w:hideMark/>
          </w:tcPr>
          <w:p w14:paraId="7EE4FE1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w:t>
            </w:r>
          </w:p>
        </w:tc>
      </w:tr>
      <w:tr w:rsidR="00C93B24" w14:paraId="33C08DC0" w14:textId="77777777" w:rsidTr="00C93B24">
        <w:trPr>
          <w:trHeight w:val="315"/>
          <w:jc w:val="center"/>
        </w:trPr>
        <w:tc>
          <w:tcPr>
            <w:tcW w:w="4400" w:type="dxa"/>
            <w:tcBorders>
              <w:top w:val="nil"/>
              <w:left w:val="nil"/>
              <w:bottom w:val="single" w:sz="8" w:space="0" w:color="auto"/>
              <w:right w:val="nil"/>
            </w:tcBorders>
            <w:noWrap/>
            <w:vAlign w:val="center"/>
            <w:hideMark/>
          </w:tcPr>
          <w:p w14:paraId="3214C13E"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Yes</w:t>
            </w:r>
          </w:p>
        </w:tc>
        <w:tc>
          <w:tcPr>
            <w:tcW w:w="2140" w:type="dxa"/>
            <w:tcBorders>
              <w:top w:val="nil"/>
              <w:left w:val="nil"/>
              <w:bottom w:val="single" w:sz="8" w:space="0" w:color="auto"/>
              <w:right w:val="nil"/>
            </w:tcBorders>
            <w:vAlign w:val="center"/>
            <w:hideMark/>
          </w:tcPr>
          <w:p w14:paraId="6146367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1.0%</w:t>
            </w:r>
          </w:p>
        </w:tc>
        <w:tc>
          <w:tcPr>
            <w:tcW w:w="2140" w:type="dxa"/>
            <w:tcBorders>
              <w:top w:val="nil"/>
              <w:left w:val="nil"/>
              <w:bottom w:val="single" w:sz="8" w:space="0" w:color="auto"/>
              <w:right w:val="nil"/>
            </w:tcBorders>
            <w:vAlign w:val="center"/>
            <w:hideMark/>
          </w:tcPr>
          <w:p w14:paraId="5DA5913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2.2%</w:t>
            </w:r>
          </w:p>
        </w:tc>
      </w:tr>
      <w:tr w:rsidR="00C93B24" w14:paraId="1B60E3AD" w14:textId="77777777" w:rsidTr="00C93B24">
        <w:trPr>
          <w:trHeight w:val="315"/>
          <w:jc w:val="center"/>
        </w:trPr>
        <w:tc>
          <w:tcPr>
            <w:tcW w:w="4400" w:type="dxa"/>
            <w:tcBorders>
              <w:top w:val="nil"/>
              <w:left w:val="nil"/>
              <w:bottom w:val="single" w:sz="8" w:space="0" w:color="auto"/>
              <w:right w:val="nil"/>
            </w:tcBorders>
            <w:noWrap/>
            <w:vAlign w:val="center"/>
            <w:hideMark/>
          </w:tcPr>
          <w:p w14:paraId="7D0ABD03"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N</w:t>
            </w:r>
          </w:p>
        </w:tc>
        <w:tc>
          <w:tcPr>
            <w:tcW w:w="2140" w:type="dxa"/>
            <w:tcBorders>
              <w:top w:val="nil"/>
              <w:left w:val="nil"/>
              <w:bottom w:val="single" w:sz="8" w:space="0" w:color="auto"/>
              <w:right w:val="nil"/>
            </w:tcBorders>
            <w:noWrap/>
            <w:vAlign w:val="center"/>
            <w:hideMark/>
          </w:tcPr>
          <w:p w14:paraId="20021A1F"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64,954</w:t>
            </w:r>
          </w:p>
        </w:tc>
        <w:tc>
          <w:tcPr>
            <w:tcW w:w="2140" w:type="dxa"/>
            <w:tcBorders>
              <w:top w:val="nil"/>
              <w:left w:val="nil"/>
              <w:bottom w:val="single" w:sz="8" w:space="0" w:color="auto"/>
              <w:right w:val="nil"/>
            </w:tcBorders>
            <w:noWrap/>
            <w:vAlign w:val="center"/>
            <w:hideMark/>
          </w:tcPr>
          <w:p w14:paraId="0BB0DED2"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59,643</w:t>
            </w:r>
          </w:p>
        </w:tc>
      </w:tr>
      <w:tr w:rsidR="00C93B24" w14:paraId="196E7CE8" w14:textId="77777777" w:rsidTr="00C93B24">
        <w:trPr>
          <w:trHeight w:val="300"/>
          <w:jc w:val="center"/>
        </w:trPr>
        <w:tc>
          <w:tcPr>
            <w:tcW w:w="4400" w:type="dxa"/>
            <w:noWrap/>
            <w:vAlign w:val="center"/>
            <w:hideMark/>
          </w:tcPr>
          <w:p w14:paraId="6F0B1EF7"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Controls</w:t>
            </w:r>
          </w:p>
        </w:tc>
        <w:tc>
          <w:tcPr>
            <w:tcW w:w="2140" w:type="dxa"/>
            <w:noWrap/>
            <w:vAlign w:val="center"/>
            <w:hideMark/>
          </w:tcPr>
          <w:p w14:paraId="18AFCFA3" w14:textId="77777777" w:rsidR="00C93B24" w:rsidRDefault="00C93B24">
            <w:pPr>
              <w:rPr>
                <w:rFonts w:ascii="Times New Roman" w:eastAsia="Times New Roman" w:hAnsi="Times New Roman" w:cs="Times New Roman"/>
                <w:b/>
                <w:bCs/>
                <w:color w:val="000000"/>
                <w:lang w:eastAsia="en-GB"/>
              </w:rPr>
            </w:pPr>
          </w:p>
        </w:tc>
        <w:tc>
          <w:tcPr>
            <w:tcW w:w="2140" w:type="dxa"/>
            <w:noWrap/>
            <w:vAlign w:val="center"/>
            <w:hideMark/>
          </w:tcPr>
          <w:p w14:paraId="2BBD54E4" w14:textId="77777777" w:rsidR="00C93B24" w:rsidRDefault="00C93B24">
            <w:pPr>
              <w:spacing w:after="0"/>
              <w:rPr>
                <w:sz w:val="20"/>
                <w:szCs w:val="20"/>
                <w:lang w:eastAsia="en-GB"/>
              </w:rPr>
            </w:pPr>
          </w:p>
        </w:tc>
      </w:tr>
      <w:tr w:rsidR="00C93B24" w14:paraId="3ECA9A5F" w14:textId="77777777" w:rsidTr="00C93B24">
        <w:trPr>
          <w:trHeight w:val="300"/>
          <w:jc w:val="center"/>
        </w:trPr>
        <w:tc>
          <w:tcPr>
            <w:tcW w:w="4400" w:type="dxa"/>
            <w:noWrap/>
            <w:vAlign w:val="center"/>
            <w:hideMark/>
          </w:tcPr>
          <w:p w14:paraId="3EBA8E19"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Country dummies</w:t>
            </w:r>
          </w:p>
        </w:tc>
        <w:tc>
          <w:tcPr>
            <w:tcW w:w="2140" w:type="dxa"/>
            <w:noWrap/>
            <w:vAlign w:val="center"/>
            <w:hideMark/>
          </w:tcPr>
          <w:p w14:paraId="15EA294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noWrap/>
            <w:vAlign w:val="center"/>
            <w:hideMark/>
          </w:tcPr>
          <w:p w14:paraId="533F4F1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775911B5" w14:textId="77777777" w:rsidTr="00C93B24">
        <w:trPr>
          <w:trHeight w:val="300"/>
          <w:jc w:val="center"/>
        </w:trPr>
        <w:tc>
          <w:tcPr>
            <w:tcW w:w="4400" w:type="dxa"/>
            <w:noWrap/>
            <w:vAlign w:val="center"/>
            <w:hideMark/>
          </w:tcPr>
          <w:p w14:paraId="7D910700"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School location dummies</w:t>
            </w:r>
          </w:p>
        </w:tc>
        <w:tc>
          <w:tcPr>
            <w:tcW w:w="2140" w:type="dxa"/>
            <w:noWrap/>
            <w:vAlign w:val="center"/>
            <w:hideMark/>
          </w:tcPr>
          <w:p w14:paraId="3FC678B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noWrap/>
            <w:vAlign w:val="center"/>
            <w:hideMark/>
          </w:tcPr>
          <w:p w14:paraId="3C111B8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2695E411" w14:textId="77777777" w:rsidTr="00C93B24">
        <w:trPr>
          <w:trHeight w:val="300"/>
          <w:jc w:val="center"/>
        </w:trPr>
        <w:tc>
          <w:tcPr>
            <w:tcW w:w="4400" w:type="dxa"/>
            <w:noWrap/>
            <w:vAlign w:val="center"/>
            <w:hideMark/>
          </w:tcPr>
          <w:p w14:paraId="2F093189"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School lack of resources scale</w:t>
            </w:r>
          </w:p>
        </w:tc>
        <w:tc>
          <w:tcPr>
            <w:tcW w:w="2140" w:type="dxa"/>
            <w:noWrap/>
            <w:vAlign w:val="center"/>
            <w:hideMark/>
          </w:tcPr>
          <w:p w14:paraId="0EBE141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noWrap/>
            <w:vAlign w:val="center"/>
            <w:hideMark/>
          </w:tcPr>
          <w:p w14:paraId="2D15562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769E9ECD" w14:textId="77777777" w:rsidTr="00C93B24">
        <w:trPr>
          <w:trHeight w:val="300"/>
          <w:jc w:val="center"/>
        </w:trPr>
        <w:tc>
          <w:tcPr>
            <w:tcW w:w="4400" w:type="dxa"/>
            <w:noWrap/>
            <w:vAlign w:val="center"/>
            <w:hideMark/>
          </w:tcPr>
          <w:p w14:paraId="5F5B1CDE"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Pupil:teacher</w:t>
            </w:r>
            <w:proofErr w:type="spellEnd"/>
            <w:r>
              <w:rPr>
                <w:rFonts w:ascii="Times New Roman" w:eastAsia="Times New Roman" w:hAnsi="Times New Roman" w:cs="Times New Roman"/>
                <w:color w:val="000000"/>
                <w:lang w:eastAsia="en-GB"/>
              </w:rPr>
              <w:t xml:space="preserve"> ratio</w:t>
            </w:r>
          </w:p>
        </w:tc>
        <w:tc>
          <w:tcPr>
            <w:tcW w:w="2140" w:type="dxa"/>
            <w:noWrap/>
            <w:vAlign w:val="center"/>
            <w:hideMark/>
          </w:tcPr>
          <w:p w14:paraId="456F4F6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noWrap/>
            <w:vAlign w:val="center"/>
            <w:hideMark/>
          </w:tcPr>
          <w:p w14:paraId="5A47268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470E3C6E" w14:textId="77777777" w:rsidTr="00C93B24">
        <w:trPr>
          <w:trHeight w:val="300"/>
          <w:jc w:val="center"/>
        </w:trPr>
        <w:tc>
          <w:tcPr>
            <w:tcW w:w="4400" w:type="dxa"/>
            <w:noWrap/>
            <w:vAlign w:val="center"/>
            <w:hideMark/>
          </w:tcPr>
          <w:p w14:paraId="3E3F056D"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Teacher:TA</w:t>
            </w:r>
            <w:proofErr w:type="spellEnd"/>
            <w:r>
              <w:rPr>
                <w:rFonts w:ascii="Times New Roman" w:eastAsia="Times New Roman" w:hAnsi="Times New Roman" w:cs="Times New Roman"/>
                <w:color w:val="000000"/>
                <w:lang w:eastAsia="en-GB"/>
              </w:rPr>
              <w:t xml:space="preserve"> ratio</w:t>
            </w:r>
          </w:p>
        </w:tc>
        <w:tc>
          <w:tcPr>
            <w:tcW w:w="2140" w:type="dxa"/>
            <w:noWrap/>
            <w:vAlign w:val="center"/>
            <w:hideMark/>
          </w:tcPr>
          <w:p w14:paraId="12BFF04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noWrap/>
            <w:vAlign w:val="center"/>
            <w:hideMark/>
          </w:tcPr>
          <w:p w14:paraId="6870B64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219BF1D3" w14:textId="77777777" w:rsidTr="00C93B24">
        <w:trPr>
          <w:trHeight w:val="300"/>
          <w:jc w:val="center"/>
        </w:trPr>
        <w:tc>
          <w:tcPr>
            <w:tcW w:w="4400" w:type="dxa"/>
            <w:noWrap/>
            <w:vAlign w:val="center"/>
            <w:hideMark/>
          </w:tcPr>
          <w:p w14:paraId="083111FE"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Teacher:Admin</w:t>
            </w:r>
            <w:proofErr w:type="spellEnd"/>
            <w:r>
              <w:rPr>
                <w:rFonts w:ascii="Times New Roman" w:eastAsia="Times New Roman" w:hAnsi="Times New Roman" w:cs="Times New Roman"/>
                <w:color w:val="000000"/>
                <w:lang w:eastAsia="en-GB"/>
              </w:rPr>
              <w:t xml:space="preserve"> ratio</w:t>
            </w:r>
          </w:p>
        </w:tc>
        <w:tc>
          <w:tcPr>
            <w:tcW w:w="2140" w:type="dxa"/>
            <w:noWrap/>
            <w:vAlign w:val="center"/>
            <w:hideMark/>
          </w:tcPr>
          <w:p w14:paraId="5D8C026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noWrap/>
            <w:vAlign w:val="center"/>
            <w:hideMark/>
          </w:tcPr>
          <w:p w14:paraId="5F4628E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0CFD8F52" w14:textId="77777777" w:rsidTr="00C93B24">
        <w:trPr>
          <w:trHeight w:val="300"/>
          <w:jc w:val="center"/>
        </w:trPr>
        <w:tc>
          <w:tcPr>
            <w:tcW w:w="4400" w:type="dxa"/>
            <w:noWrap/>
            <w:vAlign w:val="center"/>
            <w:hideMark/>
          </w:tcPr>
          <w:p w14:paraId="7698DF33" w14:textId="752ED0D6"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of immigrant/disadvantaged pupils</w:t>
            </w:r>
          </w:p>
        </w:tc>
        <w:tc>
          <w:tcPr>
            <w:tcW w:w="2140" w:type="dxa"/>
            <w:noWrap/>
            <w:vAlign w:val="center"/>
            <w:hideMark/>
          </w:tcPr>
          <w:p w14:paraId="61B7A68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noWrap/>
            <w:vAlign w:val="center"/>
            <w:hideMark/>
          </w:tcPr>
          <w:p w14:paraId="5D7C84C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2E4B99F2" w14:textId="77777777" w:rsidTr="00C93B24">
        <w:trPr>
          <w:trHeight w:val="300"/>
          <w:jc w:val="center"/>
        </w:trPr>
        <w:tc>
          <w:tcPr>
            <w:tcW w:w="4400" w:type="dxa"/>
            <w:noWrap/>
            <w:vAlign w:val="center"/>
            <w:hideMark/>
          </w:tcPr>
          <w:p w14:paraId="767000E5"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Headteacher</w:t>
            </w:r>
            <w:proofErr w:type="spellEnd"/>
            <w:r>
              <w:rPr>
                <w:rFonts w:ascii="Times New Roman" w:eastAsia="Times New Roman" w:hAnsi="Times New Roman" w:cs="Times New Roman"/>
                <w:color w:val="000000"/>
                <w:lang w:eastAsia="en-GB"/>
              </w:rPr>
              <w:t xml:space="preserve"> experience</w:t>
            </w:r>
          </w:p>
        </w:tc>
        <w:tc>
          <w:tcPr>
            <w:tcW w:w="2140" w:type="dxa"/>
            <w:noWrap/>
            <w:vAlign w:val="center"/>
            <w:hideMark/>
          </w:tcPr>
          <w:p w14:paraId="41DF55A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noWrap/>
            <w:vAlign w:val="center"/>
            <w:hideMark/>
          </w:tcPr>
          <w:p w14:paraId="2FE639F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39DBD3EA" w14:textId="77777777" w:rsidTr="00C93B24">
        <w:trPr>
          <w:trHeight w:val="315"/>
          <w:jc w:val="center"/>
        </w:trPr>
        <w:tc>
          <w:tcPr>
            <w:tcW w:w="4400" w:type="dxa"/>
            <w:tcBorders>
              <w:top w:val="nil"/>
              <w:left w:val="nil"/>
              <w:bottom w:val="single" w:sz="8" w:space="0" w:color="auto"/>
              <w:right w:val="nil"/>
            </w:tcBorders>
            <w:noWrap/>
            <w:vAlign w:val="center"/>
            <w:hideMark/>
          </w:tcPr>
          <w:p w14:paraId="255D9622"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Teacher experience + demographics</w:t>
            </w:r>
          </w:p>
        </w:tc>
        <w:tc>
          <w:tcPr>
            <w:tcW w:w="2140" w:type="dxa"/>
            <w:tcBorders>
              <w:top w:val="nil"/>
              <w:left w:val="nil"/>
              <w:bottom w:val="single" w:sz="8" w:space="0" w:color="auto"/>
              <w:right w:val="nil"/>
            </w:tcBorders>
            <w:noWrap/>
            <w:vAlign w:val="center"/>
            <w:hideMark/>
          </w:tcPr>
          <w:p w14:paraId="1255593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2140" w:type="dxa"/>
            <w:tcBorders>
              <w:top w:val="nil"/>
              <w:left w:val="nil"/>
              <w:bottom w:val="single" w:sz="8" w:space="0" w:color="auto"/>
              <w:right w:val="nil"/>
            </w:tcBorders>
            <w:noWrap/>
            <w:vAlign w:val="center"/>
            <w:hideMark/>
          </w:tcPr>
          <w:p w14:paraId="6F4B612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bl>
    <w:p w14:paraId="511165DF" w14:textId="063CC50C" w:rsidR="00C93B24" w:rsidRDefault="00C93B24" w:rsidP="00C93B24">
      <w:pPr>
        <w:pStyle w:val="NoSpacing"/>
        <w:jc w:val="both"/>
        <w:rPr>
          <w:rFonts w:ascii="Times New Roman" w:hAnsi="Times New Roman" w:cs="Times New Roman"/>
          <w:szCs w:val="24"/>
        </w:rPr>
      </w:pPr>
      <w:r w:rsidRPr="008B4E20">
        <w:rPr>
          <w:rFonts w:ascii="Times New Roman" w:hAnsi="Times New Roman" w:cs="Times New Roman"/>
          <w:bCs/>
          <w:sz w:val="20"/>
          <w:szCs w:val="20"/>
        </w:rPr>
        <w:t>Notes:</w:t>
      </w:r>
      <w:r>
        <w:rPr>
          <w:rFonts w:ascii="Times New Roman" w:hAnsi="Times New Roman" w:cs="Times New Roman"/>
          <w:sz w:val="20"/>
          <w:szCs w:val="20"/>
        </w:rPr>
        <w:t xml:space="preserve"> SMT use of test scores in appraisal is defined as a</w:t>
      </w:r>
      <w:r w:rsidR="00CA4992">
        <w:rPr>
          <w:rFonts w:ascii="Times New Roman" w:hAnsi="Times New Roman" w:cs="Times New Roman"/>
          <w:sz w:val="20"/>
          <w:szCs w:val="20"/>
        </w:rPr>
        <w:t>n</w:t>
      </w:r>
      <w:r>
        <w:rPr>
          <w:rFonts w:ascii="Times New Roman" w:hAnsi="Times New Roman" w:cs="Times New Roman"/>
          <w:sz w:val="20"/>
          <w:szCs w:val="20"/>
        </w:rPr>
        <w:t xml:space="preserve"> SMT conducting an appraisal with teachers at least annually, which includes a review of the examination/test</w:t>
      </w:r>
      <w:r w:rsidR="00FE5D0E">
        <w:rPr>
          <w:rFonts w:ascii="Times New Roman" w:hAnsi="Times New Roman" w:cs="Times New Roman"/>
          <w:sz w:val="20"/>
          <w:szCs w:val="20"/>
        </w:rPr>
        <w:t>-</w:t>
      </w:r>
      <w:r>
        <w:rPr>
          <w:rFonts w:ascii="Times New Roman" w:hAnsi="Times New Roman" w:cs="Times New Roman"/>
          <w:sz w:val="20"/>
          <w:szCs w:val="20"/>
        </w:rPr>
        <w:t xml:space="preserve">score data of pupils that they teach. Estimates using data pooled across all countries, with teacher (senate) weights and BRR weights applied. Estimates refer to probability difference. Estimates in column 1 refer to the subsample of teachers working in schools where the </w:t>
      </w:r>
      <w:proofErr w:type="spellStart"/>
      <w:r>
        <w:rPr>
          <w:rFonts w:ascii="Times New Roman" w:hAnsi="Times New Roman" w:cs="Times New Roman"/>
          <w:sz w:val="20"/>
          <w:szCs w:val="20"/>
        </w:rPr>
        <w:t>headteacher</w:t>
      </w:r>
      <w:proofErr w:type="spellEnd"/>
      <w:r>
        <w:rPr>
          <w:rFonts w:ascii="Times New Roman" w:hAnsi="Times New Roman" w:cs="Times New Roman"/>
          <w:sz w:val="20"/>
          <w:szCs w:val="20"/>
        </w:rPr>
        <w:t xml:space="preserve"> reports that staff are </w:t>
      </w:r>
      <w:r w:rsidR="00B17725">
        <w:rPr>
          <w:rFonts w:ascii="Times New Roman" w:hAnsi="Times New Roman" w:cs="Times New Roman"/>
          <w:sz w:val="20"/>
          <w:szCs w:val="20"/>
        </w:rPr>
        <w:t>‘</w:t>
      </w:r>
      <w:r>
        <w:rPr>
          <w:rFonts w:ascii="Times New Roman" w:hAnsi="Times New Roman" w:cs="Times New Roman"/>
          <w:sz w:val="20"/>
          <w:szCs w:val="20"/>
        </w:rPr>
        <w:t>never</w:t>
      </w:r>
      <w:r w:rsidR="00B17725">
        <w:rPr>
          <w:rFonts w:ascii="Times New Roman" w:hAnsi="Times New Roman" w:cs="Times New Roman"/>
          <w:sz w:val="20"/>
          <w:szCs w:val="20"/>
        </w:rPr>
        <w:t>’</w:t>
      </w:r>
      <w:r>
        <w:rPr>
          <w:rFonts w:ascii="Times New Roman" w:hAnsi="Times New Roman" w:cs="Times New Roman"/>
          <w:sz w:val="20"/>
          <w:szCs w:val="20"/>
        </w:rPr>
        <w:t xml:space="preserve"> dismissed following an appraisal; estimates in column 2 </w:t>
      </w:r>
      <w:r w:rsidR="00A60926">
        <w:rPr>
          <w:rFonts w:ascii="Times New Roman" w:hAnsi="Times New Roman" w:cs="Times New Roman"/>
          <w:sz w:val="20"/>
          <w:szCs w:val="20"/>
        </w:rPr>
        <w:t>are</w:t>
      </w:r>
      <w:r>
        <w:rPr>
          <w:rFonts w:ascii="Times New Roman" w:hAnsi="Times New Roman" w:cs="Times New Roman"/>
          <w:sz w:val="20"/>
          <w:szCs w:val="20"/>
        </w:rPr>
        <w:t xml:space="preserve"> whether </w:t>
      </w:r>
      <w:proofErr w:type="spellStart"/>
      <w:r>
        <w:rPr>
          <w:rFonts w:ascii="Times New Roman" w:hAnsi="Times New Roman" w:cs="Times New Roman"/>
          <w:sz w:val="20"/>
          <w:szCs w:val="20"/>
        </w:rPr>
        <w:t>headteachers</w:t>
      </w:r>
      <w:proofErr w:type="spellEnd"/>
      <w:r>
        <w:rPr>
          <w:rFonts w:ascii="Times New Roman" w:hAnsi="Times New Roman" w:cs="Times New Roman"/>
          <w:sz w:val="20"/>
          <w:szCs w:val="20"/>
        </w:rPr>
        <w:t xml:space="preserve"> said dismissal </w:t>
      </w:r>
      <w:r w:rsidR="00B17725">
        <w:rPr>
          <w:rFonts w:ascii="Times New Roman" w:hAnsi="Times New Roman" w:cs="Times New Roman"/>
          <w:sz w:val="20"/>
          <w:szCs w:val="20"/>
        </w:rPr>
        <w:t>‘</w:t>
      </w:r>
      <w:r>
        <w:rPr>
          <w:rFonts w:ascii="Times New Roman" w:hAnsi="Times New Roman" w:cs="Times New Roman"/>
          <w:sz w:val="20"/>
          <w:szCs w:val="20"/>
        </w:rPr>
        <w:t>sometimes</w:t>
      </w:r>
      <w:r w:rsidR="00B17725">
        <w:rPr>
          <w:rFonts w:ascii="Times New Roman" w:hAnsi="Times New Roman" w:cs="Times New Roman"/>
          <w:sz w:val="20"/>
          <w:szCs w:val="20"/>
        </w:rPr>
        <w:t>’</w:t>
      </w:r>
      <w:r>
        <w:rPr>
          <w:rFonts w:ascii="Times New Roman" w:hAnsi="Times New Roman" w:cs="Times New Roman"/>
          <w:sz w:val="20"/>
          <w:szCs w:val="20"/>
        </w:rPr>
        <w:t xml:space="preserve">, </w:t>
      </w:r>
      <w:r w:rsidR="00B17725">
        <w:rPr>
          <w:rFonts w:ascii="Times New Roman" w:hAnsi="Times New Roman" w:cs="Times New Roman"/>
          <w:sz w:val="20"/>
          <w:szCs w:val="20"/>
        </w:rPr>
        <w:t>‘</w:t>
      </w:r>
      <w:r>
        <w:rPr>
          <w:rFonts w:ascii="Times New Roman" w:hAnsi="Times New Roman" w:cs="Times New Roman"/>
          <w:sz w:val="20"/>
          <w:szCs w:val="20"/>
        </w:rPr>
        <w:t>often</w:t>
      </w:r>
      <w:r w:rsidR="00B17725">
        <w:rPr>
          <w:rFonts w:ascii="Times New Roman" w:hAnsi="Times New Roman" w:cs="Times New Roman"/>
          <w:sz w:val="20"/>
          <w:szCs w:val="20"/>
        </w:rPr>
        <w:t>’</w:t>
      </w:r>
      <w:r>
        <w:rPr>
          <w:rFonts w:ascii="Times New Roman" w:hAnsi="Times New Roman" w:cs="Times New Roman"/>
          <w:sz w:val="20"/>
          <w:szCs w:val="20"/>
        </w:rPr>
        <w:t xml:space="preserve"> or </w:t>
      </w:r>
      <w:r w:rsidR="00B17725">
        <w:rPr>
          <w:rFonts w:ascii="Times New Roman" w:hAnsi="Times New Roman" w:cs="Times New Roman"/>
          <w:sz w:val="20"/>
          <w:szCs w:val="20"/>
        </w:rPr>
        <w:t>‘</w:t>
      </w:r>
      <w:r>
        <w:rPr>
          <w:rFonts w:ascii="Times New Roman" w:hAnsi="Times New Roman" w:cs="Times New Roman"/>
          <w:sz w:val="20"/>
          <w:szCs w:val="20"/>
        </w:rPr>
        <w:t>always</w:t>
      </w:r>
      <w:r w:rsidR="00B17725">
        <w:rPr>
          <w:rFonts w:ascii="Times New Roman" w:hAnsi="Times New Roman" w:cs="Times New Roman"/>
          <w:sz w:val="20"/>
          <w:szCs w:val="20"/>
        </w:rPr>
        <w:t>’</w:t>
      </w:r>
      <w:r>
        <w:rPr>
          <w:rFonts w:ascii="Times New Roman" w:hAnsi="Times New Roman" w:cs="Times New Roman"/>
          <w:sz w:val="20"/>
          <w:szCs w:val="20"/>
        </w:rPr>
        <w:t xml:space="preserve"> occurs. </w:t>
      </w:r>
      <w:r w:rsidR="00875EB6">
        <w:rPr>
          <w:rFonts w:ascii="Times New Roman" w:hAnsi="Times New Roman" w:cs="Times New Roman"/>
          <w:sz w:val="20"/>
          <w:szCs w:val="20"/>
        </w:rPr>
        <w:t>Source = TALIS 2018 dataset.</w:t>
      </w:r>
      <w:bookmarkEnd w:id="26"/>
    </w:p>
    <w:p w14:paraId="6531965E" w14:textId="77777777" w:rsidR="0028671A" w:rsidRDefault="0028671A" w:rsidP="00C93B24">
      <w:pPr>
        <w:pStyle w:val="NoSpacing"/>
        <w:jc w:val="both"/>
        <w:rPr>
          <w:rFonts w:ascii="Times New Roman" w:hAnsi="Times New Roman" w:cs="Times New Roman"/>
          <w:szCs w:val="24"/>
        </w:rPr>
      </w:pPr>
    </w:p>
    <w:p w14:paraId="3386CFC6" w14:textId="6810F2E0" w:rsidR="00C93B24" w:rsidRPr="00C93B24" w:rsidRDefault="00C93B24" w:rsidP="00C93B24">
      <w:pPr>
        <w:pStyle w:val="NoSpacing"/>
        <w:jc w:val="both"/>
        <w:rPr>
          <w:rFonts w:ascii="Times New Roman" w:hAnsi="Times New Roman" w:cs="Times New Roman"/>
          <w:b/>
          <w:szCs w:val="24"/>
        </w:rPr>
      </w:pPr>
      <w:r>
        <w:rPr>
          <w:rFonts w:ascii="Times New Roman" w:hAnsi="Times New Roman" w:cs="Times New Roman"/>
          <w:b/>
          <w:szCs w:val="24"/>
        </w:rPr>
        <w:t xml:space="preserve">11.5 Are teachers more stressed by accountability when their colleagues (including their </w:t>
      </w:r>
      <w:proofErr w:type="spellStart"/>
      <w:r>
        <w:rPr>
          <w:rFonts w:ascii="Times New Roman" w:hAnsi="Times New Roman" w:cs="Times New Roman"/>
          <w:b/>
          <w:szCs w:val="24"/>
        </w:rPr>
        <w:t>headteachers</w:t>
      </w:r>
      <w:proofErr w:type="spellEnd"/>
      <w:r>
        <w:rPr>
          <w:rFonts w:ascii="Times New Roman" w:hAnsi="Times New Roman" w:cs="Times New Roman"/>
          <w:b/>
          <w:szCs w:val="24"/>
        </w:rPr>
        <w:t xml:space="preserve">) feel stressed by accountability as well? </w:t>
      </w:r>
    </w:p>
    <w:p w14:paraId="55DD9D1F" w14:textId="77777777" w:rsidR="00C93B24" w:rsidRDefault="00C93B24" w:rsidP="00C93B24">
      <w:pPr>
        <w:pStyle w:val="NoSpacing"/>
        <w:jc w:val="both"/>
        <w:rPr>
          <w:rFonts w:ascii="Times New Roman" w:hAnsi="Times New Roman" w:cs="Times New Roman"/>
          <w:szCs w:val="24"/>
        </w:rPr>
      </w:pPr>
    </w:p>
    <w:p w14:paraId="31E17EF6" w14:textId="64601627" w:rsidR="009A6E37" w:rsidRDefault="00C93B24" w:rsidP="00C93B24">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To begin, we consider whether teachers report being more stressed by accountability when their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also feel under more pressure from this aspect of their job. These results – for three different model specifications – can be found in Table 11.3. Estimates are presented as differences in the probability of a teacher suffering from stress due to accountability if their </w:t>
      </w:r>
      <w:proofErr w:type="spellStart"/>
      <w:r>
        <w:rPr>
          <w:rFonts w:ascii="Times New Roman" w:hAnsi="Times New Roman" w:cs="Times New Roman"/>
          <w:szCs w:val="24"/>
        </w:rPr>
        <w:t>headteacher</w:t>
      </w:r>
      <w:proofErr w:type="spellEnd"/>
      <w:r>
        <w:rPr>
          <w:rFonts w:ascii="Times New Roman" w:hAnsi="Times New Roman" w:cs="Times New Roman"/>
          <w:szCs w:val="24"/>
        </w:rPr>
        <w:t xml:space="preserve"> feels more stressed.</w:t>
      </w:r>
    </w:p>
    <w:p w14:paraId="77A65E35" w14:textId="77777777" w:rsidR="009A6E37" w:rsidRDefault="009A6E37">
      <w:pPr>
        <w:spacing w:line="259" w:lineRule="auto"/>
        <w:rPr>
          <w:rFonts w:ascii="Times New Roman" w:eastAsiaTheme="minorEastAsia" w:hAnsi="Times New Roman" w:cs="Times New Roman"/>
          <w:sz w:val="24"/>
          <w:szCs w:val="24"/>
        </w:rPr>
      </w:pPr>
      <w:r>
        <w:rPr>
          <w:rFonts w:ascii="Times New Roman" w:hAnsi="Times New Roman" w:cs="Times New Roman"/>
          <w:szCs w:val="24"/>
        </w:rPr>
        <w:br w:type="page"/>
      </w:r>
    </w:p>
    <w:p w14:paraId="0B58CF09" w14:textId="553ECA3B" w:rsidR="00C93B24" w:rsidRPr="00C93B24" w:rsidRDefault="00C93B24" w:rsidP="00C93B24">
      <w:pPr>
        <w:spacing w:line="240" w:lineRule="auto"/>
        <w:jc w:val="center"/>
        <w:rPr>
          <w:rFonts w:ascii="Times New Roman" w:hAnsi="Times New Roman" w:cs="Times New Roman"/>
          <w:b/>
          <w:sz w:val="24"/>
          <w:szCs w:val="24"/>
        </w:rPr>
      </w:pPr>
      <w:r w:rsidRPr="00C93B24">
        <w:rPr>
          <w:rFonts w:ascii="Times New Roman" w:hAnsi="Times New Roman" w:cs="Times New Roman"/>
          <w:b/>
          <w:sz w:val="24"/>
          <w:szCs w:val="24"/>
        </w:rPr>
        <w:lastRenderedPageBreak/>
        <w:t xml:space="preserve">Table 11.3 </w:t>
      </w:r>
      <w:proofErr w:type="gramStart"/>
      <w:r w:rsidRPr="00C93B24">
        <w:rPr>
          <w:rFonts w:ascii="Times New Roman" w:hAnsi="Times New Roman" w:cs="Times New Roman"/>
          <w:b/>
          <w:sz w:val="24"/>
          <w:szCs w:val="24"/>
        </w:rPr>
        <w:t>The</w:t>
      </w:r>
      <w:proofErr w:type="gramEnd"/>
      <w:r w:rsidRPr="00C93B24">
        <w:rPr>
          <w:rFonts w:ascii="Times New Roman" w:hAnsi="Times New Roman" w:cs="Times New Roman"/>
          <w:b/>
          <w:sz w:val="24"/>
          <w:szCs w:val="24"/>
        </w:rPr>
        <w:t xml:space="preserve"> association between </w:t>
      </w:r>
      <w:proofErr w:type="spellStart"/>
      <w:r w:rsidRPr="00C93B24">
        <w:rPr>
          <w:rFonts w:ascii="Times New Roman" w:hAnsi="Times New Roman" w:cs="Times New Roman"/>
          <w:b/>
          <w:sz w:val="24"/>
          <w:szCs w:val="24"/>
        </w:rPr>
        <w:t>headteacher</w:t>
      </w:r>
      <w:proofErr w:type="spellEnd"/>
      <w:r w:rsidRPr="00C93B24">
        <w:rPr>
          <w:rFonts w:ascii="Times New Roman" w:hAnsi="Times New Roman" w:cs="Times New Roman"/>
          <w:b/>
          <w:sz w:val="24"/>
          <w:szCs w:val="24"/>
        </w:rPr>
        <w:t xml:space="preserve"> and teacher stress about accountability</w:t>
      </w:r>
    </w:p>
    <w:tbl>
      <w:tblPr>
        <w:tblW w:w="7280" w:type="dxa"/>
        <w:jc w:val="center"/>
        <w:tblLook w:val="04A0" w:firstRow="1" w:lastRow="0" w:firstColumn="1" w:lastColumn="0" w:noHBand="0" w:noVBand="1"/>
      </w:tblPr>
      <w:tblGrid>
        <w:gridCol w:w="4060"/>
        <w:gridCol w:w="1140"/>
        <w:gridCol w:w="960"/>
        <w:gridCol w:w="1120"/>
      </w:tblGrid>
      <w:tr w:rsidR="00C93B24" w14:paraId="60D13EA1" w14:textId="77777777" w:rsidTr="00C93B24">
        <w:trPr>
          <w:trHeight w:val="300"/>
          <w:jc w:val="center"/>
        </w:trPr>
        <w:tc>
          <w:tcPr>
            <w:tcW w:w="4060" w:type="dxa"/>
            <w:tcBorders>
              <w:top w:val="single" w:sz="4" w:space="0" w:color="auto"/>
              <w:left w:val="nil"/>
              <w:bottom w:val="single" w:sz="4" w:space="0" w:color="auto"/>
              <w:right w:val="nil"/>
            </w:tcBorders>
            <w:shd w:val="clear" w:color="auto" w:fill="B4C6E7"/>
            <w:noWrap/>
            <w:vAlign w:val="center"/>
            <w:hideMark/>
          </w:tcPr>
          <w:p w14:paraId="690B34CE"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w:t>
            </w:r>
          </w:p>
        </w:tc>
        <w:tc>
          <w:tcPr>
            <w:tcW w:w="1140" w:type="dxa"/>
            <w:tcBorders>
              <w:top w:val="single" w:sz="4" w:space="0" w:color="auto"/>
              <w:left w:val="nil"/>
              <w:bottom w:val="single" w:sz="4" w:space="0" w:color="auto"/>
              <w:right w:val="nil"/>
            </w:tcBorders>
            <w:shd w:val="clear" w:color="auto" w:fill="B4C6E7"/>
            <w:noWrap/>
            <w:vAlign w:val="center"/>
            <w:hideMark/>
          </w:tcPr>
          <w:p w14:paraId="6DF5A6F0"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M1</w:t>
            </w:r>
          </w:p>
        </w:tc>
        <w:tc>
          <w:tcPr>
            <w:tcW w:w="960" w:type="dxa"/>
            <w:tcBorders>
              <w:top w:val="single" w:sz="4" w:space="0" w:color="auto"/>
              <w:left w:val="nil"/>
              <w:bottom w:val="single" w:sz="4" w:space="0" w:color="auto"/>
              <w:right w:val="nil"/>
            </w:tcBorders>
            <w:shd w:val="clear" w:color="auto" w:fill="B4C6E7"/>
            <w:noWrap/>
            <w:vAlign w:val="center"/>
            <w:hideMark/>
          </w:tcPr>
          <w:p w14:paraId="041238CE"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M2</w:t>
            </w:r>
          </w:p>
        </w:tc>
        <w:tc>
          <w:tcPr>
            <w:tcW w:w="1120" w:type="dxa"/>
            <w:tcBorders>
              <w:top w:val="single" w:sz="4" w:space="0" w:color="auto"/>
              <w:left w:val="nil"/>
              <w:bottom w:val="single" w:sz="4" w:space="0" w:color="auto"/>
              <w:right w:val="nil"/>
            </w:tcBorders>
            <w:shd w:val="clear" w:color="auto" w:fill="B4C6E7"/>
            <w:noWrap/>
            <w:vAlign w:val="center"/>
            <w:hideMark/>
          </w:tcPr>
          <w:p w14:paraId="4A19F4CD"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M3</w:t>
            </w:r>
          </w:p>
        </w:tc>
      </w:tr>
      <w:tr w:rsidR="00C93B24" w14:paraId="41A4FFAF" w14:textId="77777777" w:rsidTr="00C93B24">
        <w:trPr>
          <w:trHeight w:val="570"/>
          <w:jc w:val="center"/>
        </w:trPr>
        <w:tc>
          <w:tcPr>
            <w:tcW w:w="4060" w:type="dxa"/>
            <w:vAlign w:val="center"/>
            <w:hideMark/>
          </w:tcPr>
          <w:p w14:paraId="565C7E61" w14:textId="64E12122" w:rsidR="00C93B24" w:rsidRDefault="00C93B24">
            <w:pPr>
              <w:spacing w:after="0" w:line="240" w:lineRule="auto"/>
              <w:rPr>
                <w:rFonts w:ascii="Times New Roman" w:eastAsia="Times New Roman" w:hAnsi="Times New Roman" w:cs="Times New Roman"/>
                <w:b/>
                <w:bCs/>
                <w:color w:val="000000"/>
                <w:lang w:eastAsia="en-GB"/>
              </w:rPr>
            </w:pPr>
            <w:proofErr w:type="spellStart"/>
            <w:r>
              <w:rPr>
                <w:rFonts w:ascii="Times New Roman" w:eastAsia="Times New Roman" w:hAnsi="Times New Roman" w:cs="Times New Roman"/>
                <w:b/>
                <w:bCs/>
                <w:color w:val="000000"/>
                <w:lang w:eastAsia="en-GB"/>
              </w:rPr>
              <w:t>Headteacher</w:t>
            </w:r>
            <w:proofErr w:type="spellEnd"/>
            <w:r>
              <w:rPr>
                <w:rFonts w:ascii="Times New Roman" w:eastAsia="Times New Roman" w:hAnsi="Times New Roman" w:cs="Times New Roman"/>
                <w:b/>
                <w:bCs/>
                <w:color w:val="000000"/>
                <w:lang w:eastAsia="en-GB"/>
              </w:rPr>
              <w:t xml:space="preserve"> stressed by accountability (Ref: Not a</w:t>
            </w:r>
            <w:r w:rsidR="0015487D">
              <w:rPr>
                <w:rFonts w:ascii="Times New Roman" w:eastAsia="Times New Roman" w:hAnsi="Times New Roman" w:cs="Times New Roman"/>
                <w:b/>
                <w:bCs/>
                <w:color w:val="000000"/>
                <w:lang w:eastAsia="en-GB"/>
              </w:rPr>
              <w:t>t</w:t>
            </w:r>
            <w:r>
              <w:rPr>
                <w:rFonts w:ascii="Times New Roman" w:eastAsia="Times New Roman" w:hAnsi="Times New Roman" w:cs="Times New Roman"/>
                <w:b/>
                <w:bCs/>
                <w:color w:val="000000"/>
                <w:lang w:eastAsia="en-GB"/>
              </w:rPr>
              <w:t xml:space="preserve"> all)</w:t>
            </w:r>
          </w:p>
        </w:tc>
        <w:tc>
          <w:tcPr>
            <w:tcW w:w="1140" w:type="dxa"/>
            <w:noWrap/>
            <w:vAlign w:val="bottom"/>
            <w:hideMark/>
          </w:tcPr>
          <w:p w14:paraId="35692B8D" w14:textId="77777777" w:rsidR="00C93B24" w:rsidRDefault="00C93B24">
            <w:pPr>
              <w:rPr>
                <w:rFonts w:ascii="Times New Roman" w:eastAsia="Times New Roman" w:hAnsi="Times New Roman" w:cs="Times New Roman"/>
                <w:b/>
                <w:bCs/>
                <w:color w:val="000000"/>
                <w:lang w:eastAsia="en-GB"/>
              </w:rPr>
            </w:pPr>
          </w:p>
        </w:tc>
        <w:tc>
          <w:tcPr>
            <w:tcW w:w="960" w:type="dxa"/>
            <w:noWrap/>
            <w:vAlign w:val="bottom"/>
            <w:hideMark/>
          </w:tcPr>
          <w:p w14:paraId="1EB891AC" w14:textId="77777777" w:rsidR="00C93B24" w:rsidRDefault="00C93B24">
            <w:pPr>
              <w:spacing w:after="0"/>
              <w:rPr>
                <w:sz w:val="20"/>
                <w:szCs w:val="20"/>
                <w:lang w:eastAsia="en-GB"/>
              </w:rPr>
            </w:pPr>
          </w:p>
        </w:tc>
        <w:tc>
          <w:tcPr>
            <w:tcW w:w="1120" w:type="dxa"/>
            <w:noWrap/>
            <w:vAlign w:val="bottom"/>
            <w:hideMark/>
          </w:tcPr>
          <w:p w14:paraId="29B937F8" w14:textId="77777777" w:rsidR="00C93B24" w:rsidRDefault="00C93B24">
            <w:pPr>
              <w:spacing w:after="0"/>
              <w:rPr>
                <w:sz w:val="20"/>
                <w:szCs w:val="20"/>
                <w:lang w:eastAsia="en-GB"/>
              </w:rPr>
            </w:pPr>
          </w:p>
        </w:tc>
      </w:tr>
      <w:tr w:rsidR="00C93B24" w14:paraId="060A8360" w14:textId="77777777" w:rsidTr="00C93B24">
        <w:trPr>
          <w:trHeight w:val="300"/>
          <w:jc w:val="center"/>
        </w:trPr>
        <w:tc>
          <w:tcPr>
            <w:tcW w:w="4060" w:type="dxa"/>
            <w:noWrap/>
            <w:vAlign w:val="center"/>
            <w:hideMark/>
          </w:tcPr>
          <w:p w14:paraId="71F1A733"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Some extent</w:t>
            </w:r>
          </w:p>
        </w:tc>
        <w:tc>
          <w:tcPr>
            <w:tcW w:w="1140" w:type="dxa"/>
            <w:vAlign w:val="center"/>
            <w:hideMark/>
          </w:tcPr>
          <w:p w14:paraId="5EA84C6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1.6%</w:t>
            </w:r>
          </w:p>
        </w:tc>
        <w:tc>
          <w:tcPr>
            <w:tcW w:w="960" w:type="dxa"/>
            <w:vAlign w:val="center"/>
            <w:hideMark/>
          </w:tcPr>
          <w:p w14:paraId="7989105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0.7%</w:t>
            </w:r>
          </w:p>
        </w:tc>
        <w:tc>
          <w:tcPr>
            <w:tcW w:w="1120" w:type="dxa"/>
            <w:vAlign w:val="center"/>
            <w:hideMark/>
          </w:tcPr>
          <w:p w14:paraId="1A45E26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1.6%</w:t>
            </w:r>
          </w:p>
        </w:tc>
      </w:tr>
      <w:tr w:rsidR="00C93B24" w14:paraId="021264AA" w14:textId="77777777" w:rsidTr="00C93B24">
        <w:trPr>
          <w:trHeight w:val="300"/>
          <w:jc w:val="center"/>
        </w:trPr>
        <w:tc>
          <w:tcPr>
            <w:tcW w:w="4060" w:type="dxa"/>
            <w:noWrap/>
            <w:vAlign w:val="center"/>
            <w:hideMark/>
          </w:tcPr>
          <w:p w14:paraId="5C5EAF13"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Quite a bit</w:t>
            </w:r>
          </w:p>
        </w:tc>
        <w:tc>
          <w:tcPr>
            <w:tcW w:w="1140" w:type="dxa"/>
            <w:vAlign w:val="center"/>
            <w:hideMark/>
          </w:tcPr>
          <w:p w14:paraId="376F446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3.5%</w:t>
            </w:r>
          </w:p>
        </w:tc>
        <w:tc>
          <w:tcPr>
            <w:tcW w:w="960" w:type="dxa"/>
            <w:vAlign w:val="center"/>
            <w:hideMark/>
          </w:tcPr>
          <w:p w14:paraId="429F9E0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2.2%</w:t>
            </w:r>
          </w:p>
        </w:tc>
        <w:tc>
          <w:tcPr>
            <w:tcW w:w="1120" w:type="dxa"/>
            <w:vAlign w:val="center"/>
            <w:hideMark/>
          </w:tcPr>
          <w:p w14:paraId="007E230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4.3%</w:t>
            </w:r>
          </w:p>
        </w:tc>
      </w:tr>
      <w:tr w:rsidR="00C93B24" w14:paraId="34365342" w14:textId="77777777" w:rsidTr="00C93B24">
        <w:trPr>
          <w:trHeight w:val="315"/>
          <w:jc w:val="center"/>
        </w:trPr>
        <w:tc>
          <w:tcPr>
            <w:tcW w:w="4060" w:type="dxa"/>
            <w:noWrap/>
            <w:vAlign w:val="center"/>
            <w:hideMark/>
          </w:tcPr>
          <w:p w14:paraId="16AC8C2D"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A lot</w:t>
            </w:r>
          </w:p>
        </w:tc>
        <w:tc>
          <w:tcPr>
            <w:tcW w:w="1140" w:type="dxa"/>
            <w:vAlign w:val="center"/>
            <w:hideMark/>
          </w:tcPr>
          <w:p w14:paraId="748A651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5.3%</w:t>
            </w:r>
          </w:p>
        </w:tc>
        <w:tc>
          <w:tcPr>
            <w:tcW w:w="960" w:type="dxa"/>
            <w:vAlign w:val="center"/>
            <w:hideMark/>
          </w:tcPr>
          <w:p w14:paraId="7C54DA2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3.7%</w:t>
            </w:r>
          </w:p>
        </w:tc>
        <w:tc>
          <w:tcPr>
            <w:tcW w:w="1120" w:type="dxa"/>
            <w:vAlign w:val="center"/>
            <w:hideMark/>
          </w:tcPr>
          <w:p w14:paraId="5E42655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6.7%</w:t>
            </w:r>
          </w:p>
        </w:tc>
      </w:tr>
      <w:tr w:rsidR="00C93B24" w14:paraId="14DBBA05" w14:textId="77777777" w:rsidTr="00C93B24">
        <w:trPr>
          <w:trHeight w:val="315"/>
          <w:jc w:val="center"/>
        </w:trPr>
        <w:tc>
          <w:tcPr>
            <w:tcW w:w="4060" w:type="dxa"/>
            <w:tcBorders>
              <w:top w:val="single" w:sz="8" w:space="0" w:color="auto"/>
              <w:left w:val="nil"/>
              <w:bottom w:val="single" w:sz="8" w:space="0" w:color="auto"/>
              <w:right w:val="nil"/>
            </w:tcBorders>
            <w:noWrap/>
            <w:vAlign w:val="center"/>
            <w:hideMark/>
          </w:tcPr>
          <w:p w14:paraId="2324DB9A"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N</w:t>
            </w:r>
          </w:p>
        </w:tc>
        <w:tc>
          <w:tcPr>
            <w:tcW w:w="1140" w:type="dxa"/>
            <w:tcBorders>
              <w:top w:val="single" w:sz="8" w:space="0" w:color="auto"/>
              <w:left w:val="nil"/>
              <w:bottom w:val="single" w:sz="8" w:space="0" w:color="auto"/>
              <w:right w:val="nil"/>
            </w:tcBorders>
            <w:noWrap/>
            <w:vAlign w:val="center"/>
            <w:hideMark/>
          </w:tcPr>
          <w:p w14:paraId="58096781"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133,471</w:t>
            </w:r>
          </w:p>
        </w:tc>
        <w:tc>
          <w:tcPr>
            <w:tcW w:w="960" w:type="dxa"/>
            <w:tcBorders>
              <w:top w:val="single" w:sz="8" w:space="0" w:color="auto"/>
              <w:left w:val="nil"/>
              <w:bottom w:val="single" w:sz="8" w:space="0" w:color="auto"/>
              <w:right w:val="nil"/>
            </w:tcBorders>
            <w:noWrap/>
            <w:vAlign w:val="center"/>
            <w:hideMark/>
          </w:tcPr>
          <w:p w14:paraId="7BD4A16B"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132,311</w:t>
            </w:r>
          </w:p>
        </w:tc>
        <w:tc>
          <w:tcPr>
            <w:tcW w:w="1120" w:type="dxa"/>
            <w:tcBorders>
              <w:top w:val="single" w:sz="8" w:space="0" w:color="auto"/>
              <w:left w:val="nil"/>
              <w:bottom w:val="single" w:sz="8" w:space="0" w:color="auto"/>
              <w:right w:val="nil"/>
            </w:tcBorders>
            <w:noWrap/>
            <w:vAlign w:val="center"/>
            <w:hideMark/>
          </w:tcPr>
          <w:p w14:paraId="274172BE"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132,049</w:t>
            </w:r>
          </w:p>
        </w:tc>
      </w:tr>
      <w:tr w:rsidR="00C93B24" w14:paraId="47842B3B" w14:textId="77777777" w:rsidTr="00C93B24">
        <w:trPr>
          <w:trHeight w:val="300"/>
          <w:jc w:val="center"/>
        </w:trPr>
        <w:tc>
          <w:tcPr>
            <w:tcW w:w="4060" w:type="dxa"/>
            <w:noWrap/>
            <w:vAlign w:val="center"/>
            <w:hideMark/>
          </w:tcPr>
          <w:p w14:paraId="4C7C00DF"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Controls</w:t>
            </w:r>
          </w:p>
        </w:tc>
        <w:tc>
          <w:tcPr>
            <w:tcW w:w="1140" w:type="dxa"/>
            <w:noWrap/>
            <w:vAlign w:val="center"/>
            <w:hideMark/>
          </w:tcPr>
          <w:p w14:paraId="4C3A478C" w14:textId="77777777" w:rsidR="00C93B24" w:rsidRDefault="00C93B24">
            <w:pPr>
              <w:rPr>
                <w:rFonts w:ascii="Times New Roman" w:eastAsia="Times New Roman" w:hAnsi="Times New Roman" w:cs="Times New Roman"/>
                <w:b/>
                <w:bCs/>
                <w:color w:val="000000"/>
                <w:lang w:eastAsia="en-GB"/>
              </w:rPr>
            </w:pPr>
          </w:p>
        </w:tc>
        <w:tc>
          <w:tcPr>
            <w:tcW w:w="960" w:type="dxa"/>
            <w:noWrap/>
            <w:vAlign w:val="center"/>
            <w:hideMark/>
          </w:tcPr>
          <w:p w14:paraId="72D7AC35" w14:textId="77777777" w:rsidR="00C93B24" w:rsidRDefault="00C93B24">
            <w:pPr>
              <w:spacing w:after="0"/>
              <w:rPr>
                <w:sz w:val="20"/>
                <w:szCs w:val="20"/>
                <w:lang w:eastAsia="en-GB"/>
              </w:rPr>
            </w:pPr>
          </w:p>
        </w:tc>
        <w:tc>
          <w:tcPr>
            <w:tcW w:w="1120" w:type="dxa"/>
            <w:noWrap/>
            <w:vAlign w:val="center"/>
            <w:hideMark/>
          </w:tcPr>
          <w:p w14:paraId="56F6721A" w14:textId="77777777" w:rsidR="00C93B24" w:rsidRDefault="00C93B24">
            <w:pPr>
              <w:spacing w:after="0"/>
              <w:rPr>
                <w:sz w:val="20"/>
                <w:szCs w:val="20"/>
                <w:lang w:eastAsia="en-GB"/>
              </w:rPr>
            </w:pPr>
          </w:p>
        </w:tc>
      </w:tr>
      <w:tr w:rsidR="00C93B24" w14:paraId="140E54E6" w14:textId="77777777" w:rsidTr="00C93B24">
        <w:trPr>
          <w:trHeight w:val="300"/>
          <w:jc w:val="center"/>
        </w:trPr>
        <w:tc>
          <w:tcPr>
            <w:tcW w:w="4060" w:type="dxa"/>
            <w:noWrap/>
            <w:vAlign w:val="center"/>
            <w:hideMark/>
          </w:tcPr>
          <w:p w14:paraId="347B63D4"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Country dummies</w:t>
            </w:r>
          </w:p>
        </w:tc>
        <w:tc>
          <w:tcPr>
            <w:tcW w:w="1140" w:type="dxa"/>
            <w:noWrap/>
            <w:vAlign w:val="center"/>
            <w:hideMark/>
          </w:tcPr>
          <w:p w14:paraId="7CB19D5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44EE374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01CC420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3D4AFD3D" w14:textId="77777777" w:rsidTr="00C93B24">
        <w:trPr>
          <w:trHeight w:val="300"/>
          <w:jc w:val="center"/>
        </w:trPr>
        <w:tc>
          <w:tcPr>
            <w:tcW w:w="4060" w:type="dxa"/>
            <w:noWrap/>
            <w:vAlign w:val="center"/>
            <w:hideMark/>
          </w:tcPr>
          <w:p w14:paraId="04DBB82E"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School location dummies</w:t>
            </w:r>
          </w:p>
        </w:tc>
        <w:tc>
          <w:tcPr>
            <w:tcW w:w="1140" w:type="dxa"/>
            <w:noWrap/>
            <w:vAlign w:val="center"/>
            <w:hideMark/>
          </w:tcPr>
          <w:p w14:paraId="7C355EC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2682D11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039D1C1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56B59DC7" w14:textId="77777777" w:rsidTr="00C93B24">
        <w:trPr>
          <w:trHeight w:val="300"/>
          <w:jc w:val="center"/>
        </w:trPr>
        <w:tc>
          <w:tcPr>
            <w:tcW w:w="4060" w:type="dxa"/>
            <w:noWrap/>
            <w:vAlign w:val="center"/>
            <w:hideMark/>
          </w:tcPr>
          <w:p w14:paraId="00E1DC10"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School lack of resources scale</w:t>
            </w:r>
          </w:p>
        </w:tc>
        <w:tc>
          <w:tcPr>
            <w:tcW w:w="1140" w:type="dxa"/>
            <w:noWrap/>
            <w:vAlign w:val="center"/>
            <w:hideMark/>
          </w:tcPr>
          <w:p w14:paraId="73C40F8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439587D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5A890C9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7CC9DA34" w14:textId="77777777" w:rsidTr="00C93B24">
        <w:trPr>
          <w:trHeight w:val="300"/>
          <w:jc w:val="center"/>
        </w:trPr>
        <w:tc>
          <w:tcPr>
            <w:tcW w:w="4060" w:type="dxa"/>
            <w:noWrap/>
            <w:vAlign w:val="center"/>
            <w:hideMark/>
          </w:tcPr>
          <w:p w14:paraId="1072C4B8"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Pupil:teacher</w:t>
            </w:r>
            <w:proofErr w:type="spellEnd"/>
            <w:r>
              <w:rPr>
                <w:rFonts w:ascii="Times New Roman" w:eastAsia="Times New Roman" w:hAnsi="Times New Roman" w:cs="Times New Roman"/>
                <w:color w:val="000000"/>
                <w:lang w:eastAsia="en-GB"/>
              </w:rPr>
              <w:t xml:space="preserve"> ratio</w:t>
            </w:r>
          </w:p>
        </w:tc>
        <w:tc>
          <w:tcPr>
            <w:tcW w:w="1140" w:type="dxa"/>
            <w:noWrap/>
            <w:vAlign w:val="center"/>
            <w:hideMark/>
          </w:tcPr>
          <w:p w14:paraId="1DF1902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732E7D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56F47F7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2ED1B992" w14:textId="77777777" w:rsidTr="00C93B24">
        <w:trPr>
          <w:trHeight w:val="300"/>
          <w:jc w:val="center"/>
        </w:trPr>
        <w:tc>
          <w:tcPr>
            <w:tcW w:w="4060" w:type="dxa"/>
            <w:noWrap/>
            <w:vAlign w:val="center"/>
            <w:hideMark/>
          </w:tcPr>
          <w:p w14:paraId="66C4FA05"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Teacher:TA</w:t>
            </w:r>
            <w:proofErr w:type="spellEnd"/>
            <w:r>
              <w:rPr>
                <w:rFonts w:ascii="Times New Roman" w:eastAsia="Times New Roman" w:hAnsi="Times New Roman" w:cs="Times New Roman"/>
                <w:color w:val="000000"/>
                <w:lang w:eastAsia="en-GB"/>
              </w:rPr>
              <w:t xml:space="preserve"> ratio</w:t>
            </w:r>
          </w:p>
        </w:tc>
        <w:tc>
          <w:tcPr>
            <w:tcW w:w="1140" w:type="dxa"/>
            <w:noWrap/>
            <w:vAlign w:val="center"/>
            <w:hideMark/>
          </w:tcPr>
          <w:p w14:paraId="2DB878D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1900C6F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4DDCE88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4F22357F" w14:textId="77777777" w:rsidTr="00C93B24">
        <w:trPr>
          <w:trHeight w:val="300"/>
          <w:jc w:val="center"/>
        </w:trPr>
        <w:tc>
          <w:tcPr>
            <w:tcW w:w="4060" w:type="dxa"/>
            <w:noWrap/>
            <w:vAlign w:val="center"/>
            <w:hideMark/>
          </w:tcPr>
          <w:p w14:paraId="3EC8DBCC"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Teacher:Admin</w:t>
            </w:r>
            <w:proofErr w:type="spellEnd"/>
            <w:r>
              <w:rPr>
                <w:rFonts w:ascii="Times New Roman" w:eastAsia="Times New Roman" w:hAnsi="Times New Roman" w:cs="Times New Roman"/>
                <w:color w:val="000000"/>
                <w:lang w:eastAsia="en-GB"/>
              </w:rPr>
              <w:t xml:space="preserve"> ratio</w:t>
            </w:r>
          </w:p>
        </w:tc>
        <w:tc>
          <w:tcPr>
            <w:tcW w:w="1140" w:type="dxa"/>
            <w:noWrap/>
            <w:vAlign w:val="center"/>
            <w:hideMark/>
          </w:tcPr>
          <w:p w14:paraId="3AA4FF1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66DA26D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5A10BCA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59406805" w14:textId="77777777" w:rsidTr="00C93B24">
        <w:trPr>
          <w:trHeight w:val="300"/>
          <w:jc w:val="center"/>
        </w:trPr>
        <w:tc>
          <w:tcPr>
            <w:tcW w:w="4060" w:type="dxa"/>
            <w:noWrap/>
            <w:vAlign w:val="center"/>
            <w:hideMark/>
          </w:tcPr>
          <w:p w14:paraId="6E6B3960" w14:textId="25E3E29C"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of immigrant/disadvantaged pupils</w:t>
            </w:r>
          </w:p>
        </w:tc>
        <w:tc>
          <w:tcPr>
            <w:tcW w:w="1140" w:type="dxa"/>
            <w:noWrap/>
            <w:vAlign w:val="center"/>
            <w:hideMark/>
          </w:tcPr>
          <w:p w14:paraId="22851BD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6789428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17CAC6F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483857E4" w14:textId="77777777" w:rsidTr="00C93B24">
        <w:trPr>
          <w:trHeight w:val="300"/>
          <w:jc w:val="center"/>
        </w:trPr>
        <w:tc>
          <w:tcPr>
            <w:tcW w:w="4060" w:type="dxa"/>
            <w:noWrap/>
            <w:vAlign w:val="center"/>
            <w:hideMark/>
          </w:tcPr>
          <w:p w14:paraId="16E363AE"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Headteacher</w:t>
            </w:r>
            <w:proofErr w:type="spellEnd"/>
            <w:r>
              <w:rPr>
                <w:rFonts w:ascii="Times New Roman" w:eastAsia="Times New Roman" w:hAnsi="Times New Roman" w:cs="Times New Roman"/>
                <w:color w:val="000000"/>
                <w:lang w:eastAsia="en-GB"/>
              </w:rPr>
              <w:t xml:space="preserve"> experience</w:t>
            </w:r>
          </w:p>
        </w:tc>
        <w:tc>
          <w:tcPr>
            <w:tcW w:w="1140" w:type="dxa"/>
            <w:noWrap/>
            <w:vAlign w:val="center"/>
            <w:hideMark/>
          </w:tcPr>
          <w:p w14:paraId="2C73D83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733A6CD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236DD95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45ED9773" w14:textId="77777777" w:rsidTr="00C93B24">
        <w:trPr>
          <w:trHeight w:val="300"/>
          <w:jc w:val="center"/>
        </w:trPr>
        <w:tc>
          <w:tcPr>
            <w:tcW w:w="4060" w:type="dxa"/>
            <w:noWrap/>
            <w:vAlign w:val="center"/>
            <w:hideMark/>
          </w:tcPr>
          <w:p w14:paraId="3490ABE2"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Teacher experience + demographics</w:t>
            </w:r>
          </w:p>
        </w:tc>
        <w:tc>
          <w:tcPr>
            <w:tcW w:w="1140" w:type="dxa"/>
            <w:noWrap/>
            <w:vAlign w:val="center"/>
            <w:hideMark/>
          </w:tcPr>
          <w:p w14:paraId="2D1EBFB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0FAD955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114602F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3C1604AA" w14:textId="77777777" w:rsidTr="00C93B24">
        <w:trPr>
          <w:trHeight w:val="300"/>
          <w:jc w:val="center"/>
        </w:trPr>
        <w:tc>
          <w:tcPr>
            <w:tcW w:w="4060" w:type="dxa"/>
            <w:noWrap/>
            <w:vAlign w:val="center"/>
            <w:hideMark/>
          </w:tcPr>
          <w:p w14:paraId="46D7F410"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Other sources of stress for the teacher</w:t>
            </w:r>
          </w:p>
        </w:tc>
        <w:tc>
          <w:tcPr>
            <w:tcW w:w="1140" w:type="dxa"/>
            <w:noWrap/>
            <w:vAlign w:val="center"/>
            <w:hideMark/>
          </w:tcPr>
          <w:p w14:paraId="65BAE91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960" w:type="dxa"/>
            <w:noWrap/>
            <w:vAlign w:val="center"/>
            <w:hideMark/>
          </w:tcPr>
          <w:p w14:paraId="4E8E25E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1120" w:type="dxa"/>
            <w:noWrap/>
            <w:vAlign w:val="center"/>
            <w:hideMark/>
          </w:tcPr>
          <w:p w14:paraId="3E50C80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69355FB1" w14:textId="77777777" w:rsidTr="00C93B24">
        <w:trPr>
          <w:trHeight w:val="315"/>
          <w:jc w:val="center"/>
        </w:trPr>
        <w:tc>
          <w:tcPr>
            <w:tcW w:w="4060" w:type="dxa"/>
            <w:tcBorders>
              <w:top w:val="nil"/>
              <w:left w:val="nil"/>
              <w:bottom w:val="single" w:sz="8" w:space="0" w:color="auto"/>
              <w:right w:val="nil"/>
            </w:tcBorders>
            <w:noWrap/>
            <w:vAlign w:val="center"/>
            <w:hideMark/>
          </w:tcPr>
          <w:p w14:paraId="33BDC4FA"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Other sources of stress for the </w:t>
            </w:r>
            <w:proofErr w:type="spellStart"/>
            <w:r>
              <w:rPr>
                <w:rFonts w:ascii="Times New Roman" w:eastAsia="Times New Roman" w:hAnsi="Times New Roman" w:cs="Times New Roman"/>
                <w:color w:val="000000"/>
                <w:lang w:eastAsia="en-GB"/>
              </w:rPr>
              <w:t>headteacher</w:t>
            </w:r>
            <w:proofErr w:type="spellEnd"/>
          </w:p>
        </w:tc>
        <w:tc>
          <w:tcPr>
            <w:tcW w:w="1140" w:type="dxa"/>
            <w:tcBorders>
              <w:top w:val="nil"/>
              <w:left w:val="nil"/>
              <w:bottom w:val="single" w:sz="8" w:space="0" w:color="auto"/>
              <w:right w:val="nil"/>
            </w:tcBorders>
            <w:noWrap/>
            <w:vAlign w:val="center"/>
            <w:hideMark/>
          </w:tcPr>
          <w:p w14:paraId="123A6EC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960" w:type="dxa"/>
            <w:tcBorders>
              <w:top w:val="nil"/>
              <w:left w:val="nil"/>
              <w:bottom w:val="single" w:sz="8" w:space="0" w:color="auto"/>
              <w:right w:val="nil"/>
            </w:tcBorders>
            <w:noWrap/>
            <w:vAlign w:val="center"/>
            <w:hideMark/>
          </w:tcPr>
          <w:p w14:paraId="66B8BED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1120" w:type="dxa"/>
            <w:tcBorders>
              <w:top w:val="nil"/>
              <w:left w:val="nil"/>
              <w:bottom w:val="single" w:sz="8" w:space="0" w:color="auto"/>
              <w:right w:val="nil"/>
            </w:tcBorders>
            <w:noWrap/>
            <w:vAlign w:val="center"/>
            <w:hideMark/>
          </w:tcPr>
          <w:p w14:paraId="587DB27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bl>
    <w:p w14:paraId="06ED72AB" w14:textId="2CB032CB" w:rsidR="009A6E37" w:rsidRDefault="00C93B24" w:rsidP="008B4E20">
      <w:pPr>
        <w:spacing w:line="240" w:lineRule="auto"/>
        <w:jc w:val="both"/>
      </w:pPr>
      <w:r>
        <w:rPr>
          <w:rFonts w:ascii="Times New Roman" w:hAnsi="Times New Roman" w:cs="Times New Roman"/>
          <w:sz w:val="20"/>
          <w:szCs w:val="20"/>
        </w:rPr>
        <w:t>Notes: Outcome variable = whether the teacher reports feel</w:t>
      </w:r>
      <w:r w:rsidR="0015487D">
        <w:rPr>
          <w:rFonts w:ascii="Times New Roman" w:hAnsi="Times New Roman" w:cs="Times New Roman"/>
          <w:sz w:val="20"/>
          <w:szCs w:val="20"/>
        </w:rPr>
        <w:t>ing</w:t>
      </w:r>
      <w:r>
        <w:rPr>
          <w:rFonts w:ascii="Times New Roman" w:hAnsi="Times New Roman" w:cs="Times New Roman"/>
          <w:sz w:val="20"/>
          <w:szCs w:val="20"/>
        </w:rPr>
        <w:t xml:space="preserve"> ‘quite a bit’ or ‘a lot’ o</w:t>
      </w:r>
      <w:r w:rsidR="0051132E">
        <w:rPr>
          <w:rFonts w:ascii="Times New Roman" w:hAnsi="Times New Roman" w:cs="Times New Roman"/>
          <w:sz w:val="20"/>
          <w:szCs w:val="20"/>
        </w:rPr>
        <w:t>f</w:t>
      </w:r>
      <w:r>
        <w:rPr>
          <w:rFonts w:ascii="Times New Roman" w:hAnsi="Times New Roman" w:cs="Times New Roman"/>
          <w:sz w:val="20"/>
          <w:szCs w:val="20"/>
        </w:rPr>
        <w:t xml:space="preserve"> stress (1) or not (0). Analysis based upon pooled TALIS 2018 lower-secondary data pooled across countries. Final teacher (senate) and BRR weights applied. Estimates refer to probability difference (45</w:t>
      </w:r>
      <w:r w:rsidR="0051132E">
        <w:rPr>
          <w:rFonts w:ascii="Times New Roman" w:hAnsi="Times New Roman" w:cs="Times New Roman"/>
          <w:sz w:val="20"/>
          <w:szCs w:val="20"/>
        </w:rPr>
        <w:t>%</w:t>
      </w:r>
      <w:r>
        <w:rPr>
          <w:rFonts w:ascii="Times New Roman" w:hAnsi="Times New Roman" w:cs="Times New Roman"/>
          <w:sz w:val="20"/>
          <w:szCs w:val="20"/>
        </w:rPr>
        <w:t xml:space="preserve"> of teachers report feeling stressed by accountability across countries). * indicates statistical significance at the </w:t>
      </w:r>
      <w:r w:rsidR="0051132E">
        <w:rPr>
          <w:rFonts w:ascii="Times New Roman" w:hAnsi="Times New Roman" w:cs="Times New Roman"/>
          <w:sz w:val="20"/>
          <w:szCs w:val="20"/>
        </w:rPr>
        <w:t>5%</w:t>
      </w:r>
      <w:r>
        <w:rPr>
          <w:rFonts w:ascii="Times New Roman" w:hAnsi="Times New Roman" w:cs="Times New Roman"/>
          <w:sz w:val="20"/>
          <w:szCs w:val="20"/>
        </w:rPr>
        <w:t xml:space="preserve"> level.</w:t>
      </w:r>
    </w:p>
    <w:p w14:paraId="2F4BF8B9" w14:textId="209E4A80" w:rsid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t xml:space="preserve">There appears to be a modest, positive association between the accountability-induced stress reported by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and by their staff. Across all model specifications, the difference in the probability of suffering accountability-induced stress is positive, with the coefficient statistically significant for the top category (</w:t>
      </w:r>
      <w:proofErr w:type="spellStart"/>
      <w:r>
        <w:rPr>
          <w:rFonts w:ascii="Times New Roman" w:hAnsi="Times New Roman" w:cs="Times New Roman"/>
          <w:szCs w:val="24"/>
        </w:rPr>
        <w:t>headteacher</w:t>
      </w:r>
      <w:proofErr w:type="spellEnd"/>
      <w:r>
        <w:rPr>
          <w:rFonts w:ascii="Times New Roman" w:hAnsi="Times New Roman" w:cs="Times New Roman"/>
          <w:szCs w:val="24"/>
        </w:rPr>
        <w:t xml:space="preserve"> feels </w:t>
      </w:r>
      <w:proofErr w:type="gramStart"/>
      <w:r>
        <w:rPr>
          <w:rFonts w:ascii="Times New Roman" w:hAnsi="Times New Roman" w:cs="Times New Roman"/>
          <w:szCs w:val="24"/>
        </w:rPr>
        <w:t>very</w:t>
      </w:r>
      <w:proofErr w:type="gramEnd"/>
      <w:r>
        <w:rPr>
          <w:rFonts w:ascii="Times New Roman" w:hAnsi="Times New Roman" w:cs="Times New Roman"/>
          <w:szCs w:val="24"/>
        </w:rPr>
        <w:t xml:space="preserve"> stressed) in M1 and M3</w:t>
      </w:r>
      <w:r>
        <w:rPr>
          <w:rStyle w:val="FootnoteReference"/>
          <w:rFonts w:ascii="Times New Roman" w:hAnsi="Times New Roman" w:cs="Times New Roman"/>
          <w:szCs w:val="24"/>
        </w:rPr>
        <w:footnoteReference w:id="32"/>
      </w:r>
      <w:r>
        <w:rPr>
          <w:rFonts w:ascii="Times New Roman" w:hAnsi="Times New Roman" w:cs="Times New Roman"/>
          <w:szCs w:val="24"/>
        </w:rPr>
        <w:t xml:space="preserve">. We should, however, emphasise that the magnitude of the estimated association is relatively modest; the results imply that the </w:t>
      </w:r>
      <w:proofErr w:type="spellStart"/>
      <w:r>
        <w:rPr>
          <w:rFonts w:ascii="Times New Roman" w:hAnsi="Times New Roman" w:cs="Times New Roman"/>
          <w:szCs w:val="24"/>
        </w:rPr>
        <w:t>headteacher</w:t>
      </w:r>
      <w:proofErr w:type="spellEnd"/>
      <w:r>
        <w:rPr>
          <w:rFonts w:ascii="Times New Roman" w:hAnsi="Times New Roman" w:cs="Times New Roman"/>
          <w:szCs w:val="24"/>
        </w:rPr>
        <w:t xml:space="preserve"> moving from the lowest stress category (</w:t>
      </w:r>
      <w:r w:rsidR="0051132E">
        <w:rPr>
          <w:rFonts w:ascii="Times New Roman" w:hAnsi="Times New Roman" w:cs="Times New Roman"/>
          <w:szCs w:val="24"/>
        </w:rPr>
        <w:t>‘</w:t>
      </w:r>
      <w:r>
        <w:rPr>
          <w:rFonts w:ascii="Times New Roman" w:hAnsi="Times New Roman" w:cs="Times New Roman"/>
          <w:szCs w:val="24"/>
        </w:rPr>
        <w:t>not at all</w:t>
      </w:r>
      <w:r w:rsidR="0051132E">
        <w:rPr>
          <w:rFonts w:ascii="Times New Roman" w:hAnsi="Times New Roman" w:cs="Times New Roman"/>
          <w:szCs w:val="24"/>
        </w:rPr>
        <w:t>’</w:t>
      </w:r>
      <w:r>
        <w:rPr>
          <w:rFonts w:ascii="Times New Roman" w:hAnsi="Times New Roman" w:cs="Times New Roman"/>
          <w:szCs w:val="24"/>
        </w:rPr>
        <w:t>) to the highest (</w:t>
      </w:r>
      <w:r w:rsidR="0051132E">
        <w:rPr>
          <w:rFonts w:ascii="Times New Roman" w:hAnsi="Times New Roman" w:cs="Times New Roman"/>
          <w:szCs w:val="24"/>
        </w:rPr>
        <w:t>‘</w:t>
      </w:r>
      <w:r>
        <w:rPr>
          <w:rFonts w:ascii="Times New Roman" w:hAnsi="Times New Roman" w:cs="Times New Roman"/>
          <w:szCs w:val="24"/>
        </w:rPr>
        <w:t>a lot</w:t>
      </w:r>
      <w:r w:rsidR="0051132E">
        <w:rPr>
          <w:rFonts w:ascii="Times New Roman" w:hAnsi="Times New Roman" w:cs="Times New Roman"/>
          <w:szCs w:val="24"/>
        </w:rPr>
        <w:t>’</w:t>
      </w:r>
      <w:r>
        <w:rPr>
          <w:rFonts w:ascii="Times New Roman" w:hAnsi="Times New Roman" w:cs="Times New Roman"/>
          <w:szCs w:val="24"/>
        </w:rPr>
        <w:t>) is associated with around a six</w:t>
      </w:r>
      <w:r w:rsidR="00D826FE">
        <w:rPr>
          <w:rFonts w:ascii="Times New Roman" w:hAnsi="Times New Roman" w:cs="Times New Roman"/>
          <w:szCs w:val="24"/>
        </w:rPr>
        <w:t>-</w:t>
      </w:r>
      <w:r>
        <w:rPr>
          <w:rFonts w:ascii="Times New Roman" w:hAnsi="Times New Roman" w:cs="Times New Roman"/>
          <w:szCs w:val="24"/>
        </w:rPr>
        <w:t>percentage-point increase in the percentage of teachers who report that accountability causes them stress. Jerrim et al</w:t>
      </w:r>
      <w:r w:rsidR="00D96F0B">
        <w:rPr>
          <w:rFonts w:ascii="Times New Roman" w:hAnsi="Times New Roman" w:cs="Times New Roman"/>
          <w:szCs w:val="24"/>
        </w:rPr>
        <w:t>.</w:t>
      </w:r>
      <w:r>
        <w:rPr>
          <w:rFonts w:ascii="Times New Roman" w:hAnsi="Times New Roman" w:cs="Times New Roman"/>
          <w:szCs w:val="24"/>
        </w:rPr>
        <w:t xml:space="preserve"> (2020c) also illustrates how emotional contagion of stress between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and staff is only strong in certain countries. Specifically, Australia, Belgium, Colombia, Denmark, Estonia, Japan, Kazakhstan, South Korea, New Zealand, Portugal, Russia, Slovak Republic, Slovenia and Sweden are examples of countries where teachers are particularly likely to report feeling more stressed about accountability when their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also feel stressed by this responsibility.</w:t>
      </w:r>
    </w:p>
    <w:p w14:paraId="3FC33860" w14:textId="5A65E433" w:rsid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lastRenderedPageBreak/>
        <w:t xml:space="preserve">A similar procedure is followed to investigate whether there appears to be </w:t>
      </w:r>
      <w:r w:rsidR="00D35C22">
        <w:rPr>
          <w:rFonts w:ascii="Times New Roman" w:hAnsi="Times New Roman" w:cs="Times New Roman"/>
          <w:szCs w:val="24"/>
        </w:rPr>
        <w:t>‘</w:t>
      </w:r>
      <w:r>
        <w:rPr>
          <w:rFonts w:ascii="Times New Roman" w:hAnsi="Times New Roman" w:cs="Times New Roman"/>
          <w:szCs w:val="24"/>
        </w:rPr>
        <w:t>emotional contagion</w:t>
      </w:r>
      <w:r w:rsidR="00D35C22">
        <w:rPr>
          <w:rFonts w:ascii="Times New Roman" w:hAnsi="Times New Roman" w:cs="Times New Roman"/>
          <w:szCs w:val="24"/>
        </w:rPr>
        <w:t>’</w:t>
      </w:r>
      <w:r>
        <w:rPr>
          <w:rFonts w:ascii="Times New Roman" w:hAnsi="Times New Roman" w:cs="Times New Roman"/>
          <w:szCs w:val="24"/>
        </w:rPr>
        <w:t xml:space="preserve"> of accountability stress amongst teaching staff. First, for each teacher, we calculate the stress levels of their peers (i.e. other teachers who completed the survey within their school). This is taken as the school average of the four-point question teachers were asked about stress due to accountability – having excluded each teacher’s own individual response. A logistic regression model has then been estimated, with this </w:t>
      </w:r>
      <w:r w:rsidR="00DB7402">
        <w:rPr>
          <w:rFonts w:ascii="Times New Roman" w:hAnsi="Times New Roman" w:cs="Times New Roman"/>
          <w:szCs w:val="24"/>
        </w:rPr>
        <w:t>‘</w:t>
      </w:r>
      <w:r>
        <w:rPr>
          <w:rFonts w:ascii="Times New Roman" w:hAnsi="Times New Roman" w:cs="Times New Roman"/>
          <w:szCs w:val="24"/>
        </w:rPr>
        <w:t>peer stress</w:t>
      </w:r>
      <w:r w:rsidR="00DB7402">
        <w:rPr>
          <w:rFonts w:ascii="Times New Roman" w:hAnsi="Times New Roman" w:cs="Times New Roman"/>
          <w:szCs w:val="24"/>
        </w:rPr>
        <w:t>’</w:t>
      </w:r>
      <w:r>
        <w:rPr>
          <w:rFonts w:ascii="Times New Roman" w:hAnsi="Times New Roman" w:cs="Times New Roman"/>
          <w:szCs w:val="24"/>
        </w:rPr>
        <w:t xml:space="preserve"> variable entered as a linear term. These results can be found in Table 11.4.</w:t>
      </w:r>
    </w:p>
    <w:p w14:paraId="3F56995C" w14:textId="77777777" w:rsidR="00C93B24" w:rsidRPr="00C93B24" w:rsidRDefault="00C93B24" w:rsidP="00C93B24">
      <w:pPr>
        <w:spacing w:line="240" w:lineRule="auto"/>
        <w:jc w:val="center"/>
        <w:rPr>
          <w:rFonts w:ascii="Times New Roman" w:hAnsi="Times New Roman" w:cs="Times New Roman"/>
          <w:b/>
          <w:sz w:val="24"/>
          <w:szCs w:val="24"/>
        </w:rPr>
      </w:pPr>
      <w:r w:rsidRPr="00C93B24">
        <w:rPr>
          <w:rFonts w:ascii="Times New Roman" w:hAnsi="Times New Roman" w:cs="Times New Roman"/>
          <w:b/>
          <w:sz w:val="24"/>
          <w:szCs w:val="24"/>
        </w:rPr>
        <w:t>Table 11.4 Emotional contagion. Are teachers more stressed about accountability when their colleagues are also stressed by it?</w:t>
      </w:r>
    </w:p>
    <w:tbl>
      <w:tblPr>
        <w:tblW w:w="7880" w:type="dxa"/>
        <w:jc w:val="center"/>
        <w:tblLook w:val="04A0" w:firstRow="1" w:lastRow="0" w:firstColumn="1" w:lastColumn="0" w:noHBand="0" w:noVBand="1"/>
      </w:tblPr>
      <w:tblGrid>
        <w:gridCol w:w="4040"/>
        <w:gridCol w:w="960"/>
        <w:gridCol w:w="960"/>
        <w:gridCol w:w="960"/>
        <w:gridCol w:w="960"/>
      </w:tblGrid>
      <w:tr w:rsidR="00C93B24" w14:paraId="1D8217E6" w14:textId="77777777" w:rsidTr="00C93B24">
        <w:trPr>
          <w:trHeight w:val="300"/>
          <w:jc w:val="center"/>
        </w:trPr>
        <w:tc>
          <w:tcPr>
            <w:tcW w:w="4040" w:type="dxa"/>
            <w:tcBorders>
              <w:top w:val="single" w:sz="4" w:space="0" w:color="auto"/>
              <w:left w:val="nil"/>
              <w:bottom w:val="single" w:sz="4" w:space="0" w:color="auto"/>
              <w:right w:val="nil"/>
            </w:tcBorders>
            <w:shd w:val="clear" w:color="auto" w:fill="B4C6E7"/>
            <w:noWrap/>
            <w:vAlign w:val="center"/>
            <w:hideMark/>
          </w:tcPr>
          <w:p w14:paraId="78463A22"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 </w:t>
            </w:r>
          </w:p>
        </w:tc>
        <w:tc>
          <w:tcPr>
            <w:tcW w:w="960" w:type="dxa"/>
            <w:tcBorders>
              <w:top w:val="single" w:sz="4" w:space="0" w:color="auto"/>
              <w:left w:val="nil"/>
              <w:bottom w:val="single" w:sz="4" w:space="0" w:color="auto"/>
              <w:right w:val="nil"/>
            </w:tcBorders>
            <w:shd w:val="clear" w:color="auto" w:fill="B4C6E7"/>
            <w:noWrap/>
            <w:vAlign w:val="center"/>
            <w:hideMark/>
          </w:tcPr>
          <w:p w14:paraId="393110C7"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M1</w:t>
            </w:r>
          </w:p>
        </w:tc>
        <w:tc>
          <w:tcPr>
            <w:tcW w:w="960" w:type="dxa"/>
            <w:tcBorders>
              <w:top w:val="single" w:sz="4" w:space="0" w:color="auto"/>
              <w:left w:val="nil"/>
              <w:bottom w:val="single" w:sz="4" w:space="0" w:color="auto"/>
              <w:right w:val="nil"/>
            </w:tcBorders>
            <w:shd w:val="clear" w:color="auto" w:fill="B4C6E7"/>
            <w:noWrap/>
            <w:vAlign w:val="center"/>
            <w:hideMark/>
          </w:tcPr>
          <w:p w14:paraId="2A5D87D3"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M2</w:t>
            </w:r>
          </w:p>
        </w:tc>
        <w:tc>
          <w:tcPr>
            <w:tcW w:w="960" w:type="dxa"/>
            <w:tcBorders>
              <w:top w:val="single" w:sz="4" w:space="0" w:color="auto"/>
              <w:left w:val="nil"/>
              <w:bottom w:val="single" w:sz="4" w:space="0" w:color="auto"/>
              <w:right w:val="nil"/>
            </w:tcBorders>
            <w:shd w:val="clear" w:color="auto" w:fill="B4C6E7"/>
            <w:noWrap/>
            <w:vAlign w:val="center"/>
            <w:hideMark/>
          </w:tcPr>
          <w:p w14:paraId="613061D9"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M3</w:t>
            </w:r>
          </w:p>
        </w:tc>
        <w:tc>
          <w:tcPr>
            <w:tcW w:w="960" w:type="dxa"/>
            <w:tcBorders>
              <w:top w:val="single" w:sz="4" w:space="0" w:color="auto"/>
              <w:left w:val="nil"/>
              <w:bottom w:val="single" w:sz="4" w:space="0" w:color="auto"/>
              <w:right w:val="nil"/>
            </w:tcBorders>
            <w:shd w:val="clear" w:color="auto" w:fill="B4C6E7"/>
            <w:noWrap/>
            <w:vAlign w:val="center"/>
            <w:hideMark/>
          </w:tcPr>
          <w:p w14:paraId="1826A484"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M4</w:t>
            </w:r>
          </w:p>
        </w:tc>
      </w:tr>
      <w:tr w:rsidR="00C93B24" w14:paraId="3A5EBB84" w14:textId="77777777" w:rsidTr="00C93B24">
        <w:trPr>
          <w:trHeight w:val="300"/>
          <w:jc w:val="center"/>
        </w:trPr>
        <w:tc>
          <w:tcPr>
            <w:tcW w:w="4040" w:type="dxa"/>
            <w:noWrap/>
            <w:vAlign w:val="center"/>
            <w:hideMark/>
          </w:tcPr>
          <w:p w14:paraId="22DB9205"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Accountability stress of colleagues</w:t>
            </w:r>
          </w:p>
        </w:tc>
        <w:tc>
          <w:tcPr>
            <w:tcW w:w="960" w:type="dxa"/>
            <w:noWrap/>
            <w:vAlign w:val="center"/>
            <w:hideMark/>
          </w:tcPr>
          <w:p w14:paraId="5C7D9DE2" w14:textId="77777777" w:rsidR="00C93B24" w:rsidRDefault="00C93B24">
            <w:pPr>
              <w:rPr>
                <w:rFonts w:ascii="Times New Roman" w:eastAsia="Times New Roman" w:hAnsi="Times New Roman" w:cs="Times New Roman"/>
                <w:b/>
                <w:bCs/>
                <w:color w:val="000000"/>
                <w:lang w:eastAsia="en-GB"/>
              </w:rPr>
            </w:pPr>
          </w:p>
        </w:tc>
        <w:tc>
          <w:tcPr>
            <w:tcW w:w="960" w:type="dxa"/>
            <w:noWrap/>
            <w:vAlign w:val="center"/>
            <w:hideMark/>
          </w:tcPr>
          <w:p w14:paraId="5A1EDFA9" w14:textId="77777777" w:rsidR="00C93B24" w:rsidRDefault="00C93B24">
            <w:pPr>
              <w:spacing w:after="0"/>
              <w:rPr>
                <w:sz w:val="20"/>
                <w:szCs w:val="20"/>
                <w:lang w:eastAsia="en-GB"/>
              </w:rPr>
            </w:pPr>
          </w:p>
        </w:tc>
        <w:tc>
          <w:tcPr>
            <w:tcW w:w="960" w:type="dxa"/>
            <w:noWrap/>
            <w:vAlign w:val="center"/>
            <w:hideMark/>
          </w:tcPr>
          <w:p w14:paraId="6D773A32" w14:textId="77777777" w:rsidR="00C93B24" w:rsidRDefault="00C93B24">
            <w:pPr>
              <w:spacing w:after="0"/>
              <w:rPr>
                <w:sz w:val="20"/>
                <w:szCs w:val="20"/>
                <w:lang w:eastAsia="en-GB"/>
              </w:rPr>
            </w:pPr>
          </w:p>
        </w:tc>
        <w:tc>
          <w:tcPr>
            <w:tcW w:w="960" w:type="dxa"/>
            <w:noWrap/>
            <w:vAlign w:val="center"/>
            <w:hideMark/>
          </w:tcPr>
          <w:p w14:paraId="12008E46" w14:textId="77777777" w:rsidR="00C93B24" w:rsidRDefault="00C93B24">
            <w:pPr>
              <w:spacing w:after="0"/>
              <w:rPr>
                <w:sz w:val="20"/>
                <w:szCs w:val="20"/>
                <w:lang w:eastAsia="en-GB"/>
              </w:rPr>
            </w:pPr>
          </w:p>
        </w:tc>
      </w:tr>
      <w:tr w:rsidR="00C93B24" w14:paraId="02E6DD6E" w14:textId="77777777" w:rsidTr="00C93B24">
        <w:trPr>
          <w:trHeight w:val="315"/>
          <w:jc w:val="center"/>
        </w:trPr>
        <w:tc>
          <w:tcPr>
            <w:tcW w:w="4040" w:type="dxa"/>
            <w:tcBorders>
              <w:top w:val="nil"/>
              <w:left w:val="nil"/>
              <w:bottom w:val="single" w:sz="8" w:space="0" w:color="auto"/>
              <w:right w:val="nil"/>
            </w:tcBorders>
            <w:noWrap/>
            <w:vAlign w:val="center"/>
            <w:hideMark/>
          </w:tcPr>
          <w:p w14:paraId="5F4C979C"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Per one category increase</w:t>
            </w:r>
          </w:p>
        </w:tc>
        <w:tc>
          <w:tcPr>
            <w:tcW w:w="960" w:type="dxa"/>
            <w:tcBorders>
              <w:top w:val="nil"/>
              <w:left w:val="nil"/>
              <w:bottom w:val="single" w:sz="8" w:space="0" w:color="auto"/>
              <w:right w:val="nil"/>
            </w:tcBorders>
            <w:vAlign w:val="center"/>
            <w:hideMark/>
          </w:tcPr>
          <w:p w14:paraId="186121A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15.4%*</w:t>
            </w:r>
          </w:p>
        </w:tc>
        <w:tc>
          <w:tcPr>
            <w:tcW w:w="960" w:type="dxa"/>
            <w:tcBorders>
              <w:top w:val="nil"/>
              <w:left w:val="nil"/>
              <w:bottom w:val="single" w:sz="8" w:space="0" w:color="auto"/>
              <w:right w:val="nil"/>
            </w:tcBorders>
            <w:vAlign w:val="center"/>
            <w:hideMark/>
          </w:tcPr>
          <w:p w14:paraId="6154BF4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12.7%*</w:t>
            </w:r>
          </w:p>
        </w:tc>
        <w:tc>
          <w:tcPr>
            <w:tcW w:w="960" w:type="dxa"/>
            <w:tcBorders>
              <w:top w:val="nil"/>
              <w:left w:val="nil"/>
              <w:bottom w:val="single" w:sz="8" w:space="0" w:color="auto"/>
              <w:right w:val="nil"/>
            </w:tcBorders>
            <w:vAlign w:val="center"/>
            <w:hideMark/>
          </w:tcPr>
          <w:p w14:paraId="0B3C2A0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12.8%*</w:t>
            </w:r>
          </w:p>
        </w:tc>
        <w:tc>
          <w:tcPr>
            <w:tcW w:w="960" w:type="dxa"/>
            <w:tcBorders>
              <w:top w:val="nil"/>
              <w:left w:val="nil"/>
              <w:bottom w:val="single" w:sz="8" w:space="0" w:color="auto"/>
              <w:right w:val="nil"/>
            </w:tcBorders>
            <w:vAlign w:val="center"/>
            <w:hideMark/>
          </w:tcPr>
          <w:p w14:paraId="1E24C00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15.9%*</w:t>
            </w:r>
          </w:p>
        </w:tc>
      </w:tr>
      <w:tr w:rsidR="00C93B24" w14:paraId="31AAF7E3" w14:textId="77777777" w:rsidTr="00C93B24">
        <w:trPr>
          <w:trHeight w:val="315"/>
          <w:jc w:val="center"/>
        </w:trPr>
        <w:tc>
          <w:tcPr>
            <w:tcW w:w="4040" w:type="dxa"/>
            <w:tcBorders>
              <w:top w:val="nil"/>
              <w:left w:val="nil"/>
              <w:bottom w:val="single" w:sz="8" w:space="0" w:color="auto"/>
              <w:right w:val="nil"/>
            </w:tcBorders>
            <w:noWrap/>
            <w:vAlign w:val="center"/>
            <w:hideMark/>
          </w:tcPr>
          <w:p w14:paraId="6DC96A1F"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N</w:t>
            </w:r>
          </w:p>
        </w:tc>
        <w:tc>
          <w:tcPr>
            <w:tcW w:w="960" w:type="dxa"/>
            <w:tcBorders>
              <w:top w:val="nil"/>
              <w:left w:val="nil"/>
              <w:bottom w:val="single" w:sz="8" w:space="0" w:color="auto"/>
              <w:right w:val="nil"/>
            </w:tcBorders>
            <w:noWrap/>
            <w:vAlign w:val="center"/>
            <w:hideMark/>
          </w:tcPr>
          <w:p w14:paraId="62F92B10"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133,448</w:t>
            </w:r>
          </w:p>
        </w:tc>
        <w:tc>
          <w:tcPr>
            <w:tcW w:w="960" w:type="dxa"/>
            <w:tcBorders>
              <w:top w:val="nil"/>
              <w:left w:val="nil"/>
              <w:bottom w:val="single" w:sz="8" w:space="0" w:color="auto"/>
              <w:right w:val="nil"/>
            </w:tcBorders>
            <w:noWrap/>
            <w:vAlign w:val="center"/>
            <w:hideMark/>
          </w:tcPr>
          <w:p w14:paraId="0BF5E2B3"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132,863</w:t>
            </w:r>
          </w:p>
        </w:tc>
        <w:tc>
          <w:tcPr>
            <w:tcW w:w="960" w:type="dxa"/>
            <w:tcBorders>
              <w:top w:val="nil"/>
              <w:left w:val="nil"/>
              <w:bottom w:val="single" w:sz="8" w:space="0" w:color="auto"/>
              <w:right w:val="nil"/>
            </w:tcBorders>
            <w:noWrap/>
            <w:vAlign w:val="center"/>
            <w:hideMark/>
          </w:tcPr>
          <w:p w14:paraId="7306B75A"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132,151</w:t>
            </w:r>
          </w:p>
        </w:tc>
        <w:tc>
          <w:tcPr>
            <w:tcW w:w="960" w:type="dxa"/>
            <w:tcBorders>
              <w:top w:val="nil"/>
              <w:left w:val="nil"/>
              <w:bottom w:val="single" w:sz="8" w:space="0" w:color="auto"/>
              <w:right w:val="nil"/>
            </w:tcBorders>
            <w:noWrap/>
            <w:vAlign w:val="center"/>
            <w:hideMark/>
          </w:tcPr>
          <w:p w14:paraId="63B4FF17"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131,086</w:t>
            </w:r>
          </w:p>
        </w:tc>
      </w:tr>
      <w:tr w:rsidR="00C93B24" w14:paraId="4A3E160C" w14:textId="77777777" w:rsidTr="00C93B24">
        <w:trPr>
          <w:trHeight w:val="300"/>
          <w:jc w:val="center"/>
        </w:trPr>
        <w:tc>
          <w:tcPr>
            <w:tcW w:w="4040" w:type="dxa"/>
            <w:noWrap/>
            <w:vAlign w:val="center"/>
            <w:hideMark/>
          </w:tcPr>
          <w:p w14:paraId="06F493D7" w14:textId="77777777"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Controls</w:t>
            </w:r>
          </w:p>
        </w:tc>
        <w:tc>
          <w:tcPr>
            <w:tcW w:w="960" w:type="dxa"/>
            <w:noWrap/>
            <w:vAlign w:val="center"/>
            <w:hideMark/>
          </w:tcPr>
          <w:p w14:paraId="6FD84072" w14:textId="77777777" w:rsidR="00C93B24" w:rsidRDefault="00C93B24">
            <w:pPr>
              <w:rPr>
                <w:rFonts w:ascii="Times New Roman" w:eastAsia="Times New Roman" w:hAnsi="Times New Roman" w:cs="Times New Roman"/>
                <w:b/>
                <w:bCs/>
                <w:color w:val="000000"/>
                <w:lang w:eastAsia="en-GB"/>
              </w:rPr>
            </w:pPr>
          </w:p>
        </w:tc>
        <w:tc>
          <w:tcPr>
            <w:tcW w:w="960" w:type="dxa"/>
            <w:noWrap/>
            <w:vAlign w:val="center"/>
            <w:hideMark/>
          </w:tcPr>
          <w:p w14:paraId="562D4F19" w14:textId="77777777" w:rsidR="00C93B24" w:rsidRDefault="00C93B24">
            <w:pPr>
              <w:spacing w:after="0"/>
              <w:rPr>
                <w:sz w:val="20"/>
                <w:szCs w:val="20"/>
                <w:lang w:eastAsia="en-GB"/>
              </w:rPr>
            </w:pPr>
          </w:p>
        </w:tc>
        <w:tc>
          <w:tcPr>
            <w:tcW w:w="960" w:type="dxa"/>
            <w:noWrap/>
            <w:vAlign w:val="center"/>
            <w:hideMark/>
          </w:tcPr>
          <w:p w14:paraId="23404B53" w14:textId="77777777" w:rsidR="00C93B24" w:rsidRDefault="00C93B24">
            <w:pPr>
              <w:spacing w:after="0"/>
              <w:rPr>
                <w:sz w:val="20"/>
                <w:szCs w:val="20"/>
                <w:lang w:eastAsia="en-GB"/>
              </w:rPr>
            </w:pPr>
          </w:p>
        </w:tc>
        <w:tc>
          <w:tcPr>
            <w:tcW w:w="960" w:type="dxa"/>
            <w:noWrap/>
            <w:vAlign w:val="center"/>
            <w:hideMark/>
          </w:tcPr>
          <w:p w14:paraId="74966F70" w14:textId="77777777" w:rsidR="00C93B24" w:rsidRDefault="00C93B24">
            <w:pPr>
              <w:spacing w:after="0"/>
              <w:rPr>
                <w:sz w:val="20"/>
                <w:szCs w:val="20"/>
                <w:lang w:eastAsia="en-GB"/>
              </w:rPr>
            </w:pPr>
          </w:p>
        </w:tc>
      </w:tr>
      <w:tr w:rsidR="00C93B24" w14:paraId="5814B85E" w14:textId="77777777" w:rsidTr="00C93B24">
        <w:trPr>
          <w:trHeight w:val="300"/>
          <w:jc w:val="center"/>
        </w:trPr>
        <w:tc>
          <w:tcPr>
            <w:tcW w:w="4040" w:type="dxa"/>
            <w:noWrap/>
            <w:vAlign w:val="center"/>
            <w:hideMark/>
          </w:tcPr>
          <w:p w14:paraId="4AE095A9"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Country dummies</w:t>
            </w:r>
          </w:p>
        </w:tc>
        <w:tc>
          <w:tcPr>
            <w:tcW w:w="960" w:type="dxa"/>
            <w:noWrap/>
            <w:vAlign w:val="center"/>
            <w:hideMark/>
          </w:tcPr>
          <w:p w14:paraId="24DA634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691FE12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070C814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05C7ABC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116D082D" w14:textId="77777777" w:rsidTr="00C93B24">
        <w:trPr>
          <w:trHeight w:val="300"/>
          <w:jc w:val="center"/>
        </w:trPr>
        <w:tc>
          <w:tcPr>
            <w:tcW w:w="4040" w:type="dxa"/>
            <w:noWrap/>
            <w:vAlign w:val="center"/>
            <w:hideMark/>
          </w:tcPr>
          <w:p w14:paraId="2DF1E343"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School location dummies</w:t>
            </w:r>
          </w:p>
        </w:tc>
        <w:tc>
          <w:tcPr>
            <w:tcW w:w="960" w:type="dxa"/>
            <w:noWrap/>
            <w:vAlign w:val="center"/>
            <w:hideMark/>
          </w:tcPr>
          <w:p w14:paraId="33A8578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C31EBB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022CD55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0D01999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0F8C7F14" w14:textId="77777777" w:rsidTr="00C93B24">
        <w:trPr>
          <w:trHeight w:val="300"/>
          <w:jc w:val="center"/>
        </w:trPr>
        <w:tc>
          <w:tcPr>
            <w:tcW w:w="4040" w:type="dxa"/>
            <w:noWrap/>
            <w:vAlign w:val="center"/>
            <w:hideMark/>
          </w:tcPr>
          <w:p w14:paraId="1EDF6F2C"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School lack of resources scale</w:t>
            </w:r>
          </w:p>
        </w:tc>
        <w:tc>
          <w:tcPr>
            <w:tcW w:w="960" w:type="dxa"/>
            <w:noWrap/>
            <w:vAlign w:val="center"/>
            <w:hideMark/>
          </w:tcPr>
          <w:p w14:paraId="7CB8A47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28B4C2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44F461D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6E5A0C0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61B3CDB9" w14:textId="77777777" w:rsidTr="00C93B24">
        <w:trPr>
          <w:trHeight w:val="300"/>
          <w:jc w:val="center"/>
        </w:trPr>
        <w:tc>
          <w:tcPr>
            <w:tcW w:w="4040" w:type="dxa"/>
            <w:noWrap/>
            <w:vAlign w:val="center"/>
            <w:hideMark/>
          </w:tcPr>
          <w:p w14:paraId="1BF3D299"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Pupil:teacher</w:t>
            </w:r>
            <w:proofErr w:type="spellEnd"/>
            <w:r>
              <w:rPr>
                <w:rFonts w:ascii="Times New Roman" w:eastAsia="Times New Roman" w:hAnsi="Times New Roman" w:cs="Times New Roman"/>
                <w:color w:val="000000"/>
                <w:lang w:eastAsia="en-GB"/>
              </w:rPr>
              <w:t xml:space="preserve"> ratio</w:t>
            </w:r>
          </w:p>
        </w:tc>
        <w:tc>
          <w:tcPr>
            <w:tcW w:w="960" w:type="dxa"/>
            <w:noWrap/>
            <w:vAlign w:val="center"/>
            <w:hideMark/>
          </w:tcPr>
          <w:p w14:paraId="73E2F12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644945A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6A01AFD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DC4CB3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1359004A" w14:textId="77777777" w:rsidTr="00C93B24">
        <w:trPr>
          <w:trHeight w:val="300"/>
          <w:jc w:val="center"/>
        </w:trPr>
        <w:tc>
          <w:tcPr>
            <w:tcW w:w="4040" w:type="dxa"/>
            <w:noWrap/>
            <w:vAlign w:val="center"/>
            <w:hideMark/>
          </w:tcPr>
          <w:p w14:paraId="49E81184"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Teacher:TA</w:t>
            </w:r>
            <w:proofErr w:type="spellEnd"/>
            <w:r>
              <w:rPr>
                <w:rFonts w:ascii="Times New Roman" w:eastAsia="Times New Roman" w:hAnsi="Times New Roman" w:cs="Times New Roman"/>
                <w:color w:val="000000"/>
                <w:lang w:eastAsia="en-GB"/>
              </w:rPr>
              <w:t xml:space="preserve"> ratio</w:t>
            </w:r>
          </w:p>
        </w:tc>
        <w:tc>
          <w:tcPr>
            <w:tcW w:w="960" w:type="dxa"/>
            <w:noWrap/>
            <w:vAlign w:val="center"/>
            <w:hideMark/>
          </w:tcPr>
          <w:p w14:paraId="66F4D09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8F3105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7FC5B6A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EFC626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09AF2566" w14:textId="77777777" w:rsidTr="00C93B24">
        <w:trPr>
          <w:trHeight w:val="300"/>
          <w:jc w:val="center"/>
        </w:trPr>
        <w:tc>
          <w:tcPr>
            <w:tcW w:w="4040" w:type="dxa"/>
            <w:noWrap/>
            <w:vAlign w:val="center"/>
            <w:hideMark/>
          </w:tcPr>
          <w:p w14:paraId="586CC0B1"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Teacher:Admin</w:t>
            </w:r>
            <w:proofErr w:type="spellEnd"/>
            <w:r>
              <w:rPr>
                <w:rFonts w:ascii="Times New Roman" w:eastAsia="Times New Roman" w:hAnsi="Times New Roman" w:cs="Times New Roman"/>
                <w:color w:val="000000"/>
                <w:lang w:eastAsia="en-GB"/>
              </w:rPr>
              <w:t xml:space="preserve"> ratio</w:t>
            </w:r>
          </w:p>
        </w:tc>
        <w:tc>
          <w:tcPr>
            <w:tcW w:w="960" w:type="dxa"/>
            <w:noWrap/>
            <w:vAlign w:val="center"/>
            <w:hideMark/>
          </w:tcPr>
          <w:p w14:paraId="5F292DC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49CDFF3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7EC4A53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904013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140E6D08" w14:textId="77777777" w:rsidTr="00C93B24">
        <w:trPr>
          <w:trHeight w:val="300"/>
          <w:jc w:val="center"/>
        </w:trPr>
        <w:tc>
          <w:tcPr>
            <w:tcW w:w="4040" w:type="dxa"/>
            <w:noWrap/>
            <w:vAlign w:val="center"/>
            <w:hideMark/>
          </w:tcPr>
          <w:p w14:paraId="1F3A770C" w14:textId="4DE1F74F"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of immigrant/disadvantaged pupils</w:t>
            </w:r>
          </w:p>
        </w:tc>
        <w:tc>
          <w:tcPr>
            <w:tcW w:w="960" w:type="dxa"/>
            <w:noWrap/>
            <w:vAlign w:val="center"/>
            <w:hideMark/>
          </w:tcPr>
          <w:p w14:paraId="20F5DBA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12F87CC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61D7690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1FE44A9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1CB062CE" w14:textId="77777777" w:rsidTr="00C93B24">
        <w:trPr>
          <w:trHeight w:val="300"/>
          <w:jc w:val="center"/>
        </w:trPr>
        <w:tc>
          <w:tcPr>
            <w:tcW w:w="4040" w:type="dxa"/>
            <w:noWrap/>
            <w:vAlign w:val="center"/>
            <w:hideMark/>
          </w:tcPr>
          <w:p w14:paraId="08798E26" w14:textId="77777777" w:rsidR="00C93B24" w:rsidRDefault="00C93B24">
            <w:pPr>
              <w:spacing w:after="0" w:line="240" w:lineRule="auto"/>
              <w:rPr>
                <w:rFonts w:ascii="Times New Roman" w:eastAsia="Times New Roman" w:hAnsi="Times New Roman" w:cs="Times New Roman"/>
                <w:color w:val="000000"/>
                <w:lang w:eastAsia="en-GB"/>
              </w:rPr>
            </w:pPr>
            <w:proofErr w:type="spellStart"/>
            <w:r>
              <w:rPr>
                <w:rFonts w:ascii="Times New Roman" w:eastAsia="Times New Roman" w:hAnsi="Times New Roman" w:cs="Times New Roman"/>
                <w:color w:val="000000"/>
                <w:lang w:eastAsia="en-GB"/>
              </w:rPr>
              <w:t>Headteacher</w:t>
            </w:r>
            <w:proofErr w:type="spellEnd"/>
            <w:r>
              <w:rPr>
                <w:rFonts w:ascii="Times New Roman" w:eastAsia="Times New Roman" w:hAnsi="Times New Roman" w:cs="Times New Roman"/>
                <w:color w:val="000000"/>
                <w:lang w:eastAsia="en-GB"/>
              </w:rPr>
              <w:t xml:space="preserve"> experience</w:t>
            </w:r>
          </w:p>
        </w:tc>
        <w:tc>
          <w:tcPr>
            <w:tcW w:w="960" w:type="dxa"/>
            <w:noWrap/>
            <w:vAlign w:val="center"/>
            <w:hideMark/>
          </w:tcPr>
          <w:p w14:paraId="3A4EEAC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0092674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0B91007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4CB776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2B518F2E" w14:textId="77777777" w:rsidTr="00C93B24">
        <w:trPr>
          <w:trHeight w:val="300"/>
          <w:jc w:val="center"/>
        </w:trPr>
        <w:tc>
          <w:tcPr>
            <w:tcW w:w="4040" w:type="dxa"/>
            <w:noWrap/>
            <w:vAlign w:val="center"/>
            <w:hideMark/>
          </w:tcPr>
          <w:p w14:paraId="35CB336E"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Teacher experience + demographics</w:t>
            </w:r>
          </w:p>
        </w:tc>
        <w:tc>
          <w:tcPr>
            <w:tcW w:w="960" w:type="dxa"/>
            <w:noWrap/>
            <w:vAlign w:val="center"/>
            <w:hideMark/>
          </w:tcPr>
          <w:p w14:paraId="4F80DE7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1DE2B34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1D055C6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71B7981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159C5AF7" w14:textId="77777777" w:rsidTr="00C93B24">
        <w:trPr>
          <w:trHeight w:val="300"/>
          <w:jc w:val="center"/>
        </w:trPr>
        <w:tc>
          <w:tcPr>
            <w:tcW w:w="4040" w:type="dxa"/>
            <w:noWrap/>
            <w:vAlign w:val="center"/>
            <w:hideMark/>
          </w:tcPr>
          <w:p w14:paraId="72EEAACE"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Other sources of stress for the teacher</w:t>
            </w:r>
          </w:p>
        </w:tc>
        <w:tc>
          <w:tcPr>
            <w:tcW w:w="960" w:type="dxa"/>
            <w:noWrap/>
            <w:vAlign w:val="center"/>
            <w:hideMark/>
          </w:tcPr>
          <w:p w14:paraId="491B8B8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960" w:type="dxa"/>
            <w:noWrap/>
            <w:vAlign w:val="center"/>
            <w:hideMark/>
          </w:tcPr>
          <w:p w14:paraId="40C4D36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9EFA91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5A37469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64340D2C" w14:textId="77777777" w:rsidTr="00C93B24">
        <w:trPr>
          <w:trHeight w:val="300"/>
          <w:jc w:val="center"/>
        </w:trPr>
        <w:tc>
          <w:tcPr>
            <w:tcW w:w="4040" w:type="dxa"/>
            <w:noWrap/>
            <w:vAlign w:val="center"/>
            <w:hideMark/>
          </w:tcPr>
          <w:p w14:paraId="2A5A611E"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Other sources of stress for the </w:t>
            </w:r>
            <w:proofErr w:type="spellStart"/>
            <w:r>
              <w:rPr>
                <w:rFonts w:ascii="Times New Roman" w:eastAsia="Times New Roman" w:hAnsi="Times New Roman" w:cs="Times New Roman"/>
                <w:color w:val="000000"/>
                <w:lang w:eastAsia="en-GB"/>
              </w:rPr>
              <w:t>headteacher</w:t>
            </w:r>
            <w:proofErr w:type="spellEnd"/>
          </w:p>
        </w:tc>
        <w:tc>
          <w:tcPr>
            <w:tcW w:w="960" w:type="dxa"/>
            <w:noWrap/>
            <w:vAlign w:val="center"/>
            <w:hideMark/>
          </w:tcPr>
          <w:p w14:paraId="684C75E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960" w:type="dxa"/>
            <w:noWrap/>
            <w:vAlign w:val="center"/>
            <w:hideMark/>
          </w:tcPr>
          <w:p w14:paraId="58539C4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960" w:type="dxa"/>
            <w:noWrap/>
            <w:vAlign w:val="center"/>
            <w:hideMark/>
          </w:tcPr>
          <w:p w14:paraId="1A9FDBB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c>
          <w:tcPr>
            <w:tcW w:w="960" w:type="dxa"/>
            <w:noWrap/>
            <w:vAlign w:val="center"/>
            <w:hideMark/>
          </w:tcPr>
          <w:p w14:paraId="01BDAA1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r w:rsidR="00C93B24" w14:paraId="380A9F07" w14:textId="77777777" w:rsidTr="00C93B24">
        <w:trPr>
          <w:trHeight w:val="315"/>
          <w:jc w:val="center"/>
        </w:trPr>
        <w:tc>
          <w:tcPr>
            <w:tcW w:w="4040" w:type="dxa"/>
            <w:tcBorders>
              <w:top w:val="nil"/>
              <w:left w:val="nil"/>
              <w:bottom w:val="single" w:sz="8" w:space="0" w:color="auto"/>
              <w:right w:val="nil"/>
            </w:tcBorders>
            <w:noWrap/>
            <w:vAlign w:val="center"/>
            <w:hideMark/>
          </w:tcPr>
          <w:p w14:paraId="3BEA4DBE"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Other sources of stress for colleagues</w:t>
            </w:r>
          </w:p>
        </w:tc>
        <w:tc>
          <w:tcPr>
            <w:tcW w:w="960" w:type="dxa"/>
            <w:tcBorders>
              <w:top w:val="nil"/>
              <w:left w:val="nil"/>
              <w:bottom w:val="single" w:sz="8" w:space="0" w:color="auto"/>
              <w:right w:val="nil"/>
            </w:tcBorders>
            <w:noWrap/>
            <w:vAlign w:val="center"/>
            <w:hideMark/>
          </w:tcPr>
          <w:p w14:paraId="26B54D1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960" w:type="dxa"/>
            <w:tcBorders>
              <w:top w:val="nil"/>
              <w:left w:val="nil"/>
              <w:bottom w:val="single" w:sz="8" w:space="0" w:color="auto"/>
              <w:right w:val="nil"/>
            </w:tcBorders>
            <w:noWrap/>
            <w:vAlign w:val="center"/>
            <w:hideMark/>
          </w:tcPr>
          <w:p w14:paraId="145A2CE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960" w:type="dxa"/>
            <w:tcBorders>
              <w:top w:val="nil"/>
              <w:left w:val="nil"/>
              <w:bottom w:val="single" w:sz="8" w:space="0" w:color="auto"/>
              <w:right w:val="nil"/>
            </w:tcBorders>
            <w:noWrap/>
            <w:vAlign w:val="center"/>
            <w:hideMark/>
          </w:tcPr>
          <w:p w14:paraId="6278E4A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w:t>
            </w:r>
          </w:p>
        </w:tc>
        <w:tc>
          <w:tcPr>
            <w:tcW w:w="960" w:type="dxa"/>
            <w:tcBorders>
              <w:top w:val="nil"/>
              <w:left w:val="nil"/>
              <w:bottom w:val="single" w:sz="8" w:space="0" w:color="auto"/>
              <w:right w:val="nil"/>
            </w:tcBorders>
            <w:noWrap/>
            <w:vAlign w:val="center"/>
            <w:hideMark/>
          </w:tcPr>
          <w:p w14:paraId="52E8622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Y</w:t>
            </w:r>
          </w:p>
        </w:tc>
      </w:tr>
    </w:tbl>
    <w:p w14:paraId="54AB5F44" w14:textId="04C86123" w:rsidR="00C93B24" w:rsidRDefault="00C93B24" w:rsidP="008B4E20">
      <w:pPr>
        <w:spacing w:after="240" w:line="240" w:lineRule="auto"/>
        <w:jc w:val="both"/>
      </w:pPr>
      <w:r>
        <w:rPr>
          <w:rFonts w:ascii="Times New Roman" w:hAnsi="Times New Roman" w:cs="Times New Roman"/>
          <w:sz w:val="20"/>
          <w:szCs w:val="20"/>
        </w:rPr>
        <w:t>Notes: Outcome variable = whether the teacher reports feel</w:t>
      </w:r>
      <w:r w:rsidR="00DB7402">
        <w:rPr>
          <w:rFonts w:ascii="Times New Roman" w:hAnsi="Times New Roman" w:cs="Times New Roman"/>
          <w:sz w:val="20"/>
          <w:szCs w:val="20"/>
        </w:rPr>
        <w:t>ing</w:t>
      </w:r>
      <w:r>
        <w:rPr>
          <w:rFonts w:ascii="Times New Roman" w:hAnsi="Times New Roman" w:cs="Times New Roman"/>
          <w:sz w:val="20"/>
          <w:szCs w:val="20"/>
        </w:rPr>
        <w:t xml:space="preserve"> ‘quite a bit’ or ‘a lot’ or stress (1) or not (0). Analysis based upon pooled TALIS 2018 lower-secondary data pooled across countries. Final teacher (senate) and BRR weights applied. Estimates refer to probability difference per one</w:t>
      </w:r>
      <w:r w:rsidR="003B669D">
        <w:rPr>
          <w:rFonts w:ascii="Times New Roman" w:hAnsi="Times New Roman" w:cs="Times New Roman"/>
          <w:sz w:val="20"/>
          <w:szCs w:val="20"/>
        </w:rPr>
        <w:t>-</w:t>
      </w:r>
      <w:r>
        <w:rPr>
          <w:rFonts w:ascii="Times New Roman" w:hAnsi="Times New Roman" w:cs="Times New Roman"/>
          <w:sz w:val="20"/>
          <w:szCs w:val="20"/>
        </w:rPr>
        <w:t>category increase in colleagues</w:t>
      </w:r>
      <w:r w:rsidR="003B669D">
        <w:rPr>
          <w:rFonts w:ascii="Times New Roman" w:hAnsi="Times New Roman" w:cs="Times New Roman"/>
          <w:sz w:val="20"/>
          <w:szCs w:val="20"/>
        </w:rPr>
        <w:t>’</w:t>
      </w:r>
      <w:r>
        <w:rPr>
          <w:rFonts w:ascii="Times New Roman" w:hAnsi="Times New Roman" w:cs="Times New Roman"/>
          <w:sz w:val="20"/>
          <w:szCs w:val="20"/>
        </w:rPr>
        <w:t xml:space="preserve"> stress about accountability (e.g. the colleagues of a teacher typically saying that they suffer stress due to accountability </w:t>
      </w:r>
      <w:r w:rsidR="003B669D">
        <w:rPr>
          <w:rFonts w:ascii="Times New Roman" w:hAnsi="Times New Roman" w:cs="Times New Roman"/>
          <w:sz w:val="20"/>
          <w:szCs w:val="20"/>
        </w:rPr>
        <w:t>‘</w:t>
      </w:r>
      <w:r>
        <w:rPr>
          <w:rFonts w:ascii="Times New Roman" w:hAnsi="Times New Roman" w:cs="Times New Roman"/>
          <w:sz w:val="20"/>
          <w:szCs w:val="20"/>
        </w:rPr>
        <w:t>quite a bit</w:t>
      </w:r>
      <w:r w:rsidR="003B669D">
        <w:rPr>
          <w:rFonts w:ascii="Times New Roman" w:hAnsi="Times New Roman" w:cs="Times New Roman"/>
          <w:sz w:val="20"/>
          <w:szCs w:val="20"/>
        </w:rPr>
        <w:t>’</w:t>
      </w:r>
      <w:r>
        <w:rPr>
          <w:rFonts w:ascii="Times New Roman" w:hAnsi="Times New Roman" w:cs="Times New Roman"/>
          <w:sz w:val="20"/>
          <w:szCs w:val="20"/>
        </w:rPr>
        <w:t xml:space="preserve"> rather than </w:t>
      </w:r>
      <w:r w:rsidR="003B669D">
        <w:rPr>
          <w:rFonts w:ascii="Times New Roman" w:hAnsi="Times New Roman" w:cs="Times New Roman"/>
          <w:sz w:val="20"/>
          <w:szCs w:val="20"/>
        </w:rPr>
        <w:t>‘</w:t>
      </w:r>
      <w:r>
        <w:rPr>
          <w:rFonts w:ascii="Times New Roman" w:hAnsi="Times New Roman" w:cs="Times New Roman"/>
          <w:sz w:val="20"/>
          <w:szCs w:val="20"/>
        </w:rPr>
        <w:t>to some extent</w:t>
      </w:r>
      <w:r w:rsidR="003B669D">
        <w:rPr>
          <w:rFonts w:ascii="Times New Roman" w:hAnsi="Times New Roman" w:cs="Times New Roman"/>
          <w:sz w:val="20"/>
          <w:szCs w:val="20"/>
        </w:rPr>
        <w:t>’</w:t>
      </w:r>
      <w:r>
        <w:rPr>
          <w:rFonts w:ascii="Times New Roman" w:hAnsi="Times New Roman" w:cs="Times New Roman"/>
          <w:sz w:val="20"/>
          <w:szCs w:val="20"/>
        </w:rPr>
        <w:t xml:space="preserve">). * </w:t>
      </w:r>
      <w:r w:rsidR="003B669D">
        <w:rPr>
          <w:rFonts w:ascii="Times New Roman" w:hAnsi="Times New Roman" w:cs="Times New Roman"/>
          <w:sz w:val="20"/>
          <w:szCs w:val="20"/>
        </w:rPr>
        <w:t>I</w:t>
      </w:r>
      <w:r>
        <w:rPr>
          <w:rFonts w:ascii="Times New Roman" w:hAnsi="Times New Roman" w:cs="Times New Roman"/>
          <w:sz w:val="20"/>
          <w:szCs w:val="20"/>
        </w:rPr>
        <w:t xml:space="preserve">ndicates statistical significance at the </w:t>
      </w:r>
      <w:r w:rsidR="003B669D">
        <w:rPr>
          <w:rFonts w:ascii="Times New Roman" w:hAnsi="Times New Roman" w:cs="Times New Roman"/>
          <w:sz w:val="20"/>
          <w:szCs w:val="20"/>
        </w:rPr>
        <w:t>5%</w:t>
      </w:r>
      <w:r>
        <w:rPr>
          <w:rFonts w:ascii="Times New Roman" w:hAnsi="Times New Roman" w:cs="Times New Roman"/>
          <w:sz w:val="20"/>
          <w:szCs w:val="20"/>
        </w:rPr>
        <w:t xml:space="preserve"> level.</w:t>
      </w:r>
      <w:r w:rsidR="00875EB6">
        <w:rPr>
          <w:rFonts w:ascii="Times New Roman" w:hAnsi="Times New Roman" w:cs="Times New Roman"/>
          <w:sz w:val="20"/>
          <w:szCs w:val="20"/>
        </w:rPr>
        <w:t xml:space="preserve"> </w:t>
      </w:r>
    </w:p>
    <w:p w14:paraId="4D729F73" w14:textId="3A56F9DA" w:rsidR="00C93B24" w:rsidRDefault="00C93B24" w:rsidP="00C93B24">
      <w:pPr>
        <w:pStyle w:val="NoSpacing"/>
        <w:spacing w:line="360" w:lineRule="auto"/>
        <w:jc w:val="both"/>
        <w:rPr>
          <w:rFonts w:ascii="Times New Roman" w:hAnsi="Times New Roman" w:cs="Times New Roman"/>
          <w:szCs w:val="24"/>
        </w:rPr>
      </w:pPr>
      <w:r>
        <w:rPr>
          <w:rFonts w:ascii="Times New Roman" w:hAnsi="Times New Roman" w:cs="Times New Roman"/>
          <w:szCs w:val="24"/>
        </w:rPr>
        <w:t>Here we do find consistently strong evidence of emotional contagion. Across the four</w:t>
      </w:r>
      <w:r w:rsidR="003B669D">
        <w:rPr>
          <w:rFonts w:ascii="Times New Roman" w:hAnsi="Times New Roman" w:cs="Times New Roman"/>
          <w:szCs w:val="24"/>
        </w:rPr>
        <w:t xml:space="preserve"> </w:t>
      </w:r>
      <w:r>
        <w:rPr>
          <w:rFonts w:ascii="Times New Roman" w:hAnsi="Times New Roman" w:cs="Times New Roman"/>
          <w:szCs w:val="24"/>
        </w:rPr>
        <w:t xml:space="preserve">model specifications, there is a clear, strong relationship between accountability-induced stress felt by teachers and the accountability-induced stress felt by their colleagues, which is consistently statistically significant at the </w:t>
      </w:r>
      <w:r w:rsidR="003B669D">
        <w:rPr>
          <w:rFonts w:ascii="Times New Roman" w:hAnsi="Times New Roman" w:cs="Times New Roman"/>
          <w:szCs w:val="24"/>
        </w:rPr>
        <w:t>5%</w:t>
      </w:r>
      <w:r>
        <w:rPr>
          <w:rFonts w:ascii="Times New Roman" w:hAnsi="Times New Roman" w:cs="Times New Roman"/>
          <w:szCs w:val="24"/>
        </w:rPr>
        <w:t xml:space="preserve"> level. For instance, a one-category increase in colleagues accountability stress (e.g. a teachers’ colleagues typically saying they suffer </w:t>
      </w:r>
      <w:r w:rsidR="003B669D">
        <w:rPr>
          <w:rFonts w:ascii="Times New Roman" w:hAnsi="Times New Roman" w:cs="Times New Roman"/>
          <w:szCs w:val="24"/>
        </w:rPr>
        <w:t>‘</w:t>
      </w:r>
      <w:r>
        <w:rPr>
          <w:rFonts w:ascii="Times New Roman" w:hAnsi="Times New Roman" w:cs="Times New Roman"/>
          <w:szCs w:val="24"/>
        </w:rPr>
        <w:t>a lot</w:t>
      </w:r>
      <w:r w:rsidR="003B669D">
        <w:rPr>
          <w:rFonts w:ascii="Times New Roman" w:hAnsi="Times New Roman" w:cs="Times New Roman"/>
          <w:szCs w:val="24"/>
        </w:rPr>
        <w:t>’</w:t>
      </w:r>
      <w:r>
        <w:rPr>
          <w:rFonts w:ascii="Times New Roman" w:hAnsi="Times New Roman" w:cs="Times New Roman"/>
          <w:szCs w:val="24"/>
        </w:rPr>
        <w:t xml:space="preserve"> of stress due to accountability rather than </w:t>
      </w:r>
      <w:r w:rsidR="003B669D">
        <w:rPr>
          <w:rFonts w:ascii="Times New Roman" w:hAnsi="Times New Roman" w:cs="Times New Roman"/>
          <w:szCs w:val="24"/>
        </w:rPr>
        <w:t>‘</w:t>
      </w:r>
      <w:r>
        <w:rPr>
          <w:rFonts w:ascii="Times New Roman" w:hAnsi="Times New Roman" w:cs="Times New Roman"/>
          <w:szCs w:val="24"/>
        </w:rPr>
        <w:t>quite a bit</w:t>
      </w:r>
      <w:r w:rsidR="003B669D">
        <w:rPr>
          <w:rFonts w:ascii="Times New Roman" w:hAnsi="Times New Roman" w:cs="Times New Roman"/>
          <w:szCs w:val="24"/>
        </w:rPr>
        <w:t>’</w:t>
      </w:r>
      <w:r>
        <w:rPr>
          <w:rFonts w:ascii="Times New Roman" w:hAnsi="Times New Roman" w:cs="Times New Roman"/>
          <w:szCs w:val="24"/>
        </w:rPr>
        <w:t>) is associated with a 15-percentage</w:t>
      </w:r>
      <w:r w:rsidR="003B669D">
        <w:rPr>
          <w:rFonts w:ascii="Times New Roman" w:hAnsi="Times New Roman" w:cs="Times New Roman"/>
          <w:szCs w:val="24"/>
        </w:rPr>
        <w:t>-</w:t>
      </w:r>
      <w:r>
        <w:rPr>
          <w:rFonts w:ascii="Times New Roman" w:hAnsi="Times New Roman" w:cs="Times New Roman"/>
          <w:szCs w:val="24"/>
        </w:rPr>
        <w:t xml:space="preserve">point increase in a teacher’s own level of stress. This holds true even once we control for how stressed the teacher in question and their colleagues feel about other aspects of their job (e.g. school </w:t>
      </w:r>
      <w:r>
        <w:rPr>
          <w:rFonts w:ascii="Times New Roman" w:hAnsi="Times New Roman" w:cs="Times New Roman"/>
          <w:szCs w:val="24"/>
        </w:rPr>
        <w:lastRenderedPageBreak/>
        <w:t>discipline, number of lessons) and their colleagues’ overall level of job satisfaction. It hence seems that, when a teacher’s colleagues are more stressed by the pressures of accountability, they become more stressed about being held responsible for pupils</w:t>
      </w:r>
      <w:r w:rsidR="003B669D">
        <w:rPr>
          <w:rFonts w:ascii="Times New Roman" w:hAnsi="Times New Roman" w:cs="Times New Roman"/>
          <w:szCs w:val="24"/>
        </w:rPr>
        <w:t>’</w:t>
      </w:r>
      <w:r>
        <w:rPr>
          <w:rFonts w:ascii="Times New Roman" w:hAnsi="Times New Roman" w:cs="Times New Roman"/>
          <w:szCs w:val="24"/>
        </w:rPr>
        <w:t xml:space="preserve"> achievement themselves. </w:t>
      </w:r>
    </w:p>
    <w:p w14:paraId="415BE042" w14:textId="1991D4EC" w:rsid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t>Jerrim et al</w:t>
      </w:r>
      <w:r w:rsidR="00DE2393">
        <w:rPr>
          <w:rFonts w:ascii="Times New Roman" w:hAnsi="Times New Roman" w:cs="Times New Roman"/>
          <w:szCs w:val="24"/>
        </w:rPr>
        <w:t>.</w:t>
      </w:r>
      <w:r>
        <w:rPr>
          <w:rFonts w:ascii="Times New Roman" w:hAnsi="Times New Roman" w:cs="Times New Roman"/>
          <w:szCs w:val="24"/>
        </w:rPr>
        <w:t xml:space="preserve"> (2020c) illustrates the cross-national variation in this result, finding strong evidence of such emotional contagion of stress in some countries, but not in others. Examples of countries where accountability stress amongst secondary teachers seems to be particularly contagious include England, Spain, Singapore, Denmark, Brazil and Hungary. For instance, for secondary schoolteachers in England, a one-category increase in colleagues</w:t>
      </w:r>
      <w:r w:rsidR="00552BA9">
        <w:rPr>
          <w:rFonts w:ascii="Times New Roman" w:hAnsi="Times New Roman" w:cs="Times New Roman"/>
          <w:szCs w:val="24"/>
        </w:rPr>
        <w:t>’</w:t>
      </w:r>
      <w:r>
        <w:rPr>
          <w:rFonts w:ascii="Times New Roman" w:hAnsi="Times New Roman" w:cs="Times New Roman"/>
          <w:szCs w:val="24"/>
        </w:rPr>
        <w:t xml:space="preserve"> accountability stress (e.g. a teacher</w:t>
      </w:r>
      <w:r w:rsidR="00552BA9">
        <w:rPr>
          <w:rFonts w:ascii="Times New Roman" w:hAnsi="Times New Roman" w:cs="Times New Roman"/>
          <w:szCs w:val="24"/>
        </w:rPr>
        <w:t>’</w:t>
      </w:r>
      <w:r>
        <w:rPr>
          <w:rFonts w:ascii="Times New Roman" w:hAnsi="Times New Roman" w:cs="Times New Roman"/>
          <w:szCs w:val="24"/>
        </w:rPr>
        <w:t xml:space="preserve">s colleagues typically saying they suffer </w:t>
      </w:r>
      <w:r w:rsidR="00552BA9">
        <w:rPr>
          <w:rFonts w:ascii="Times New Roman" w:hAnsi="Times New Roman" w:cs="Times New Roman"/>
          <w:szCs w:val="24"/>
        </w:rPr>
        <w:t>‘</w:t>
      </w:r>
      <w:r>
        <w:rPr>
          <w:rFonts w:ascii="Times New Roman" w:hAnsi="Times New Roman" w:cs="Times New Roman"/>
          <w:szCs w:val="24"/>
        </w:rPr>
        <w:t>a lot</w:t>
      </w:r>
      <w:r w:rsidR="00552BA9">
        <w:rPr>
          <w:rFonts w:ascii="Times New Roman" w:hAnsi="Times New Roman" w:cs="Times New Roman"/>
          <w:szCs w:val="24"/>
        </w:rPr>
        <w:t>’</w:t>
      </w:r>
      <w:r>
        <w:rPr>
          <w:rFonts w:ascii="Times New Roman" w:hAnsi="Times New Roman" w:cs="Times New Roman"/>
          <w:szCs w:val="24"/>
        </w:rPr>
        <w:t xml:space="preserve"> of stress due to accountability rather than </w:t>
      </w:r>
      <w:r w:rsidR="00552BA9">
        <w:rPr>
          <w:rFonts w:ascii="Times New Roman" w:hAnsi="Times New Roman" w:cs="Times New Roman"/>
          <w:szCs w:val="24"/>
        </w:rPr>
        <w:t>‘</w:t>
      </w:r>
      <w:r>
        <w:rPr>
          <w:rFonts w:ascii="Times New Roman" w:hAnsi="Times New Roman" w:cs="Times New Roman"/>
          <w:szCs w:val="24"/>
        </w:rPr>
        <w:t>quite a bit</w:t>
      </w:r>
      <w:r w:rsidR="00552BA9">
        <w:rPr>
          <w:rFonts w:ascii="Times New Roman" w:hAnsi="Times New Roman" w:cs="Times New Roman"/>
          <w:szCs w:val="24"/>
        </w:rPr>
        <w:t>’</w:t>
      </w:r>
      <w:r>
        <w:rPr>
          <w:rFonts w:ascii="Times New Roman" w:hAnsi="Times New Roman" w:cs="Times New Roman"/>
          <w:szCs w:val="24"/>
        </w:rPr>
        <w:t>) is associated with around an 18-percentage</w:t>
      </w:r>
      <w:r w:rsidR="00552BA9">
        <w:rPr>
          <w:rFonts w:ascii="Times New Roman" w:hAnsi="Times New Roman" w:cs="Times New Roman"/>
          <w:szCs w:val="24"/>
        </w:rPr>
        <w:t>-</w:t>
      </w:r>
      <w:r>
        <w:rPr>
          <w:rFonts w:ascii="Times New Roman" w:hAnsi="Times New Roman" w:cs="Times New Roman"/>
          <w:szCs w:val="24"/>
        </w:rPr>
        <w:t xml:space="preserve">point increase in a teacher’s own level of stress. On the other hand, in nations such as Finland, Italy, Austria, Norway and Sweden, there is little evidence that emotional contagion of accountability stress occurs. </w:t>
      </w:r>
    </w:p>
    <w:p w14:paraId="47506933" w14:textId="2B5414E2" w:rsidR="00C93B24" w:rsidRDefault="00C93B24" w:rsidP="008B4E20">
      <w:pPr>
        <w:pStyle w:val="NoSpacing"/>
        <w:spacing w:after="160" w:line="360" w:lineRule="auto"/>
        <w:jc w:val="both"/>
        <w:rPr>
          <w:rFonts w:ascii="Times New Roman" w:hAnsi="Times New Roman" w:cs="Times New Roman"/>
          <w:szCs w:val="24"/>
        </w:rPr>
      </w:pPr>
      <w:r>
        <w:rPr>
          <w:rFonts w:ascii="Times New Roman" w:hAnsi="Times New Roman" w:cs="Times New Roman"/>
          <w:szCs w:val="24"/>
        </w:rPr>
        <w:t xml:space="preserve">Putting these results together, we find strong evidence that stress about accountability gets transmitted between teaching staff and their colleagues. Yet emotional contagion between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and their subordinates seems, in most countries, to be relatively weak. This is counter to previous work (outside of education) by </w:t>
      </w:r>
      <w:proofErr w:type="spellStart"/>
      <w:r>
        <w:rPr>
          <w:rFonts w:ascii="Times New Roman" w:hAnsi="Times New Roman" w:cs="Times New Roman"/>
          <w:szCs w:val="24"/>
        </w:rPr>
        <w:t>Sy</w:t>
      </w:r>
      <w:proofErr w:type="spellEnd"/>
      <w:r>
        <w:rPr>
          <w:rFonts w:ascii="Times New Roman" w:hAnsi="Times New Roman" w:cs="Times New Roman"/>
          <w:szCs w:val="24"/>
        </w:rPr>
        <w:t xml:space="preserve">, Cote and Saavedra (2005), who suggested the transfer of emotions from senior staff to those more junior is particularly strong. One possible interpretation of this finding is that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generally do a good job in trying to protect their staff when they themselves feel stressed about accountability. Yet this does then not seem to stop concern spreading amongst teachers once an atmosphere of fear starts to take hold in a school. </w:t>
      </w:r>
    </w:p>
    <w:p w14:paraId="72E0999F" w14:textId="53B1E89C" w:rsidR="00C93B24" w:rsidRDefault="00C93B24" w:rsidP="008B4E20">
      <w:pPr>
        <w:pStyle w:val="NoSpacing"/>
        <w:spacing w:after="100" w:afterAutospacing="1"/>
        <w:jc w:val="both"/>
        <w:rPr>
          <w:rFonts w:ascii="Times New Roman" w:hAnsi="Times New Roman" w:cs="Times New Roman"/>
          <w:b/>
          <w:szCs w:val="24"/>
        </w:rPr>
      </w:pPr>
      <w:r>
        <w:rPr>
          <w:rFonts w:ascii="Times New Roman" w:hAnsi="Times New Roman" w:cs="Times New Roman"/>
          <w:b/>
          <w:szCs w:val="24"/>
        </w:rPr>
        <w:t xml:space="preserve">11.6 When </w:t>
      </w:r>
      <w:proofErr w:type="spellStart"/>
      <w:r>
        <w:rPr>
          <w:rFonts w:ascii="Times New Roman" w:hAnsi="Times New Roman" w:cs="Times New Roman"/>
          <w:b/>
          <w:szCs w:val="24"/>
        </w:rPr>
        <w:t>headteachers</w:t>
      </w:r>
      <w:proofErr w:type="spellEnd"/>
      <w:r>
        <w:rPr>
          <w:rFonts w:ascii="Times New Roman" w:hAnsi="Times New Roman" w:cs="Times New Roman"/>
          <w:b/>
          <w:szCs w:val="24"/>
        </w:rPr>
        <w:t xml:space="preserve"> are stressed by accountability, how do their school management </w:t>
      </w:r>
      <w:r w:rsidR="002B27A6">
        <w:rPr>
          <w:rFonts w:ascii="Times New Roman" w:hAnsi="Times New Roman" w:cs="Times New Roman"/>
          <w:b/>
          <w:szCs w:val="24"/>
        </w:rPr>
        <w:t xml:space="preserve">practices </w:t>
      </w:r>
      <w:r>
        <w:rPr>
          <w:rFonts w:ascii="Times New Roman" w:hAnsi="Times New Roman" w:cs="Times New Roman"/>
          <w:b/>
          <w:szCs w:val="24"/>
        </w:rPr>
        <w:t>change, and does it worsen the environment in the school?</w:t>
      </w:r>
    </w:p>
    <w:p w14:paraId="1A3171E5" w14:textId="284F2643" w:rsidR="0028671A" w:rsidRDefault="00C93B24" w:rsidP="00C93B24">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To conclude, Table 11.5 investigates what changes about a school when the </w:t>
      </w:r>
      <w:proofErr w:type="spellStart"/>
      <w:r>
        <w:rPr>
          <w:rFonts w:ascii="Times New Roman" w:hAnsi="Times New Roman" w:cs="Times New Roman"/>
          <w:szCs w:val="24"/>
        </w:rPr>
        <w:t>headteacher</w:t>
      </w:r>
      <w:proofErr w:type="spellEnd"/>
      <w:r>
        <w:rPr>
          <w:rFonts w:ascii="Times New Roman" w:hAnsi="Times New Roman" w:cs="Times New Roman"/>
          <w:szCs w:val="24"/>
        </w:rPr>
        <w:t xml:space="preserve"> feels stressed about accountability. The results presented are based upon pooled data across all countries, with unadjusted descriptive statistics provided on the left, and regression model estimates on the right. The latter reflect the change in the probability of the </w:t>
      </w:r>
      <w:proofErr w:type="spellStart"/>
      <w:r>
        <w:rPr>
          <w:rFonts w:ascii="Times New Roman" w:hAnsi="Times New Roman" w:cs="Times New Roman"/>
          <w:szCs w:val="24"/>
        </w:rPr>
        <w:t>headteacher</w:t>
      </w:r>
      <w:proofErr w:type="spellEnd"/>
      <w:r>
        <w:rPr>
          <w:rFonts w:ascii="Times New Roman" w:hAnsi="Times New Roman" w:cs="Times New Roman"/>
          <w:szCs w:val="24"/>
        </w:rPr>
        <w:t xml:space="preserve"> taking the action, for each category increase in </w:t>
      </w:r>
      <w:proofErr w:type="spellStart"/>
      <w:r>
        <w:rPr>
          <w:rFonts w:ascii="Times New Roman" w:hAnsi="Times New Roman" w:cs="Times New Roman"/>
          <w:szCs w:val="24"/>
        </w:rPr>
        <w:t>headteacher</w:t>
      </w:r>
      <w:proofErr w:type="spellEnd"/>
      <w:r>
        <w:rPr>
          <w:rFonts w:ascii="Times New Roman" w:hAnsi="Times New Roman" w:cs="Times New Roman"/>
          <w:szCs w:val="24"/>
        </w:rPr>
        <w:t xml:space="preserve"> stress. </w:t>
      </w:r>
    </w:p>
    <w:p w14:paraId="7F7B9ACC" w14:textId="77777777" w:rsidR="0028671A" w:rsidRDefault="0028671A">
      <w:pPr>
        <w:spacing w:line="259" w:lineRule="auto"/>
        <w:rPr>
          <w:rFonts w:ascii="Times New Roman" w:eastAsiaTheme="minorEastAsia" w:hAnsi="Times New Roman" w:cs="Times New Roman"/>
          <w:sz w:val="24"/>
          <w:szCs w:val="24"/>
        </w:rPr>
      </w:pPr>
      <w:r>
        <w:rPr>
          <w:rFonts w:ascii="Times New Roman" w:hAnsi="Times New Roman" w:cs="Times New Roman"/>
          <w:szCs w:val="24"/>
        </w:rPr>
        <w:br w:type="page"/>
      </w:r>
    </w:p>
    <w:p w14:paraId="75EB2213" w14:textId="77777777" w:rsidR="00C93B24" w:rsidRPr="00C93B24" w:rsidRDefault="00C93B24" w:rsidP="00C93B24">
      <w:pPr>
        <w:spacing w:line="240" w:lineRule="auto"/>
        <w:jc w:val="center"/>
        <w:rPr>
          <w:rFonts w:ascii="Times New Roman" w:hAnsi="Times New Roman" w:cs="Times New Roman"/>
          <w:b/>
          <w:sz w:val="24"/>
          <w:szCs w:val="24"/>
        </w:rPr>
      </w:pPr>
      <w:r w:rsidRPr="00C93B24">
        <w:rPr>
          <w:rFonts w:ascii="Times New Roman" w:hAnsi="Times New Roman" w:cs="Times New Roman"/>
          <w:b/>
          <w:sz w:val="24"/>
          <w:szCs w:val="24"/>
        </w:rPr>
        <w:lastRenderedPageBreak/>
        <w:t xml:space="preserve">Table 11.5. What changes within a school when the </w:t>
      </w:r>
      <w:proofErr w:type="spellStart"/>
      <w:r w:rsidRPr="00C93B24">
        <w:rPr>
          <w:rFonts w:ascii="Times New Roman" w:hAnsi="Times New Roman" w:cs="Times New Roman"/>
          <w:b/>
          <w:sz w:val="24"/>
          <w:szCs w:val="24"/>
        </w:rPr>
        <w:t>headteacher</w:t>
      </w:r>
      <w:proofErr w:type="spellEnd"/>
      <w:r w:rsidRPr="00C93B24">
        <w:rPr>
          <w:rFonts w:ascii="Times New Roman" w:hAnsi="Times New Roman" w:cs="Times New Roman"/>
          <w:b/>
          <w:sz w:val="24"/>
          <w:szCs w:val="24"/>
        </w:rPr>
        <w:t xml:space="preserve"> feels stressed about accountability? </w:t>
      </w:r>
    </w:p>
    <w:tbl>
      <w:tblPr>
        <w:tblW w:w="9966" w:type="dxa"/>
        <w:tblInd w:w="-426" w:type="dxa"/>
        <w:tblLook w:val="04A0" w:firstRow="1" w:lastRow="0" w:firstColumn="1" w:lastColumn="0" w:noHBand="0" w:noVBand="1"/>
      </w:tblPr>
      <w:tblGrid>
        <w:gridCol w:w="4390"/>
        <w:gridCol w:w="860"/>
        <w:gridCol w:w="960"/>
        <w:gridCol w:w="960"/>
        <w:gridCol w:w="740"/>
        <w:gridCol w:w="1096"/>
        <w:gridCol w:w="960"/>
      </w:tblGrid>
      <w:tr w:rsidR="00C93B24" w14:paraId="26183002" w14:textId="77777777" w:rsidTr="00C93B24">
        <w:trPr>
          <w:trHeight w:val="300"/>
        </w:trPr>
        <w:tc>
          <w:tcPr>
            <w:tcW w:w="4390" w:type="dxa"/>
            <w:tcBorders>
              <w:top w:val="single" w:sz="4" w:space="0" w:color="auto"/>
              <w:left w:val="nil"/>
              <w:bottom w:val="single" w:sz="4" w:space="0" w:color="auto"/>
              <w:right w:val="nil"/>
            </w:tcBorders>
            <w:shd w:val="clear" w:color="auto" w:fill="B4C6E7"/>
            <w:vAlign w:val="bottom"/>
            <w:hideMark/>
          </w:tcPr>
          <w:p w14:paraId="58872278"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w:t>
            </w:r>
          </w:p>
        </w:tc>
        <w:tc>
          <w:tcPr>
            <w:tcW w:w="3520" w:type="dxa"/>
            <w:gridSpan w:val="4"/>
            <w:tcBorders>
              <w:top w:val="single" w:sz="4" w:space="0" w:color="auto"/>
              <w:left w:val="nil"/>
              <w:bottom w:val="single" w:sz="4" w:space="0" w:color="auto"/>
              <w:right w:val="single" w:sz="4" w:space="0" w:color="000000"/>
            </w:tcBorders>
            <w:shd w:val="clear" w:color="auto" w:fill="B4C6E7"/>
            <w:noWrap/>
            <w:vAlign w:val="bottom"/>
            <w:hideMark/>
          </w:tcPr>
          <w:p w14:paraId="53424144"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Unconditional</w:t>
            </w:r>
          </w:p>
        </w:tc>
        <w:tc>
          <w:tcPr>
            <w:tcW w:w="2056" w:type="dxa"/>
            <w:gridSpan w:val="2"/>
            <w:tcBorders>
              <w:top w:val="single" w:sz="4" w:space="0" w:color="auto"/>
              <w:left w:val="nil"/>
              <w:bottom w:val="single" w:sz="4" w:space="0" w:color="auto"/>
              <w:right w:val="nil"/>
            </w:tcBorders>
            <w:shd w:val="clear" w:color="auto" w:fill="B4C6E7"/>
            <w:noWrap/>
            <w:vAlign w:val="bottom"/>
            <w:hideMark/>
          </w:tcPr>
          <w:p w14:paraId="2FCEA838"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Model</w:t>
            </w:r>
          </w:p>
        </w:tc>
      </w:tr>
      <w:tr w:rsidR="00C93B24" w14:paraId="4A73DBD3" w14:textId="77777777" w:rsidTr="00C93B24">
        <w:trPr>
          <w:trHeight w:val="585"/>
        </w:trPr>
        <w:tc>
          <w:tcPr>
            <w:tcW w:w="4390" w:type="dxa"/>
            <w:tcBorders>
              <w:top w:val="single" w:sz="4" w:space="0" w:color="auto"/>
              <w:left w:val="nil"/>
              <w:bottom w:val="single" w:sz="4" w:space="0" w:color="auto"/>
              <w:right w:val="nil"/>
            </w:tcBorders>
            <w:shd w:val="clear" w:color="auto" w:fill="B4C6E7"/>
            <w:vAlign w:val="bottom"/>
            <w:hideMark/>
          </w:tcPr>
          <w:p w14:paraId="08F67108" w14:textId="7E6C924D" w:rsidR="00C93B24" w:rsidRDefault="00C93B24">
            <w:pPr>
              <w:spacing w:after="0" w:line="240" w:lineRule="auto"/>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Head stressed by accountability (Ref: not at all/to some extent)</w:t>
            </w:r>
          </w:p>
        </w:tc>
        <w:tc>
          <w:tcPr>
            <w:tcW w:w="860" w:type="dxa"/>
            <w:tcBorders>
              <w:top w:val="single" w:sz="4" w:space="0" w:color="auto"/>
              <w:left w:val="nil"/>
              <w:bottom w:val="single" w:sz="4" w:space="0" w:color="auto"/>
              <w:right w:val="nil"/>
            </w:tcBorders>
            <w:shd w:val="clear" w:color="auto" w:fill="B4C6E7"/>
            <w:vAlign w:val="center"/>
            <w:hideMark/>
          </w:tcPr>
          <w:p w14:paraId="715AEB23"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Not at all</w:t>
            </w:r>
          </w:p>
        </w:tc>
        <w:tc>
          <w:tcPr>
            <w:tcW w:w="960" w:type="dxa"/>
            <w:tcBorders>
              <w:top w:val="single" w:sz="4" w:space="0" w:color="auto"/>
              <w:left w:val="nil"/>
              <w:bottom w:val="single" w:sz="4" w:space="0" w:color="auto"/>
              <w:right w:val="nil"/>
            </w:tcBorders>
            <w:shd w:val="clear" w:color="auto" w:fill="B4C6E7"/>
            <w:vAlign w:val="center"/>
            <w:hideMark/>
          </w:tcPr>
          <w:p w14:paraId="47FB9680"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To some extent</w:t>
            </w:r>
          </w:p>
        </w:tc>
        <w:tc>
          <w:tcPr>
            <w:tcW w:w="960" w:type="dxa"/>
            <w:tcBorders>
              <w:top w:val="single" w:sz="4" w:space="0" w:color="auto"/>
              <w:left w:val="nil"/>
              <w:bottom w:val="single" w:sz="4" w:space="0" w:color="auto"/>
              <w:right w:val="nil"/>
            </w:tcBorders>
            <w:shd w:val="clear" w:color="auto" w:fill="B4C6E7"/>
            <w:vAlign w:val="center"/>
            <w:hideMark/>
          </w:tcPr>
          <w:p w14:paraId="19C97ED9"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Quite a bit</w:t>
            </w:r>
          </w:p>
        </w:tc>
        <w:tc>
          <w:tcPr>
            <w:tcW w:w="740" w:type="dxa"/>
            <w:tcBorders>
              <w:top w:val="single" w:sz="4" w:space="0" w:color="auto"/>
              <w:left w:val="nil"/>
              <w:bottom w:val="single" w:sz="4" w:space="0" w:color="auto"/>
              <w:right w:val="single" w:sz="4" w:space="0" w:color="auto"/>
            </w:tcBorders>
            <w:shd w:val="clear" w:color="auto" w:fill="B4C6E7"/>
            <w:vAlign w:val="center"/>
            <w:hideMark/>
          </w:tcPr>
          <w:p w14:paraId="62141635"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A lot</w:t>
            </w:r>
          </w:p>
        </w:tc>
        <w:tc>
          <w:tcPr>
            <w:tcW w:w="1096" w:type="dxa"/>
            <w:tcBorders>
              <w:top w:val="single" w:sz="4" w:space="0" w:color="auto"/>
              <w:left w:val="nil"/>
              <w:bottom w:val="single" w:sz="4" w:space="0" w:color="auto"/>
              <w:right w:val="nil"/>
            </w:tcBorders>
            <w:shd w:val="clear" w:color="auto" w:fill="B4C6E7"/>
            <w:vAlign w:val="bottom"/>
            <w:hideMark/>
          </w:tcPr>
          <w:p w14:paraId="37A4E51E"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Marginal effect</w:t>
            </w:r>
          </w:p>
        </w:tc>
        <w:tc>
          <w:tcPr>
            <w:tcW w:w="960" w:type="dxa"/>
            <w:tcBorders>
              <w:top w:val="single" w:sz="4" w:space="0" w:color="auto"/>
              <w:left w:val="nil"/>
              <w:bottom w:val="single" w:sz="4" w:space="0" w:color="auto"/>
              <w:right w:val="nil"/>
            </w:tcBorders>
            <w:shd w:val="clear" w:color="auto" w:fill="B4C6E7"/>
            <w:noWrap/>
            <w:vAlign w:val="bottom"/>
            <w:hideMark/>
          </w:tcPr>
          <w:p w14:paraId="4BF67F06" w14:textId="77777777" w:rsidR="00C93B24" w:rsidRDefault="00C93B24">
            <w:pPr>
              <w:spacing w:after="0" w:line="240" w:lineRule="auto"/>
              <w:jc w:val="center"/>
              <w:rPr>
                <w:rFonts w:ascii="Times New Roman" w:eastAsia="Times New Roman" w:hAnsi="Times New Roman" w:cs="Times New Roman"/>
                <w:b/>
                <w:bCs/>
                <w:color w:val="000000"/>
                <w:lang w:eastAsia="en-GB"/>
              </w:rPr>
            </w:pPr>
            <w:r>
              <w:rPr>
                <w:rFonts w:ascii="Times New Roman" w:eastAsia="Times New Roman" w:hAnsi="Times New Roman" w:cs="Times New Roman"/>
                <w:b/>
                <w:bCs/>
                <w:color w:val="000000"/>
                <w:lang w:eastAsia="en-GB"/>
              </w:rPr>
              <w:t>SE</w:t>
            </w:r>
          </w:p>
        </w:tc>
      </w:tr>
      <w:tr w:rsidR="00C93B24" w14:paraId="70ABE62D" w14:textId="77777777" w:rsidTr="00C93B24">
        <w:trPr>
          <w:trHeight w:val="600"/>
        </w:trPr>
        <w:tc>
          <w:tcPr>
            <w:tcW w:w="4390" w:type="dxa"/>
            <w:tcBorders>
              <w:top w:val="single" w:sz="4" w:space="0" w:color="auto"/>
              <w:left w:val="nil"/>
              <w:bottom w:val="nil"/>
              <w:right w:val="nil"/>
            </w:tcBorders>
            <w:vAlign w:val="bottom"/>
            <w:hideMark/>
          </w:tcPr>
          <w:p w14:paraId="59C514E7" w14:textId="26359B12"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1.Head feels need </w:t>
            </w:r>
            <w:r w:rsidR="00E67804">
              <w:rPr>
                <w:rFonts w:ascii="Times New Roman" w:eastAsia="Times New Roman" w:hAnsi="Times New Roman" w:cs="Times New Roman"/>
                <w:color w:val="000000"/>
                <w:lang w:eastAsia="en-GB"/>
              </w:rPr>
              <w:t>to use</w:t>
            </w:r>
            <w:r>
              <w:rPr>
                <w:rFonts w:ascii="Times New Roman" w:eastAsia="Times New Roman" w:hAnsi="Times New Roman" w:cs="Times New Roman"/>
                <w:color w:val="000000"/>
                <w:lang w:eastAsia="en-GB"/>
              </w:rPr>
              <w:t xml:space="preserve"> data to improve school quality</w:t>
            </w:r>
          </w:p>
        </w:tc>
        <w:tc>
          <w:tcPr>
            <w:tcW w:w="860" w:type="dxa"/>
            <w:tcBorders>
              <w:top w:val="single" w:sz="4" w:space="0" w:color="auto"/>
              <w:left w:val="nil"/>
              <w:bottom w:val="nil"/>
              <w:right w:val="nil"/>
            </w:tcBorders>
            <w:vAlign w:val="center"/>
            <w:hideMark/>
          </w:tcPr>
          <w:p w14:paraId="78BFC74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57%</w:t>
            </w:r>
          </w:p>
        </w:tc>
        <w:tc>
          <w:tcPr>
            <w:tcW w:w="960" w:type="dxa"/>
            <w:tcBorders>
              <w:top w:val="single" w:sz="4" w:space="0" w:color="auto"/>
              <w:left w:val="nil"/>
              <w:bottom w:val="nil"/>
              <w:right w:val="nil"/>
            </w:tcBorders>
            <w:vAlign w:val="center"/>
            <w:hideMark/>
          </w:tcPr>
          <w:p w14:paraId="704D7F3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67%</w:t>
            </w:r>
          </w:p>
        </w:tc>
        <w:tc>
          <w:tcPr>
            <w:tcW w:w="960" w:type="dxa"/>
            <w:tcBorders>
              <w:top w:val="single" w:sz="4" w:space="0" w:color="auto"/>
              <w:left w:val="nil"/>
              <w:bottom w:val="nil"/>
              <w:right w:val="nil"/>
            </w:tcBorders>
            <w:vAlign w:val="center"/>
            <w:hideMark/>
          </w:tcPr>
          <w:p w14:paraId="6816E55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74%</w:t>
            </w:r>
          </w:p>
        </w:tc>
        <w:tc>
          <w:tcPr>
            <w:tcW w:w="740" w:type="dxa"/>
            <w:tcBorders>
              <w:top w:val="single" w:sz="4" w:space="0" w:color="auto"/>
              <w:left w:val="nil"/>
              <w:bottom w:val="nil"/>
              <w:right w:val="single" w:sz="4" w:space="0" w:color="auto"/>
            </w:tcBorders>
            <w:vAlign w:val="center"/>
            <w:hideMark/>
          </w:tcPr>
          <w:p w14:paraId="5169B5B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75%</w:t>
            </w:r>
          </w:p>
        </w:tc>
        <w:tc>
          <w:tcPr>
            <w:tcW w:w="1096" w:type="dxa"/>
            <w:tcBorders>
              <w:top w:val="single" w:sz="4" w:space="0" w:color="auto"/>
              <w:left w:val="nil"/>
              <w:bottom w:val="nil"/>
              <w:right w:val="nil"/>
            </w:tcBorders>
            <w:vAlign w:val="center"/>
            <w:hideMark/>
          </w:tcPr>
          <w:p w14:paraId="5F6C14C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3.8%</w:t>
            </w:r>
          </w:p>
        </w:tc>
        <w:tc>
          <w:tcPr>
            <w:tcW w:w="960" w:type="dxa"/>
            <w:tcBorders>
              <w:top w:val="single" w:sz="4" w:space="0" w:color="auto"/>
              <w:left w:val="nil"/>
              <w:bottom w:val="nil"/>
              <w:right w:val="nil"/>
            </w:tcBorders>
            <w:vAlign w:val="center"/>
            <w:hideMark/>
          </w:tcPr>
          <w:p w14:paraId="5065E91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2.9%</w:t>
            </w:r>
          </w:p>
        </w:tc>
      </w:tr>
      <w:tr w:rsidR="00C93B24" w14:paraId="43CE70BE" w14:textId="77777777" w:rsidTr="00C93B24">
        <w:trPr>
          <w:trHeight w:val="600"/>
        </w:trPr>
        <w:tc>
          <w:tcPr>
            <w:tcW w:w="4390" w:type="dxa"/>
            <w:vAlign w:val="bottom"/>
            <w:hideMark/>
          </w:tcPr>
          <w:p w14:paraId="0DAA4FDA"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2.Head takes action to ensure teachers feel responsible for pupil learning outcomes</w:t>
            </w:r>
          </w:p>
        </w:tc>
        <w:tc>
          <w:tcPr>
            <w:tcW w:w="860" w:type="dxa"/>
            <w:vAlign w:val="center"/>
            <w:hideMark/>
          </w:tcPr>
          <w:p w14:paraId="59C6094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21%</w:t>
            </w:r>
          </w:p>
        </w:tc>
        <w:tc>
          <w:tcPr>
            <w:tcW w:w="960" w:type="dxa"/>
            <w:vAlign w:val="center"/>
            <w:hideMark/>
          </w:tcPr>
          <w:p w14:paraId="1D5ED3A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14%</w:t>
            </w:r>
          </w:p>
        </w:tc>
        <w:tc>
          <w:tcPr>
            <w:tcW w:w="960" w:type="dxa"/>
            <w:vAlign w:val="center"/>
            <w:hideMark/>
          </w:tcPr>
          <w:p w14:paraId="59EA152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19%</w:t>
            </w:r>
          </w:p>
        </w:tc>
        <w:tc>
          <w:tcPr>
            <w:tcW w:w="740" w:type="dxa"/>
            <w:tcBorders>
              <w:top w:val="nil"/>
              <w:left w:val="nil"/>
              <w:bottom w:val="nil"/>
              <w:right w:val="single" w:sz="4" w:space="0" w:color="auto"/>
            </w:tcBorders>
            <w:vAlign w:val="center"/>
            <w:hideMark/>
          </w:tcPr>
          <w:p w14:paraId="043ADD4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29%</w:t>
            </w:r>
          </w:p>
        </w:tc>
        <w:tc>
          <w:tcPr>
            <w:tcW w:w="1096" w:type="dxa"/>
            <w:vAlign w:val="center"/>
            <w:hideMark/>
          </w:tcPr>
          <w:p w14:paraId="6146B6C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2.0%</w:t>
            </w:r>
          </w:p>
        </w:tc>
        <w:tc>
          <w:tcPr>
            <w:tcW w:w="960" w:type="dxa"/>
            <w:vAlign w:val="center"/>
            <w:hideMark/>
          </w:tcPr>
          <w:p w14:paraId="70DF5BB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3.7%</w:t>
            </w:r>
          </w:p>
        </w:tc>
      </w:tr>
      <w:tr w:rsidR="00C93B24" w14:paraId="63E6F91B" w14:textId="77777777" w:rsidTr="00C93B24">
        <w:trPr>
          <w:trHeight w:val="600"/>
        </w:trPr>
        <w:tc>
          <w:tcPr>
            <w:tcW w:w="4390" w:type="dxa"/>
            <w:vAlign w:val="bottom"/>
            <w:hideMark/>
          </w:tcPr>
          <w:p w14:paraId="61C80D33"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3.Head provides parents with information on student performance</w:t>
            </w:r>
          </w:p>
        </w:tc>
        <w:tc>
          <w:tcPr>
            <w:tcW w:w="860" w:type="dxa"/>
            <w:vAlign w:val="center"/>
            <w:hideMark/>
          </w:tcPr>
          <w:p w14:paraId="52AF581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61%</w:t>
            </w:r>
          </w:p>
        </w:tc>
        <w:tc>
          <w:tcPr>
            <w:tcW w:w="960" w:type="dxa"/>
            <w:vAlign w:val="center"/>
            <w:hideMark/>
          </w:tcPr>
          <w:p w14:paraId="2BD40A4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57%</w:t>
            </w:r>
          </w:p>
        </w:tc>
        <w:tc>
          <w:tcPr>
            <w:tcW w:w="960" w:type="dxa"/>
            <w:vAlign w:val="center"/>
            <w:hideMark/>
          </w:tcPr>
          <w:p w14:paraId="009C2DE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60%</w:t>
            </w:r>
          </w:p>
        </w:tc>
        <w:tc>
          <w:tcPr>
            <w:tcW w:w="740" w:type="dxa"/>
            <w:tcBorders>
              <w:top w:val="nil"/>
              <w:left w:val="nil"/>
              <w:bottom w:val="nil"/>
              <w:right w:val="single" w:sz="4" w:space="0" w:color="auto"/>
            </w:tcBorders>
            <w:vAlign w:val="center"/>
            <w:hideMark/>
          </w:tcPr>
          <w:p w14:paraId="0299A90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68%</w:t>
            </w:r>
          </w:p>
        </w:tc>
        <w:tc>
          <w:tcPr>
            <w:tcW w:w="1096" w:type="dxa"/>
            <w:vAlign w:val="center"/>
            <w:hideMark/>
          </w:tcPr>
          <w:p w14:paraId="5BF6F8B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0.6%</w:t>
            </w:r>
          </w:p>
        </w:tc>
        <w:tc>
          <w:tcPr>
            <w:tcW w:w="960" w:type="dxa"/>
            <w:vAlign w:val="center"/>
            <w:hideMark/>
          </w:tcPr>
          <w:p w14:paraId="2CAF80A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2.5%</w:t>
            </w:r>
          </w:p>
        </w:tc>
      </w:tr>
      <w:tr w:rsidR="00C93B24" w14:paraId="7267652D" w14:textId="77777777" w:rsidTr="00C93B24">
        <w:trPr>
          <w:trHeight w:val="600"/>
        </w:trPr>
        <w:tc>
          <w:tcPr>
            <w:tcW w:w="4390" w:type="dxa"/>
            <w:vAlign w:val="bottom"/>
            <w:hideMark/>
          </w:tcPr>
          <w:p w14:paraId="2EEF5F5F"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4.Head undertakes more frequent teacher appraisals</w:t>
            </w:r>
          </w:p>
        </w:tc>
        <w:tc>
          <w:tcPr>
            <w:tcW w:w="860" w:type="dxa"/>
            <w:vAlign w:val="center"/>
            <w:hideMark/>
          </w:tcPr>
          <w:p w14:paraId="302A7BD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37%</w:t>
            </w:r>
          </w:p>
        </w:tc>
        <w:tc>
          <w:tcPr>
            <w:tcW w:w="960" w:type="dxa"/>
            <w:vAlign w:val="center"/>
            <w:hideMark/>
          </w:tcPr>
          <w:p w14:paraId="68DD565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34%</w:t>
            </w:r>
          </w:p>
        </w:tc>
        <w:tc>
          <w:tcPr>
            <w:tcW w:w="960" w:type="dxa"/>
            <w:vAlign w:val="center"/>
            <w:hideMark/>
          </w:tcPr>
          <w:p w14:paraId="0E456D9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40%</w:t>
            </w:r>
          </w:p>
        </w:tc>
        <w:tc>
          <w:tcPr>
            <w:tcW w:w="740" w:type="dxa"/>
            <w:tcBorders>
              <w:top w:val="nil"/>
              <w:left w:val="nil"/>
              <w:bottom w:val="nil"/>
              <w:right w:val="single" w:sz="4" w:space="0" w:color="auto"/>
            </w:tcBorders>
            <w:vAlign w:val="center"/>
            <w:hideMark/>
          </w:tcPr>
          <w:p w14:paraId="188B1A7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44%</w:t>
            </w:r>
          </w:p>
        </w:tc>
        <w:tc>
          <w:tcPr>
            <w:tcW w:w="1096" w:type="dxa"/>
            <w:vAlign w:val="center"/>
            <w:hideMark/>
          </w:tcPr>
          <w:p w14:paraId="2B833FC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0.4%</w:t>
            </w:r>
          </w:p>
        </w:tc>
        <w:tc>
          <w:tcPr>
            <w:tcW w:w="960" w:type="dxa"/>
            <w:vAlign w:val="center"/>
            <w:hideMark/>
          </w:tcPr>
          <w:p w14:paraId="65330C2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1.1%</w:t>
            </w:r>
          </w:p>
        </w:tc>
      </w:tr>
      <w:tr w:rsidR="00C93B24" w14:paraId="5E78B823" w14:textId="77777777" w:rsidTr="00C93B24">
        <w:trPr>
          <w:trHeight w:val="300"/>
        </w:trPr>
        <w:tc>
          <w:tcPr>
            <w:tcW w:w="4390" w:type="dxa"/>
            <w:vAlign w:val="bottom"/>
            <w:hideMark/>
          </w:tcPr>
          <w:p w14:paraId="03A16417"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5.SMT more likely to use test scores in teacher appraisal</w:t>
            </w:r>
          </w:p>
        </w:tc>
        <w:tc>
          <w:tcPr>
            <w:tcW w:w="860" w:type="dxa"/>
            <w:vAlign w:val="center"/>
            <w:hideMark/>
          </w:tcPr>
          <w:p w14:paraId="618979D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92%</w:t>
            </w:r>
          </w:p>
        </w:tc>
        <w:tc>
          <w:tcPr>
            <w:tcW w:w="960" w:type="dxa"/>
            <w:vAlign w:val="center"/>
            <w:hideMark/>
          </w:tcPr>
          <w:p w14:paraId="7213B20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92%</w:t>
            </w:r>
          </w:p>
        </w:tc>
        <w:tc>
          <w:tcPr>
            <w:tcW w:w="960" w:type="dxa"/>
            <w:vAlign w:val="center"/>
            <w:hideMark/>
          </w:tcPr>
          <w:p w14:paraId="78A2761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92%</w:t>
            </w:r>
          </w:p>
        </w:tc>
        <w:tc>
          <w:tcPr>
            <w:tcW w:w="740" w:type="dxa"/>
            <w:tcBorders>
              <w:top w:val="nil"/>
              <w:left w:val="nil"/>
              <w:bottom w:val="nil"/>
              <w:right w:val="single" w:sz="4" w:space="0" w:color="auto"/>
            </w:tcBorders>
            <w:vAlign w:val="center"/>
            <w:hideMark/>
          </w:tcPr>
          <w:p w14:paraId="0B9A04D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91%</w:t>
            </w:r>
          </w:p>
        </w:tc>
        <w:tc>
          <w:tcPr>
            <w:tcW w:w="1096" w:type="dxa"/>
            <w:vAlign w:val="center"/>
            <w:hideMark/>
          </w:tcPr>
          <w:p w14:paraId="2EB8588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0.3%</w:t>
            </w:r>
          </w:p>
        </w:tc>
        <w:tc>
          <w:tcPr>
            <w:tcW w:w="960" w:type="dxa"/>
            <w:vAlign w:val="center"/>
            <w:hideMark/>
          </w:tcPr>
          <w:p w14:paraId="712974F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0.5%</w:t>
            </w:r>
          </w:p>
        </w:tc>
      </w:tr>
      <w:tr w:rsidR="00C93B24" w14:paraId="32A9EC5F" w14:textId="77777777" w:rsidTr="00C93B24">
        <w:trPr>
          <w:trHeight w:val="600"/>
        </w:trPr>
        <w:tc>
          <w:tcPr>
            <w:tcW w:w="4390" w:type="dxa"/>
            <w:vAlign w:val="bottom"/>
            <w:hideMark/>
          </w:tcPr>
          <w:p w14:paraId="583D0E86"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6.More likely to take material sanctions against teachers for poor appraisal</w:t>
            </w:r>
          </w:p>
        </w:tc>
        <w:tc>
          <w:tcPr>
            <w:tcW w:w="860" w:type="dxa"/>
            <w:vAlign w:val="center"/>
            <w:hideMark/>
          </w:tcPr>
          <w:p w14:paraId="3963158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16%</w:t>
            </w:r>
          </w:p>
        </w:tc>
        <w:tc>
          <w:tcPr>
            <w:tcW w:w="960" w:type="dxa"/>
            <w:vAlign w:val="center"/>
            <w:hideMark/>
          </w:tcPr>
          <w:p w14:paraId="293DB6A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19%</w:t>
            </w:r>
          </w:p>
        </w:tc>
        <w:tc>
          <w:tcPr>
            <w:tcW w:w="960" w:type="dxa"/>
            <w:vAlign w:val="center"/>
            <w:hideMark/>
          </w:tcPr>
          <w:p w14:paraId="3F942F7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20%</w:t>
            </w:r>
          </w:p>
        </w:tc>
        <w:tc>
          <w:tcPr>
            <w:tcW w:w="740" w:type="dxa"/>
            <w:tcBorders>
              <w:top w:val="nil"/>
              <w:left w:val="nil"/>
              <w:bottom w:val="nil"/>
              <w:right w:val="single" w:sz="4" w:space="0" w:color="auto"/>
            </w:tcBorders>
            <w:vAlign w:val="center"/>
            <w:hideMark/>
          </w:tcPr>
          <w:p w14:paraId="32EE583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20%</w:t>
            </w:r>
          </w:p>
        </w:tc>
        <w:tc>
          <w:tcPr>
            <w:tcW w:w="1096" w:type="dxa"/>
            <w:vAlign w:val="center"/>
            <w:hideMark/>
          </w:tcPr>
          <w:p w14:paraId="7CBB7B0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0.8%</w:t>
            </w:r>
          </w:p>
        </w:tc>
        <w:tc>
          <w:tcPr>
            <w:tcW w:w="960" w:type="dxa"/>
            <w:vAlign w:val="center"/>
            <w:hideMark/>
          </w:tcPr>
          <w:p w14:paraId="3F6C23E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1.8%</w:t>
            </w:r>
          </w:p>
        </w:tc>
      </w:tr>
      <w:tr w:rsidR="00C93B24" w14:paraId="420745A6" w14:textId="77777777" w:rsidTr="00C93B24">
        <w:trPr>
          <w:trHeight w:val="600"/>
        </w:trPr>
        <w:tc>
          <w:tcPr>
            <w:tcW w:w="4390" w:type="dxa"/>
            <w:vAlign w:val="bottom"/>
            <w:hideMark/>
          </w:tcPr>
          <w:p w14:paraId="3BDDCCBB"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7.More likely to dismiss teacher following appraisal</w:t>
            </w:r>
          </w:p>
        </w:tc>
        <w:tc>
          <w:tcPr>
            <w:tcW w:w="860" w:type="dxa"/>
            <w:vAlign w:val="center"/>
            <w:hideMark/>
          </w:tcPr>
          <w:p w14:paraId="4704021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53%</w:t>
            </w:r>
          </w:p>
        </w:tc>
        <w:tc>
          <w:tcPr>
            <w:tcW w:w="960" w:type="dxa"/>
            <w:vAlign w:val="center"/>
            <w:hideMark/>
          </w:tcPr>
          <w:p w14:paraId="7FD021B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52%</w:t>
            </w:r>
          </w:p>
        </w:tc>
        <w:tc>
          <w:tcPr>
            <w:tcW w:w="960" w:type="dxa"/>
            <w:vAlign w:val="center"/>
            <w:hideMark/>
          </w:tcPr>
          <w:p w14:paraId="6EAB282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47%</w:t>
            </w:r>
          </w:p>
        </w:tc>
        <w:tc>
          <w:tcPr>
            <w:tcW w:w="740" w:type="dxa"/>
            <w:tcBorders>
              <w:top w:val="nil"/>
              <w:left w:val="nil"/>
              <w:bottom w:val="nil"/>
              <w:right w:val="single" w:sz="4" w:space="0" w:color="auto"/>
            </w:tcBorders>
            <w:vAlign w:val="center"/>
            <w:hideMark/>
          </w:tcPr>
          <w:p w14:paraId="3730279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43%</w:t>
            </w:r>
          </w:p>
        </w:tc>
        <w:tc>
          <w:tcPr>
            <w:tcW w:w="1096" w:type="dxa"/>
            <w:vAlign w:val="center"/>
            <w:hideMark/>
          </w:tcPr>
          <w:p w14:paraId="4D6B104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1.7%</w:t>
            </w:r>
          </w:p>
        </w:tc>
        <w:tc>
          <w:tcPr>
            <w:tcW w:w="960" w:type="dxa"/>
            <w:vAlign w:val="center"/>
            <w:hideMark/>
          </w:tcPr>
          <w:p w14:paraId="1F5CB13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3.0%</w:t>
            </w:r>
          </w:p>
        </w:tc>
      </w:tr>
      <w:tr w:rsidR="00C93B24" w14:paraId="0761AAB2" w14:textId="77777777" w:rsidTr="00C93B24">
        <w:trPr>
          <w:trHeight w:val="600"/>
        </w:trPr>
        <w:tc>
          <w:tcPr>
            <w:tcW w:w="4390" w:type="dxa"/>
            <w:vAlign w:val="bottom"/>
            <w:hideMark/>
          </w:tcPr>
          <w:p w14:paraId="2C07D3C3" w14:textId="718AC832"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8.Whether involve staff in decision</w:t>
            </w:r>
            <w:r w:rsidR="00783BB6">
              <w:rPr>
                <w:rFonts w:ascii="Times New Roman" w:eastAsia="Times New Roman" w:hAnsi="Times New Roman" w:cs="Times New Roman"/>
                <w:color w:val="000000"/>
                <w:lang w:eastAsia="en-GB"/>
              </w:rPr>
              <w:t>-</w:t>
            </w:r>
            <w:r>
              <w:rPr>
                <w:rFonts w:ascii="Times New Roman" w:eastAsia="Times New Roman" w:hAnsi="Times New Roman" w:cs="Times New Roman"/>
                <w:color w:val="000000"/>
                <w:lang w:eastAsia="en-GB"/>
              </w:rPr>
              <w:t>making (</w:t>
            </w:r>
            <w:proofErr w:type="spellStart"/>
            <w:r>
              <w:rPr>
                <w:rFonts w:ascii="Times New Roman" w:eastAsia="Times New Roman" w:hAnsi="Times New Roman" w:cs="Times New Roman"/>
                <w:color w:val="000000"/>
                <w:lang w:eastAsia="en-GB"/>
              </w:rPr>
              <w:t>headteacher</w:t>
            </w:r>
            <w:proofErr w:type="spellEnd"/>
            <w:r>
              <w:rPr>
                <w:rFonts w:ascii="Times New Roman" w:eastAsia="Times New Roman" w:hAnsi="Times New Roman" w:cs="Times New Roman"/>
                <w:color w:val="000000"/>
                <w:lang w:eastAsia="en-GB"/>
              </w:rPr>
              <w:t xml:space="preserve"> report)</w:t>
            </w:r>
          </w:p>
        </w:tc>
        <w:tc>
          <w:tcPr>
            <w:tcW w:w="860" w:type="dxa"/>
            <w:vAlign w:val="center"/>
            <w:hideMark/>
          </w:tcPr>
          <w:p w14:paraId="4353AD3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43%</w:t>
            </w:r>
          </w:p>
        </w:tc>
        <w:tc>
          <w:tcPr>
            <w:tcW w:w="960" w:type="dxa"/>
            <w:vAlign w:val="center"/>
            <w:hideMark/>
          </w:tcPr>
          <w:p w14:paraId="7C29EF5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34%</w:t>
            </w:r>
          </w:p>
        </w:tc>
        <w:tc>
          <w:tcPr>
            <w:tcW w:w="960" w:type="dxa"/>
            <w:vAlign w:val="center"/>
            <w:hideMark/>
          </w:tcPr>
          <w:p w14:paraId="6FD022A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36%</w:t>
            </w:r>
          </w:p>
        </w:tc>
        <w:tc>
          <w:tcPr>
            <w:tcW w:w="740" w:type="dxa"/>
            <w:tcBorders>
              <w:top w:val="nil"/>
              <w:left w:val="nil"/>
              <w:bottom w:val="nil"/>
              <w:right w:val="single" w:sz="4" w:space="0" w:color="auto"/>
            </w:tcBorders>
            <w:vAlign w:val="center"/>
            <w:hideMark/>
          </w:tcPr>
          <w:p w14:paraId="1ECDCA6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42%</w:t>
            </w:r>
          </w:p>
        </w:tc>
        <w:tc>
          <w:tcPr>
            <w:tcW w:w="1096" w:type="dxa"/>
            <w:vAlign w:val="center"/>
            <w:hideMark/>
          </w:tcPr>
          <w:p w14:paraId="57DB207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-0.2%</w:t>
            </w:r>
          </w:p>
        </w:tc>
        <w:tc>
          <w:tcPr>
            <w:tcW w:w="960" w:type="dxa"/>
            <w:vAlign w:val="center"/>
            <w:hideMark/>
          </w:tcPr>
          <w:p w14:paraId="0C788A6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1.4%</w:t>
            </w:r>
          </w:p>
        </w:tc>
      </w:tr>
      <w:tr w:rsidR="00C93B24" w14:paraId="50C6F483" w14:textId="77777777" w:rsidTr="00C93B24">
        <w:trPr>
          <w:trHeight w:val="600"/>
        </w:trPr>
        <w:tc>
          <w:tcPr>
            <w:tcW w:w="4390" w:type="dxa"/>
            <w:vAlign w:val="bottom"/>
            <w:hideMark/>
          </w:tcPr>
          <w:p w14:paraId="48DE2104" w14:textId="742F0B04"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9.Whether involve staff in decision</w:t>
            </w:r>
            <w:r w:rsidR="00783BB6">
              <w:rPr>
                <w:rFonts w:ascii="Times New Roman" w:eastAsia="Times New Roman" w:hAnsi="Times New Roman" w:cs="Times New Roman"/>
                <w:color w:val="000000"/>
                <w:lang w:eastAsia="en-GB"/>
              </w:rPr>
              <w:t>-</w:t>
            </w:r>
            <w:r>
              <w:rPr>
                <w:rFonts w:ascii="Times New Roman" w:eastAsia="Times New Roman" w:hAnsi="Times New Roman" w:cs="Times New Roman"/>
                <w:color w:val="000000"/>
                <w:lang w:eastAsia="en-GB"/>
              </w:rPr>
              <w:t>making (teacher report)</w:t>
            </w:r>
          </w:p>
        </w:tc>
        <w:tc>
          <w:tcPr>
            <w:tcW w:w="860" w:type="dxa"/>
            <w:vAlign w:val="center"/>
            <w:hideMark/>
          </w:tcPr>
          <w:p w14:paraId="0CA572B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17%</w:t>
            </w:r>
          </w:p>
        </w:tc>
        <w:tc>
          <w:tcPr>
            <w:tcW w:w="960" w:type="dxa"/>
            <w:vAlign w:val="center"/>
            <w:hideMark/>
          </w:tcPr>
          <w:p w14:paraId="422DBAC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16%</w:t>
            </w:r>
          </w:p>
        </w:tc>
        <w:tc>
          <w:tcPr>
            <w:tcW w:w="960" w:type="dxa"/>
            <w:vAlign w:val="center"/>
            <w:hideMark/>
          </w:tcPr>
          <w:p w14:paraId="6F63534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16%</w:t>
            </w:r>
          </w:p>
        </w:tc>
        <w:tc>
          <w:tcPr>
            <w:tcW w:w="740" w:type="dxa"/>
            <w:tcBorders>
              <w:top w:val="nil"/>
              <w:left w:val="nil"/>
              <w:bottom w:val="nil"/>
              <w:right w:val="single" w:sz="4" w:space="0" w:color="auto"/>
            </w:tcBorders>
            <w:vAlign w:val="center"/>
            <w:hideMark/>
          </w:tcPr>
          <w:p w14:paraId="507E0B8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16%</w:t>
            </w:r>
          </w:p>
        </w:tc>
        <w:tc>
          <w:tcPr>
            <w:tcW w:w="1096" w:type="dxa"/>
            <w:vAlign w:val="center"/>
            <w:hideMark/>
          </w:tcPr>
          <w:p w14:paraId="0E8E14B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-0.5%</w:t>
            </w:r>
          </w:p>
        </w:tc>
        <w:tc>
          <w:tcPr>
            <w:tcW w:w="960" w:type="dxa"/>
            <w:vAlign w:val="center"/>
            <w:hideMark/>
          </w:tcPr>
          <w:p w14:paraId="7BBE5B7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0.4%</w:t>
            </w:r>
          </w:p>
        </w:tc>
      </w:tr>
      <w:tr w:rsidR="00C93B24" w14:paraId="51337E82" w14:textId="77777777" w:rsidTr="00C93B24">
        <w:trPr>
          <w:trHeight w:val="300"/>
        </w:trPr>
        <w:tc>
          <w:tcPr>
            <w:tcW w:w="4390" w:type="dxa"/>
            <w:vAlign w:val="bottom"/>
            <w:hideMark/>
          </w:tcPr>
          <w:p w14:paraId="7B9F262B"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10.Whether management more autocratic</w:t>
            </w:r>
          </w:p>
        </w:tc>
        <w:tc>
          <w:tcPr>
            <w:tcW w:w="860" w:type="dxa"/>
            <w:vAlign w:val="center"/>
            <w:hideMark/>
          </w:tcPr>
          <w:p w14:paraId="238844F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28%</w:t>
            </w:r>
          </w:p>
        </w:tc>
        <w:tc>
          <w:tcPr>
            <w:tcW w:w="960" w:type="dxa"/>
            <w:vAlign w:val="center"/>
            <w:hideMark/>
          </w:tcPr>
          <w:p w14:paraId="3DCBAA67"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28%</w:t>
            </w:r>
          </w:p>
        </w:tc>
        <w:tc>
          <w:tcPr>
            <w:tcW w:w="960" w:type="dxa"/>
            <w:vAlign w:val="center"/>
            <w:hideMark/>
          </w:tcPr>
          <w:p w14:paraId="4954FAF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31%</w:t>
            </w:r>
          </w:p>
        </w:tc>
        <w:tc>
          <w:tcPr>
            <w:tcW w:w="740" w:type="dxa"/>
            <w:tcBorders>
              <w:top w:val="nil"/>
              <w:left w:val="nil"/>
              <w:bottom w:val="nil"/>
              <w:right w:val="single" w:sz="4" w:space="0" w:color="auto"/>
            </w:tcBorders>
            <w:vAlign w:val="center"/>
            <w:hideMark/>
          </w:tcPr>
          <w:p w14:paraId="5C2DF0B6"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30%</w:t>
            </w:r>
          </w:p>
        </w:tc>
        <w:tc>
          <w:tcPr>
            <w:tcW w:w="1096" w:type="dxa"/>
            <w:vAlign w:val="center"/>
            <w:hideMark/>
          </w:tcPr>
          <w:p w14:paraId="69785B6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0.3%</w:t>
            </w:r>
          </w:p>
        </w:tc>
        <w:tc>
          <w:tcPr>
            <w:tcW w:w="960" w:type="dxa"/>
            <w:vAlign w:val="center"/>
            <w:hideMark/>
          </w:tcPr>
          <w:p w14:paraId="495807E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1.1%</w:t>
            </w:r>
          </w:p>
        </w:tc>
      </w:tr>
      <w:tr w:rsidR="00C93B24" w14:paraId="5D09D743" w14:textId="77777777" w:rsidTr="00C93B24">
        <w:trPr>
          <w:trHeight w:val="600"/>
        </w:trPr>
        <w:tc>
          <w:tcPr>
            <w:tcW w:w="4390" w:type="dxa"/>
            <w:vAlign w:val="bottom"/>
            <w:hideMark/>
          </w:tcPr>
          <w:p w14:paraId="3F892269"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11.Whether there is a collaborative school culture (</w:t>
            </w:r>
            <w:proofErr w:type="spellStart"/>
            <w:r>
              <w:rPr>
                <w:rFonts w:ascii="Times New Roman" w:eastAsia="Times New Roman" w:hAnsi="Times New Roman" w:cs="Times New Roman"/>
                <w:color w:val="000000"/>
                <w:lang w:eastAsia="en-GB"/>
              </w:rPr>
              <w:t>headteacher</w:t>
            </w:r>
            <w:proofErr w:type="spellEnd"/>
            <w:r>
              <w:rPr>
                <w:rFonts w:ascii="Times New Roman" w:eastAsia="Times New Roman" w:hAnsi="Times New Roman" w:cs="Times New Roman"/>
                <w:color w:val="000000"/>
                <w:lang w:eastAsia="en-GB"/>
              </w:rPr>
              <w:t xml:space="preserve"> report)</w:t>
            </w:r>
          </w:p>
        </w:tc>
        <w:tc>
          <w:tcPr>
            <w:tcW w:w="860" w:type="dxa"/>
            <w:vAlign w:val="center"/>
            <w:hideMark/>
          </w:tcPr>
          <w:p w14:paraId="0AF9E02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39%</w:t>
            </w:r>
          </w:p>
        </w:tc>
        <w:tc>
          <w:tcPr>
            <w:tcW w:w="960" w:type="dxa"/>
            <w:vAlign w:val="center"/>
            <w:hideMark/>
          </w:tcPr>
          <w:p w14:paraId="2F19E38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31%</w:t>
            </w:r>
          </w:p>
        </w:tc>
        <w:tc>
          <w:tcPr>
            <w:tcW w:w="960" w:type="dxa"/>
            <w:vAlign w:val="center"/>
            <w:hideMark/>
          </w:tcPr>
          <w:p w14:paraId="0F39BEC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28%</w:t>
            </w:r>
          </w:p>
        </w:tc>
        <w:tc>
          <w:tcPr>
            <w:tcW w:w="740" w:type="dxa"/>
            <w:tcBorders>
              <w:top w:val="nil"/>
              <w:left w:val="nil"/>
              <w:bottom w:val="nil"/>
              <w:right w:val="single" w:sz="4" w:space="0" w:color="auto"/>
            </w:tcBorders>
            <w:vAlign w:val="center"/>
            <w:hideMark/>
          </w:tcPr>
          <w:p w14:paraId="3559B0B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33%</w:t>
            </w:r>
          </w:p>
        </w:tc>
        <w:tc>
          <w:tcPr>
            <w:tcW w:w="1096" w:type="dxa"/>
            <w:vAlign w:val="center"/>
            <w:hideMark/>
          </w:tcPr>
          <w:p w14:paraId="4CDE1C93"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-1.8%</w:t>
            </w:r>
          </w:p>
        </w:tc>
        <w:tc>
          <w:tcPr>
            <w:tcW w:w="960" w:type="dxa"/>
            <w:vAlign w:val="center"/>
            <w:hideMark/>
          </w:tcPr>
          <w:p w14:paraId="7FFB0C0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1.1%</w:t>
            </w:r>
          </w:p>
        </w:tc>
      </w:tr>
      <w:tr w:rsidR="00C93B24" w14:paraId="50639814" w14:textId="77777777" w:rsidTr="00C93B24">
        <w:trPr>
          <w:trHeight w:val="600"/>
        </w:trPr>
        <w:tc>
          <w:tcPr>
            <w:tcW w:w="4390" w:type="dxa"/>
            <w:vAlign w:val="bottom"/>
            <w:hideMark/>
          </w:tcPr>
          <w:p w14:paraId="5D941A74"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12.Whether there is a collaborative school culture (teacher report)</w:t>
            </w:r>
          </w:p>
        </w:tc>
        <w:tc>
          <w:tcPr>
            <w:tcW w:w="860" w:type="dxa"/>
            <w:vAlign w:val="center"/>
            <w:hideMark/>
          </w:tcPr>
          <w:p w14:paraId="15C7AA5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21%</w:t>
            </w:r>
          </w:p>
        </w:tc>
        <w:tc>
          <w:tcPr>
            <w:tcW w:w="960" w:type="dxa"/>
            <w:vAlign w:val="center"/>
            <w:hideMark/>
          </w:tcPr>
          <w:p w14:paraId="27DD6E3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19%</w:t>
            </w:r>
          </w:p>
        </w:tc>
        <w:tc>
          <w:tcPr>
            <w:tcW w:w="960" w:type="dxa"/>
            <w:vAlign w:val="center"/>
            <w:hideMark/>
          </w:tcPr>
          <w:p w14:paraId="74D9314D"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17%</w:t>
            </w:r>
          </w:p>
        </w:tc>
        <w:tc>
          <w:tcPr>
            <w:tcW w:w="740" w:type="dxa"/>
            <w:tcBorders>
              <w:top w:val="nil"/>
              <w:left w:val="nil"/>
              <w:bottom w:val="nil"/>
              <w:right w:val="single" w:sz="4" w:space="0" w:color="auto"/>
            </w:tcBorders>
            <w:vAlign w:val="center"/>
            <w:hideMark/>
          </w:tcPr>
          <w:p w14:paraId="4B455F91"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18%</w:t>
            </w:r>
          </w:p>
        </w:tc>
        <w:tc>
          <w:tcPr>
            <w:tcW w:w="1096" w:type="dxa"/>
            <w:vAlign w:val="center"/>
            <w:hideMark/>
          </w:tcPr>
          <w:p w14:paraId="3F701C9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-0.6%</w:t>
            </w:r>
          </w:p>
        </w:tc>
        <w:tc>
          <w:tcPr>
            <w:tcW w:w="960" w:type="dxa"/>
            <w:vAlign w:val="center"/>
            <w:hideMark/>
          </w:tcPr>
          <w:p w14:paraId="4B066BD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0.6%</w:t>
            </w:r>
          </w:p>
        </w:tc>
      </w:tr>
      <w:tr w:rsidR="00C93B24" w14:paraId="03F5C045" w14:textId="77777777" w:rsidTr="00C93B24">
        <w:trPr>
          <w:trHeight w:val="600"/>
        </w:trPr>
        <w:tc>
          <w:tcPr>
            <w:tcW w:w="4390" w:type="dxa"/>
            <w:vAlign w:val="bottom"/>
            <w:hideMark/>
          </w:tcPr>
          <w:p w14:paraId="17CE1EF8" w14:textId="77777777"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13.Whether teachers hold high expectations for student achievement</w:t>
            </w:r>
          </w:p>
        </w:tc>
        <w:tc>
          <w:tcPr>
            <w:tcW w:w="860" w:type="dxa"/>
            <w:vAlign w:val="center"/>
            <w:hideMark/>
          </w:tcPr>
          <w:p w14:paraId="5986D28E"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41%</w:t>
            </w:r>
          </w:p>
        </w:tc>
        <w:tc>
          <w:tcPr>
            <w:tcW w:w="960" w:type="dxa"/>
            <w:vAlign w:val="center"/>
            <w:hideMark/>
          </w:tcPr>
          <w:p w14:paraId="24486FD9"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31%</w:t>
            </w:r>
          </w:p>
        </w:tc>
        <w:tc>
          <w:tcPr>
            <w:tcW w:w="960" w:type="dxa"/>
            <w:vAlign w:val="center"/>
            <w:hideMark/>
          </w:tcPr>
          <w:p w14:paraId="09F79EA5"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30%</w:t>
            </w:r>
          </w:p>
        </w:tc>
        <w:tc>
          <w:tcPr>
            <w:tcW w:w="740" w:type="dxa"/>
            <w:tcBorders>
              <w:top w:val="nil"/>
              <w:left w:val="nil"/>
              <w:bottom w:val="nil"/>
              <w:right w:val="single" w:sz="4" w:space="0" w:color="auto"/>
            </w:tcBorders>
            <w:vAlign w:val="center"/>
            <w:hideMark/>
          </w:tcPr>
          <w:p w14:paraId="7B8DC60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37%</w:t>
            </w:r>
          </w:p>
        </w:tc>
        <w:tc>
          <w:tcPr>
            <w:tcW w:w="1096" w:type="dxa"/>
            <w:vAlign w:val="center"/>
            <w:hideMark/>
          </w:tcPr>
          <w:p w14:paraId="08F1F8B2"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-2.2%</w:t>
            </w:r>
          </w:p>
        </w:tc>
        <w:tc>
          <w:tcPr>
            <w:tcW w:w="960" w:type="dxa"/>
            <w:vAlign w:val="center"/>
            <w:hideMark/>
          </w:tcPr>
          <w:p w14:paraId="45DE8088"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4.0%</w:t>
            </w:r>
          </w:p>
        </w:tc>
      </w:tr>
      <w:tr w:rsidR="00C93B24" w14:paraId="5BC9D380" w14:textId="77777777" w:rsidTr="00C93B24">
        <w:trPr>
          <w:trHeight w:val="600"/>
        </w:trPr>
        <w:tc>
          <w:tcPr>
            <w:tcW w:w="4390" w:type="dxa"/>
            <w:tcBorders>
              <w:top w:val="nil"/>
              <w:left w:val="nil"/>
              <w:bottom w:val="single" w:sz="4" w:space="0" w:color="auto"/>
              <w:right w:val="nil"/>
            </w:tcBorders>
            <w:vAlign w:val="bottom"/>
            <w:hideMark/>
          </w:tcPr>
          <w:p w14:paraId="05DDC8E6" w14:textId="4BC6852C" w:rsidR="00C93B24" w:rsidRDefault="00C93B24">
            <w:pPr>
              <w:spacing w:after="0"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14. Whether </w:t>
            </w:r>
            <w:proofErr w:type="spellStart"/>
            <w:r>
              <w:rPr>
                <w:rFonts w:ascii="Times New Roman" w:eastAsia="Times New Roman" w:hAnsi="Times New Roman" w:cs="Times New Roman"/>
                <w:color w:val="000000"/>
                <w:lang w:eastAsia="en-GB"/>
              </w:rPr>
              <w:t>headteachers</w:t>
            </w:r>
            <w:proofErr w:type="spellEnd"/>
            <w:r>
              <w:rPr>
                <w:rFonts w:ascii="Times New Roman" w:eastAsia="Times New Roman" w:hAnsi="Times New Roman" w:cs="Times New Roman"/>
                <w:color w:val="000000"/>
                <w:lang w:eastAsia="en-GB"/>
              </w:rPr>
              <w:t xml:space="preserve"> feedback test</w:t>
            </w:r>
            <w:r w:rsidR="00FE5D0E">
              <w:rPr>
                <w:rFonts w:ascii="Times New Roman" w:eastAsia="Times New Roman" w:hAnsi="Times New Roman" w:cs="Times New Roman"/>
                <w:color w:val="000000"/>
                <w:lang w:eastAsia="en-GB"/>
              </w:rPr>
              <w:t>-</w:t>
            </w:r>
            <w:r>
              <w:rPr>
                <w:rFonts w:ascii="Times New Roman" w:eastAsia="Times New Roman" w:hAnsi="Times New Roman" w:cs="Times New Roman"/>
                <w:color w:val="000000"/>
                <w:lang w:eastAsia="en-GB"/>
              </w:rPr>
              <w:t xml:space="preserve">score results to teachers </w:t>
            </w:r>
          </w:p>
        </w:tc>
        <w:tc>
          <w:tcPr>
            <w:tcW w:w="860" w:type="dxa"/>
            <w:tcBorders>
              <w:top w:val="nil"/>
              <w:left w:val="nil"/>
              <w:bottom w:val="single" w:sz="4" w:space="0" w:color="auto"/>
              <w:right w:val="nil"/>
            </w:tcBorders>
            <w:vAlign w:val="center"/>
            <w:hideMark/>
          </w:tcPr>
          <w:p w14:paraId="2870CB04"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52%</w:t>
            </w:r>
          </w:p>
        </w:tc>
        <w:tc>
          <w:tcPr>
            <w:tcW w:w="960" w:type="dxa"/>
            <w:tcBorders>
              <w:top w:val="nil"/>
              <w:left w:val="nil"/>
              <w:bottom w:val="single" w:sz="4" w:space="0" w:color="auto"/>
              <w:right w:val="nil"/>
            </w:tcBorders>
            <w:vAlign w:val="center"/>
            <w:hideMark/>
          </w:tcPr>
          <w:p w14:paraId="0A29196B"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51%</w:t>
            </w:r>
          </w:p>
        </w:tc>
        <w:tc>
          <w:tcPr>
            <w:tcW w:w="960" w:type="dxa"/>
            <w:tcBorders>
              <w:top w:val="nil"/>
              <w:left w:val="nil"/>
              <w:bottom w:val="single" w:sz="4" w:space="0" w:color="auto"/>
              <w:right w:val="nil"/>
            </w:tcBorders>
            <w:vAlign w:val="center"/>
            <w:hideMark/>
          </w:tcPr>
          <w:p w14:paraId="65C0E3DA"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55%</w:t>
            </w:r>
          </w:p>
        </w:tc>
        <w:tc>
          <w:tcPr>
            <w:tcW w:w="740" w:type="dxa"/>
            <w:tcBorders>
              <w:top w:val="nil"/>
              <w:left w:val="nil"/>
              <w:bottom w:val="single" w:sz="4" w:space="0" w:color="auto"/>
              <w:right w:val="single" w:sz="4" w:space="0" w:color="auto"/>
            </w:tcBorders>
            <w:vAlign w:val="center"/>
            <w:hideMark/>
          </w:tcPr>
          <w:p w14:paraId="33F21510"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60%</w:t>
            </w:r>
          </w:p>
        </w:tc>
        <w:tc>
          <w:tcPr>
            <w:tcW w:w="1096" w:type="dxa"/>
            <w:tcBorders>
              <w:top w:val="nil"/>
              <w:left w:val="nil"/>
              <w:bottom w:val="single" w:sz="4" w:space="0" w:color="auto"/>
              <w:right w:val="nil"/>
            </w:tcBorders>
            <w:vAlign w:val="center"/>
            <w:hideMark/>
          </w:tcPr>
          <w:p w14:paraId="691ECBBF"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0.3%</w:t>
            </w:r>
          </w:p>
        </w:tc>
        <w:tc>
          <w:tcPr>
            <w:tcW w:w="960" w:type="dxa"/>
            <w:tcBorders>
              <w:top w:val="nil"/>
              <w:left w:val="nil"/>
              <w:bottom w:val="single" w:sz="4" w:space="0" w:color="auto"/>
              <w:right w:val="nil"/>
            </w:tcBorders>
            <w:vAlign w:val="center"/>
            <w:hideMark/>
          </w:tcPr>
          <w:p w14:paraId="5D7B3C6C" w14:textId="77777777" w:rsidR="00C93B24" w:rsidRDefault="00C93B24">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1.4%</w:t>
            </w:r>
          </w:p>
        </w:tc>
      </w:tr>
    </w:tbl>
    <w:p w14:paraId="64B2F0A3" w14:textId="64DB8B66" w:rsidR="00835B9B" w:rsidRDefault="00C93B24" w:rsidP="008B4E20">
      <w:pPr>
        <w:pStyle w:val="NoSpacing"/>
        <w:spacing w:after="240"/>
        <w:jc w:val="both"/>
        <w:rPr>
          <w:rFonts w:ascii="Times New Roman" w:hAnsi="Times New Roman" w:cs="Times New Roman"/>
          <w:szCs w:val="24"/>
        </w:rPr>
      </w:pPr>
      <w:r>
        <w:rPr>
          <w:rFonts w:ascii="Times New Roman" w:hAnsi="Times New Roman" w:cs="Times New Roman"/>
          <w:sz w:val="20"/>
          <w:szCs w:val="20"/>
        </w:rPr>
        <w:t xml:space="preserve">Notes:  Analysis based upon pooled TALIS 2018 lower-secondary data pooled across countries. Figures on the left refer to unconditional descriptive statistics.  The model estimates illustrate the change in the probability for a one-category increase in </w:t>
      </w:r>
      <w:proofErr w:type="spellStart"/>
      <w:r>
        <w:rPr>
          <w:rFonts w:ascii="Times New Roman" w:hAnsi="Times New Roman" w:cs="Times New Roman"/>
          <w:sz w:val="20"/>
          <w:szCs w:val="20"/>
        </w:rPr>
        <w:t>headteacher</w:t>
      </w:r>
      <w:proofErr w:type="spellEnd"/>
      <w:r>
        <w:rPr>
          <w:rFonts w:ascii="Times New Roman" w:hAnsi="Times New Roman" w:cs="Times New Roman"/>
          <w:sz w:val="20"/>
          <w:szCs w:val="20"/>
        </w:rPr>
        <w:t xml:space="preserve"> stress due to accountability (e.g. the </w:t>
      </w:r>
      <w:proofErr w:type="spellStart"/>
      <w:r>
        <w:rPr>
          <w:rFonts w:ascii="Times New Roman" w:hAnsi="Times New Roman" w:cs="Times New Roman"/>
          <w:sz w:val="20"/>
          <w:szCs w:val="20"/>
        </w:rPr>
        <w:t>headteacher</w:t>
      </w:r>
      <w:proofErr w:type="spellEnd"/>
      <w:r>
        <w:rPr>
          <w:rFonts w:ascii="Times New Roman" w:hAnsi="Times New Roman" w:cs="Times New Roman"/>
          <w:sz w:val="20"/>
          <w:szCs w:val="20"/>
        </w:rPr>
        <w:t xml:space="preserve"> typically saying that they suffer stress due to accountability </w:t>
      </w:r>
      <w:r w:rsidR="00835B9B">
        <w:rPr>
          <w:rFonts w:ascii="Times New Roman" w:hAnsi="Times New Roman" w:cs="Times New Roman"/>
          <w:sz w:val="20"/>
          <w:szCs w:val="20"/>
        </w:rPr>
        <w:t>‘</w:t>
      </w:r>
      <w:r>
        <w:rPr>
          <w:rFonts w:ascii="Times New Roman" w:hAnsi="Times New Roman" w:cs="Times New Roman"/>
          <w:sz w:val="20"/>
          <w:szCs w:val="20"/>
        </w:rPr>
        <w:t>quite a bit</w:t>
      </w:r>
      <w:r w:rsidR="00835B9B">
        <w:rPr>
          <w:rFonts w:ascii="Times New Roman" w:hAnsi="Times New Roman" w:cs="Times New Roman"/>
          <w:sz w:val="20"/>
          <w:szCs w:val="20"/>
        </w:rPr>
        <w:t>;</w:t>
      </w:r>
      <w:r>
        <w:rPr>
          <w:rFonts w:ascii="Times New Roman" w:hAnsi="Times New Roman" w:cs="Times New Roman"/>
          <w:sz w:val="20"/>
          <w:szCs w:val="20"/>
        </w:rPr>
        <w:t xml:space="preserve"> rather than </w:t>
      </w:r>
      <w:r w:rsidR="00835B9B">
        <w:rPr>
          <w:rFonts w:ascii="Times New Roman" w:hAnsi="Times New Roman" w:cs="Times New Roman"/>
          <w:sz w:val="20"/>
          <w:szCs w:val="20"/>
        </w:rPr>
        <w:t>‘</w:t>
      </w:r>
      <w:r>
        <w:rPr>
          <w:rFonts w:ascii="Times New Roman" w:hAnsi="Times New Roman" w:cs="Times New Roman"/>
          <w:sz w:val="20"/>
          <w:szCs w:val="20"/>
        </w:rPr>
        <w:t>to some extent</w:t>
      </w:r>
      <w:r w:rsidR="00835B9B">
        <w:rPr>
          <w:rFonts w:ascii="Times New Roman" w:hAnsi="Times New Roman" w:cs="Times New Roman"/>
          <w:sz w:val="20"/>
          <w:szCs w:val="20"/>
        </w:rPr>
        <w:t>’</w:t>
      </w:r>
      <w:r>
        <w:rPr>
          <w:rFonts w:ascii="Times New Roman" w:hAnsi="Times New Roman" w:cs="Times New Roman"/>
          <w:sz w:val="20"/>
          <w:szCs w:val="20"/>
        </w:rPr>
        <w:t>).   Model controls for teacher demographics, school</w:t>
      </w:r>
      <w:r w:rsidR="00835B9B">
        <w:rPr>
          <w:rFonts w:ascii="Times New Roman" w:hAnsi="Times New Roman" w:cs="Times New Roman"/>
          <w:sz w:val="20"/>
          <w:szCs w:val="20"/>
        </w:rPr>
        <w:t xml:space="preserve"> </w:t>
      </w:r>
      <w:r>
        <w:rPr>
          <w:rFonts w:ascii="Times New Roman" w:hAnsi="Times New Roman" w:cs="Times New Roman"/>
          <w:sz w:val="20"/>
          <w:szCs w:val="20"/>
        </w:rPr>
        <w:t>intake, school resources (e.g. pupil-teacher ratios) and country fixed effects.</w:t>
      </w:r>
    </w:p>
    <w:p w14:paraId="0CFBA8B7" w14:textId="65037B12" w:rsidR="00C93B24" w:rsidRDefault="00C93B24" w:rsidP="008B4E20">
      <w:pPr>
        <w:pStyle w:val="NoSpacing"/>
        <w:spacing w:after="160" w:line="360" w:lineRule="auto"/>
        <w:jc w:val="both"/>
        <w:rPr>
          <w:rFonts w:ascii="Times New Roman" w:hAnsi="Times New Roman" w:cs="Times New Roman"/>
          <w:b/>
          <w:szCs w:val="24"/>
        </w:rPr>
      </w:pPr>
      <w:r>
        <w:rPr>
          <w:rFonts w:ascii="Times New Roman" w:hAnsi="Times New Roman" w:cs="Times New Roman"/>
          <w:szCs w:val="24"/>
        </w:rPr>
        <w:t xml:space="preserve">Interestingly, most differences are small and fail to reach statistical significance at conventional thresholds. For instance, there is little evidence that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become more autocratic in their management (see rows 8–10), become more likely to use test scores in teacher appraisals (row 4), more frequently feedback test</w:t>
      </w:r>
      <w:r w:rsidR="00FE5D0E">
        <w:rPr>
          <w:rFonts w:ascii="Times New Roman" w:hAnsi="Times New Roman" w:cs="Times New Roman"/>
          <w:szCs w:val="24"/>
        </w:rPr>
        <w:t>-</w:t>
      </w:r>
      <w:r>
        <w:rPr>
          <w:rFonts w:ascii="Times New Roman" w:hAnsi="Times New Roman" w:cs="Times New Roman"/>
          <w:szCs w:val="24"/>
        </w:rPr>
        <w:t xml:space="preserve">score data to staff (row 14) or that it leads to a less collaborative environment within the school (rows 11–12). This is broadly consistent with the results presented within the sub-section on emotional contagion above; if school leaders don’t </w:t>
      </w:r>
      <w:r>
        <w:rPr>
          <w:rFonts w:ascii="Times New Roman" w:hAnsi="Times New Roman" w:cs="Times New Roman"/>
          <w:szCs w:val="24"/>
        </w:rPr>
        <w:lastRenderedPageBreak/>
        <w:t xml:space="preserve">alter their approach to management when they are stressed – and it doesn’t worsen the environment within the school – then it is perhaps not surprising that the link between </w:t>
      </w:r>
      <w:proofErr w:type="spellStart"/>
      <w:r>
        <w:rPr>
          <w:rFonts w:ascii="Times New Roman" w:hAnsi="Times New Roman" w:cs="Times New Roman"/>
          <w:szCs w:val="24"/>
        </w:rPr>
        <w:t>headteacher</w:t>
      </w:r>
      <w:proofErr w:type="spellEnd"/>
      <w:r>
        <w:rPr>
          <w:rFonts w:ascii="Times New Roman" w:hAnsi="Times New Roman" w:cs="Times New Roman"/>
          <w:szCs w:val="24"/>
        </w:rPr>
        <w:t xml:space="preserve"> and teacher stress surrounding accountability is relatively weak. Moreover, it again suggests that, even when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themselves feel stressed about accountability, they try not </w:t>
      </w:r>
      <w:r w:rsidR="00835B9B">
        <w:rPr>
          <w:rFonts w:ascii="Times New Roman" w:hAnsi="Times New Roman" w:cs="Times New Roman"/>
          <w:szCs w:val="24"/>
        </w:rPr>
        <w:t xml:space="preserve">to </w:t>
      </w:r>
      <w:r>
        <w:rPr>
          <w:rFonts w:ascii="Times New Roman" w:hAnsi="Times New Roman" w:cs="Times New Roman"/>
          <w:szCs w:val="24"/>
        </w:rPr>
        <w:t xml:space="preserve">take negative actions (e.g. become more autocratic) which might put additional pressure on staff. One interpretation of this result – and more generally of those presented within this paper – is that teachers feel the pressure of accountability directly from the system, rather than it being driven by the actions of </w:t>
      </w:r>
      <w:proofErr w:type="spellStart"/>
      <w:r>
        <w:rPr>
          <w:rFonts w:ascii="Times New Roman" w:hAnsi="Times New Roman" w:cs="Times New Roman"/>
          <w:szCs w:val="24"/>
        </w:rPr>
        <w:t>headteachers</w:t>
      </w:r>
      <w:proofErr w:type="spellEnd"/>
      <w:r>
        <w:rPr>
          <w:rFonts w:ascii="Times New Roman" w:hAnsi="Times New Roman" w:cs="Times New Roman"/>
          <w:szCs w:val="24"/>
        </w:rPr>
        <w:t xml:space="preserve"> in response to the stress they themselves feel from accountability-driven pressures. </w:t>
      </w:r>
    </w:p>
    <w:p w14:paraId="2D843D76" w14:textId="4E65CD21" w:rsidR="00C93B24" w:rsidRDefault="00A42706" w:rsidP="00C93B24">
      <w:pPr>
        <w:pStyle w:val="NoSpacing"/>
        <w:numPr>
          <w:ilvl w:val="1"/>
          <w:numId w:val="35"/>
        </w:numPr>
        <w:jc w:val="both"/>
        <w:rPr>
          <w:rFonts w:ascii="Times New Roman" w:hAnsi="Times New Roman" w:cs="Times New Roman"/>
          <w:b/>
          <w:szCs w:val="24"/>
        </w:rPr>
      </w:pPr>
      <w:r>
        <w:rPr>
          <w:rFonts w:ascii="Times New Roman" w:hAnsi="Times New Roman" w:cs="Times New Roman"/>
          <w:b/>
          <w:szCs w:val="24"/>
        </w:rPr>
        <w:t xml:space="preserve"> </w:t>
      </w:r>
      <w:r w:rsidR="00C93B24">
        <w:rPr>
          <w:rFonts w:ascii="Times New Roman" w:hAnsi="Times New Roman" w:cs="Times New Roman"/>
          <w:b/>
          <w:szCs w:val="24"/>
        </w:rPr>
        <w:t>Summary and policy implications</w:t>
      </w:r>
    </w:p>
    <w:p w14:paraId="4536AE8F" w14:textId="77777777" w:rsidR="00C93B24" w:rsidRDefault="00C93B24" w:rsidP="00C93B24">
      <w:pPr>
        <w:pStyle w:val="NoSpacing"/>
        <w:ind w:left="720"/>
        <w:jc w:val="both"/>
        <w:rPr>
          <w:rFonts w:ascii="Times New Roman" w:hAnsi="Times New Roman" w:cs="Times New Roman"/>
          <w:b/>
          <w:szCs w:val="24"/>
        </w:rPr>
      </w:pPr>
    </w:p>
    <w:p w14:paraId="5DD383DB" w14:textId="5E1A6E6C" w:rsidR="00C93B24" w:rsidRPr="00C93B24" w:rsidRDefault="00C93B24" w:rsidP="00C93B24">
      <w:pPr>
        <w:spacing w:line="360" w:lineRule="auto"/>
        <w:jc w:val="both"/>
        <w:rPr>
          <w:rFonts w:ascii="Times New Roman" w:hAnsi="Times New Roman" w:cs="Times New Roman"/>
          <w:sz w:val="24"/>
          <w:szCs w:val="24"/>
        </w:rPr>
      </w:pPr>
      <w:r w:rsidRPr="00C93B24">
        <w:rPr>
          <w:rFonts w:ascii="Times New Roman" w:hAnsi="Times New Roman" w:cs="Times New Roman"/>
          <w:sz w:val="24"/>
          <w:szCs w:val="24"/>
        </w:rPr>
        <w:t>Results from this chapter have shown that there is a cross-national relationship between school-system accountability and how stressed school staff feel about this aspect of their job. Yet the strength of this relationship is modest (correlation ≈0.3), with some clear examples of countries with extensive, data-driven accountability in schools where comparatively few teachers and school</w:t>
      </w:r>
      <w:r w:rsidR="00A42706">
        <w:rPr>
          <w:rFonts w:ascii="Times New Roman" w:hAnsi="Times New Roman" w:cs="Times New Roman"/>
          <w:sz w:val="24"/>
          <w:szCs w:val="24"/>
        </w:rPr>
        <w:t xml:space="preserve"> </w:t>
      </w:r>
      <w:r w:rsidRPr="00C93B24">
        <w:rPr>
          <w:rFonts w:ascii="Times New Roman" w:hAnsi="Times New Roman" w:cs="Times New Roman"/>
          <w:sz w:val="24"/>
          <w:szCs w:val="24"/>
        </w:rPr>
        <w:t xml:space="preserve">leaders say that they feel stressed. We also find there to be only a weak relationship between how stressed </w:t>
      </w:r>
      <w:proofErr w:type="spellStart"/>
      <w:r w:rsidRPr="00C93B24">
        <w:rPr>
          <w:rFonts w:ascii="Times New Roman" w:hAnsi="Times New Roman" w:cs="Times New Roman"/>
          <w:sz w:val="24"/>
          <w:szCs w:val="24"/>
        </w:rPr>
        <w:t>headteachers</w:t>
      </w:r>
      <w:proofErr w:type="spellEnd"/>
      <w:r w:rsidRPr="00C93B24">
        <w:rPr>
          <w:rFonts w:ascii="Times New Roman" w:hAnsi="Times New Roman" w:cs="Times New Roman"/>
          <w:sz w:val="24"/>
          <w:szCs w:val="24"/>
        </w:rPr>
        <w:t xml:space="preserve"> feel about accountability and the stress felt by staff. One potential explanation for this finding is that the management </w:t>
      </w:r>
      <w:r w:rsidR="00A42706" w:rsidRPr="00C93B24">
        <w:rPr>
          <w:rFonts w:ascii="Times New Roman" w:hAnsi="Times New Roman" w:cs="Times New Roman"/>
          <w:sz w:val="24"/>
          <w:szCs w:val="24"/>
        </w:rPr>
        <w:t>practi</w:t>
      </w:r>
      <w:r w:rsidR="00A42706">
        <w:rPr>
          <w:rFonts w:ascii="Times New Roman" w:hAnsi="Times New Roman" w:cs="Times New Roman"/>
          <w:sz w:val="24"/>
          <w:szCs w:val="24"/>
        </w:rPr>
        <w:t>c</w:t>
      </w:r>
      <w:r w:rsidR="00A42706" w:rsidRPr="00C93B24">
        <w:rPr>
          <w:rFonts w:ascii="Times New Roman" w:hAnsi="Times New Roman" w:cs="Times New Roman"/>
          <w:sz w:val="24"/>
          <w:szCs w:val="24"/>
        </w:rPr>
        <w:t xml:space="preserve">es </w:t>
      </w:r>
      <w:r w:rsidRPr="00C93B24">
        <w:rPr>
          <w:rFonts w:ascii="Times New Roman" w:hAnsi="Times New Roman" w:cs="Times New Roman"/>
          <w:sz w:val="24"/>
          <w:szCs w:val="24"/>
        </w:rPr>
        <w:t xml:space="preserve">of </w:t>
      </w:r>
      <w:proofErr w:type="spellStart"/>
      <w:r w:rsidRPr="00C93B24">
        <w:rPr>
          <w:rFonts w:ascii="Times New Roman" w:hAnsi="Times New Roman" w:cs="Times New Roman"/>
          <w:sz w:val="24"/>
          <w:szCs w:val="24"/>
        </w:rPr>
        <w:t>headteachers</w:t>
      </w:r>
      <w:proofErr w:type="spellEnd"/>
      <w:r w:rsidRPr="00C93B24">
        <w:rPr>
          <w:rFonts w:ascii="Times New Roman" w:hAnsi="Times New Roman" w:cs="Times New Roman"/>
          <w:sz w:val="24"/>
          <w:szCs w:val="24"/>
        </w:rPr>
        <w:t xml:space="preserve"> who feel under pressure from accountability do not seem to differ much from those that do not feel stressed by this part of their work. However, there is clear evidence of </w:t>
      </w:r>
      <w:r w:rsidR="00A42706">
        <w:rPr>
          <w:rFonts w:ascii="Times New Roman" w:hAnsi="Times New Roman" w:cs="Times New Roman"/>
          <w:sz w:val="24"/>
          <w:szCs w:val="24"/>
        </w:rPr>
        <w:t>‘</w:t>
      </w:r>
      <w:r w:rsidRPr="00C93B24">
        <w:rPr>
          <w:rFonts w:ascii="Times New Roman" w:hAnsi="Times New Roman" w:cs="Times New Roman"/>
          <w:sz w:val="24"/>
          <w:szCs w:val="24"/>
        </w:rPr>
        <w:t>emotional contagion</w:t>
      </w:r>
      <w:r w:rsidR="00A42706">
        <w:rPr>
          <w:rFonts w:ascii="Times New Roman" w:hAnsi="Times New Roman" w:cs="Times New Roman"/>
          <w:sz w:val="24"/>
          <w:szCs w:val="24"/>
        </w:rPr>
        <w:t>’</w:t>
      </w:r>
      <w:r w:rsidRPr="00C93B24">
        <w:rPr>
          <w:rFonts w:ascii="Times New Roman" w:hAnsi="Times New Roman" w:cs="Times New Roman"/>
          <w:sz w:val="24"/>
          <w:szCs w:val="24"/>
        </w:rPr>
        <w:t xml:space="preserve"> of accountability-induced stress amongst staff within schools; an individual is much more likely to feel under pressure from this aspect of their job if their colleagues do as well. </w:t>
      </w:r>
    </w:p>
    <w:p w14:paraId="16765595" w14:textId="7508CBF3" w:rsidR="00C93B24" w:rsidRPr="00C93B24" w:rsidRDefault="00C93B24" w:rsidP="00C93B24">
      <w:pPr>
        <w:spacing w:line="360" w:lineRule="auto"/>
        <w:jc w:val="both"/>
        <w:rPr>
          <w:rFonts w:ascii="Times New Roman" w:hAnsi="Times New Roman" w:cs="Times New Roman"/>
          <w:sz w:val="24"/>
          <w:szCs w:val="24"/>
        </w:rPr>
      </w:pPr>
      <w:r w:rsidRPr="00C93B24">
        <w:rPr>
          <w:rFonts w:ascii="Times New Roman" w:hAnsi="Times New Roman" w:cs="Times New Roman"/>
          <w:sz w:val="24"/>
          <w:szCs w:val="24"/>
        </w:rPr>
        <w:t xml:space="preserve">We believe the findings presented in this paper may hold some important implications for education policy and </w:t>
      </w:r>
      <w:r w:rsidR="00A42706" w:rsidRPr="00C93B24">
        <w:rPr>
          <w:rFonts w:ascii="Times New Roman" w:hAnsi="Times New Roman" w:cs="Times New Roman"/>
          <w:sz w:val="24"/>
          <w:szCs w:val="24"/>
        </w:rPr>
        <w:t>practi</w:t>
      </w:r>
      <w:r w:rsidR="00A42706">
        <w:rPr>
          <w:rFonts w:ascii="Times New Roman" w:hAnsi="Times New Roman" w:cs="Times New Roman"/>
          <w:sz w:val="24"/>
          <w:szCs w:val="24"/>
        </w:rPr>
        <w:t>c</w:t>
      </w:r>
      <w:r w:rsidR="00A42706" w:rsidRPr="00C93B24">
        <w:rPr>
          <w:rFonts w:ascii="Times New Roman" w:hAnsi="Times New Roman" w:cs="Times New Roman"/>
          <w:sz w:val="24"/>
          <w:szCs w:val="24"/>
        </w:rPr>
        <w:t>e</w:t>
      </w:r>
      <w:r w:rsidRPr="00C93B24">
        <w:rPr>
          <w:rFonts w:ascii="Times New Roman" w:hAnsi="Times New Roman" w:cs="Times New Roman"/>
          <w:sz w:val="24"/>
          <w:szCs w:val="24"/>
        </w:rPr>
        <w:t xml:space="preserve">. For government officials, it is important that they recognise that increasing accountability within the school system is unlikely to be a one-way street to </w:t>
      </w:r>
      <w:r w:rsidR="00A42706">
        <w:rPr>
          <w:rFonts w:ascii="Times New Roman" w:hAnsi="Times New Roman" w:cs="Times New Roman"/>
          <w:sz w:val="24"/>
          <w:szCs w:val="24"/>
        </w:rPr>
        <w:t>‘</w:t>
      </w:r>
      <w:r w:rsidRPr="00C93B24">
        <w:rPr>
          <w:rFonts w:ascii="Times New Roman" w:hAnsi="Times New Roman" w:cs="Times New Roman"/>
          <w:sz w:val="24"/>
          <w:szCs w:val="24"/>
        </w:rPr>
        <w:t>school improvement</w:t>
      </w:r>
      <w:r w:rsidR="00A42706">
        <w:rPr>
          <w:rFonts w:ascii="Times New Roman" w:hAnsi="Times New Roman" w:cs="Times New Roman"/>
          <w:sz w:val="24"/>
          <w:szCs w:val="24"/>
        </w:rPr>
        <w:t>’</w:t>
      </w:r>
      <w:r w:rsidRPr="00C93B24">
        <w:rPr>
          <w:rFonts w:ascii="Times New Roman" w:hAnsi="Times New Roman" w:cs="Times New Roman"/>
          <w:sz w:val="24"/>
          <w:szCs w:val="24"/>
        </w:rPr>
        <w:t xml:space="preserve">. Although it may, according to previous research (e.g. </w:t>
      </w:r>
      <w:proofErr w:type="spellStart"/>
      <w:r w:rsidRPr="00C93B24">
        <w:rPr>
          <w:rFonts w:ascii="Times New Roman" w:hAnsi="Times New Roman" w:cs="Times New Roman"/>
          <w:sz w:val="24"/>
          <w:szCs w:val="24"/>
        </w:rPr>
        <w:t>Hanushek</w:t>
      </w:r>
      <w:proofErr w:type="spellEnd"/>
      <w:r w:rsidRPr="00C93B24">
        <w:rPr>
          <w:rFonts w:ascii="Times New Roman" w:hAnsi="Times New Roman" w:cs="Times New Roman"/>
          <w:sz w:val="24"/>
          <w:szCs w:val="24"/>
        </w:rPr>
        <w:t xml:space="preserve"> and Raymond</w:t>
      </w:r>
      <w:r w:rsidR="00DE2393">
        <w:rPr>
          <w:rFonts w:ascii="Times New Roman" w:hAnsi="Times New Roman" w:cs="Times New Roman"/>
          <w:sz w:val="24"/>
          <w:szCs w:val="24"/>
        </w:rPr>
        <w:t>,</w:t>
      </w:r>
      <w:r w:rsidRPr="00C93B24">
        <w:rPr>
          <w:rFonts w:ascii="Times New Roman" w:hAnsi="Times New Roman" w:cs="Times New Roman"/>
          <w:sz w:val="24"/>
          <w:szCs w:val="24"/>
        </w:rPr>
        <w:t xml:space="preserve"> 2005), lead to increases in student test scores in the short</w:t>
      </w:r>
      <w:r w:rsidR="00E4146B">
        <w:rPr>
          <w:rFonts w:ascii="Times New Roman" w:hAnsi="Times New Roman" w:cs="Times New Roman"/>
          <w:sz w:val="24"/>
          <w:szCs w:val="24"/>
        </w:rPr>
        <w:t xml:space="preserve"> </w:t>
      </w:r>
      <w:r w:rsidRPr="00C93B24">
        <w:rPr>
          <w:rFonts w:ascii="Times New Roman" w:hAnsi="Times New Roman" w:cs="Times New Roman"/>
          <w:sz w:val="24"/>
          <w:szCs w:val="24"/>
        </w:rPr>
        <w:t>run, our evidence suggests it might also be associated with higher levels of teacher stress, which could ultimately drive individuals out of the profession. This could, in turn, have negative implications for student achievement over a longer time horizon. Benevolent education policymakers must weigh up the risks and rewards of these possibilities before deciding whether increas</w:t>
      </w:r>
      <w:r w:rsidR="00F94E7B">
        <w:rPr>
          <w:rFonts w:ascii="Times New Roman" w:hAnsi="Times New Roman" w:cs="Times New Roman"/>
          <w:sz w:val="24"/>
          <w:szCs w:val="24"/>
        </w:rPr>
        <w:t>ing</w:t>
      </w:r>
      <w:r w:rsidRPr="00C93B24">
        <w:rPr>
          <w:rFonts w:ascii="Times New Roman" w:hAnsi="Times New Roman" w:cs="Times New Roman"/>
          <w:sz w:val="24"/>
          <w:szCs w:val="24"/>
        </w:rPr>
        <w:t xml:space="preserve"> (or decreas</w:t>
      </w:r>
      <w:r w:rsidR="00F94E7B">
        <w:rPr>
          <w:rFonts w:ascii="Times New Roman" w:hAnsi="Times New Roman" w:cs="Times New Roman"/>
          <w:sz w:val="24"/>
          <w:szCs w:val="24"/>
        </w:rPr>
        <w:t>ing</w:t>
      </w:r>
      <w:r w:rsidRPr="00C93B24">
        <w:rPr>
          <w:rFonts w:ascii="Times New Roman" w:hAnsi="Times New Roman" w:cs="Times New Roman"/>
          <w:sz w:val="24"/>
          <w:szCs w:val="24"/>
        </w:rPr>
        <w:t xml:space="preserve">) school-system accountability is the best route for their country to follow. For organisations looking to improve the mental health of teachers – and reduce stress induced by accountability – our finding of </w:t>
      </w:r>
      <w:r w:rsidR="00F94E7B">
        <w:rPr>
          <w:rFonts w:ascii="Times New Roman" w:hAnsi="Times New Roman" w:cs="Times New Roman"/>
          <w:sz w:val="24"/>
          <w:szCs w:val="24"/>
        </w:rPr>
        <w:lastRenderedPageBreak/>
        <w:t>‘</w:t>
      </w:r>
      <w:r w:rsidRPr="00C93B24">
        <w:rPr>
          <w:rFonts w:ascii="Times New Roman" w:hAnsi="Times New Roman" w:cs="Times New Roman"/>
          <w:sz w:val="24"/>
          <w:szCs w:val="24"/>
        </w:rPr>
        <w:t>emotional contagion</w:t>
      </w:r>
      <w:r w:rsidR="00F94E7B">
        <w:rPr>
          <w:rFonts w:ascii="Times New Roman" w:hAnsi="Times New Roman" w:cs="Times New Roman"/>
          <w:sz w:val="24"/>
          <w:szCs w:val="24"/>
        </w:rPr>
        <w:t>’</w:t>
      </w:r>
      <w:r w:rsidRPr="00C93B24">
        <w:rPr>
          <w:rFonts w:ascii="Times New Roman" w:hAnsi="Times New Roman" w:cs="Times New Roman"/>
          <w:sz w:val="24"/>
          <w:szCs w:val="24"/>
        </w:rPr>
        <w:t xml:space="preserve"> is likely to be relevant. In particular, it suggests that there will be specific schools where there is an atmosphere of stress amongst staff about accountability, and where it will be important for such organisations to intervene. It may also indicate that whole-school approaches to reducing accountability</w:t>
      </w:r>
      <w:r w:rsidR="00F94E7B">
        <w:rPr>
          <w:rFonts w:ascii="Times New Roman" w:hAnsi="Times New Roman" w:cs="Times New Roman"/>
          <w:sz w:val="24"/>
          <w:szCs w:val="24"/>
        </w:rPr>
        <w:t xml:space="preserve"> </w:t>
      </w:r>
      <w:r w:rsidRPr="00C93B24">
        <w:rPr>
          <w:rFonts w:ascii="Times New Roman" w:hAnsi="Times New Roman" w:cs="Times New Roman"/>
          <w:sz w:val="24"/>
          <w:szCs w:val="24"/>
        </w:rPr>
        <w:t>stress amongst staff may be particularly efficient and effective, with a reduction in the stress</w:t>
      </w:r>
      <w:r w:rsidR="00F94E7B">
        <w:rPr>
          <w:rFonts w:ascii="Times New Roman" w:hAnsi="Times New Roman" w:cs="Times New Roman"/>
          <w:sz w:val="24"/>
          <w:szCs w:val="24"/>
        </w:rPr>
        <w:t xml:space="preserve"> </w:t>
      </w:r>
      <w:r w:rsidRPr="00C93B24">
        <w:rPr>
          <w:rFonts w:ascii="Times New Roman" w:hAnsi="Times New Roman" w:cs="Times New Roman"/>
          <w:sz w:val="24"/>
          <w:szCs w:val="24"/>
        </w:rPr>
        <w:t xml:space="preserve">levels of one staff member likely to bring benefits to others. Finally, SMTs are fine to continue the common </w:t>
      </w:r>
      <w:r w:rsidR="00F94E7B" w:rsidRPr="00C93B24">
        <w:rPr>
          <w:rFonts w:ascii="Times New Roman" w:hAnsi="Times New Roman" w:cs="Times New Roman"/>
          <w:sz w:val="24"/>
          <w:szCs w:val="24"/>
        </w:rPr>
        <w:t>practi</w:t>
      </w:r>
      <w:r w:rsidR="00F94E7B">
        <w:rPr>
          <w:rFonts w:ascii="Times New Roman" w:hAnsi="Times New Roman" w:cs="Times New Roman"/>
          <w:sz w:val="24"/>
          <w:szCs w:val="24"/>
        </w:rPr>
        <w:t>c</w:t>
      </w:r>
      <w:r w:rsidR="00F94E7B" w:rsidRPr="00C93B24">
        <w:rPr>
          <w:rFonts w:ascii="Times New Roman" w:hAnsi="Times New Roman" w:cs="Times New Roman"/>
          <w:sz w:val="24"/>
          <w:szCs w:val="24"/>
        </w:rPr>
        <w:t xml:space="preserve">e </w:t>
      </w:r>
      <w:r w:rsidRPr="00C93B24">
        <w:rPr>
          <w:rFonts w:ascii="Times New Roman" w:hAnsi="Times New Roman" w:cs="Times New Roman"/>
          <w:sz w:val="24"/>
          <w:szCs w:val="24"/>
        </w:rPr>
        <w:t>of reviewing student performance data as part of annual teacher appraisals; we find little evidence that this increases stress levels amongst staff. However, it is important that school</w:t>
      </w:r>
      <w:r w:rsidR="005B655B">
        <w:rPr>
          <w:rFonts w:ascii="Times New Roman" w:hAnsi="Times New Roman" w:cs="Times New Roman"/>
          <w:sz w:val="24"/>
          <w:szCs w:val="24"/>
        </w:rPr>
        <w:t xml:space="preserve"> </w:t>
      </w:r>
      <w:r w:rsidRPr="00C93B24">
        <w:rPr>
          <w:rFonts w:ascii="Times New Roman" w:hAnsi="Times New Roman" w:cs="Times New Roman"/>
          <w:sz w:val="24"/>
          <w:szCs w:val="24"/>
        </w:rPr>
        <w:t xml:space="preserve">leaders continue to use student performance data appropriately, and do not make inappropriate inferences about it capturing the </w:t>
      </w:r>
      <w:r w:rsidR="005B655B">
        <w:rPr>
          <w:rFonts w:ascii="Times New Roman" w:hAnsi="Times New Roman" w:cs="Times New Roman"/>
          <w:sz w:val="24"/>
          <w:szCs w:val="24"/>
        </w:rPr>
        <w:t>‘</w:t>
      </w:r>
      <w:r w:rsidRPr="00C93B24">
        <w:rPr>
          <w:rFonts w:ascii="Times New Roman" w:hAnsi="Times New Roman" w:cs="Times New Roman"/>
          <w:sz w:val="24"/>
          <w:szCs w:val="24"/>
        </w:rPr>
        <w:t>quality</w:t>
      </w:r>
      <w:r w:rsidR="005B655B">
        <w:rPr>
          <w:rFonts w:ascii="Times New Roman" w:hAnsi="Times New Roman" w:cs="Times New Roman"/>
          <w:sz w:val="24"/>
          <w:szCs w:val="24"/>
        </w:rPr>
        <w:t>’</w:t>
      </w:r>
      <w:r w:rsidRPr="00C93B24">
        <w:rPr>
          <w:rFonts w:ascii="Times New Roman" w:hAnsi="Times New Roman" w:cs="Times New Roman"/>
          <w:sz w:val="24"/>
          <w:szCs w:val="24"/>
        </w:rPr>
        <w:t xml:space="preserve"> or </w:t>
      </w:r>
      <w:r w:rsidR="005B655B">
        <w:rPr>
          <w:rFonts w:ascii="Times New Roman" w:hAnsi="Times New Roman" w:cs="Times New Roman"/>
          <w:sz w:val="24"/>
          <w:szCs w:val="24"/>
        </w:rPr>
        <w:t>‘</w:t>
      </w:r>
      <w:r w:rsidRPr="00C93B24">
        <w:rPr>
          <w:rFonts w:ascii="Times New Roman" w:hAnsi="Times New Roman" w:cs="Times New Roman"/>
          <w:sz w:val="24"/>
          <w:szCs w:val="24"/>
        </w:rPr>
        <w:t>performance</w:t>
      </w:r>
      <w:r w:rsidR="005B655B">
        <w:rPr>
          <w:rFonts w:ascii="Times New Roman" w:hAnsi="Times New Roman" w:cs="Times New Roman"/>
          <w:sz w:val="24"/>
          <w:szCs w:val="24"/>
        </w:rPr>
        <w:t>’</w:t>
      </w:r>
      <w:r w:rsidRPr="00C93B24">
        <w:rPr>
          <w:rFonts w:ascii="Times New Roman" w:hAnsi="Times New Roman" w:cs="Times New Roman"/>
          <w:sz w:val="24"/>
          <w:szCs w:val="24"/>
        </w:rPr>
        <w:t xml:space="preserve"> of any individual member of staff. </w:t>
      </w:r>
    </w:p>
    <w:p w14:paraId="54BDF39E" w14:textId="3018516D" w:rsidR="00612838" w:rsidRDefault="00612838">
      <w:pPr>
        <w:spacing w:line="259" w:lineRule="auto"/>
        <w:rPr>
          <w:rFonts w:ascii="Times New Roman" w:eastAsiaTheme="majorEastAsia" w:hAnsi="Times New Roman" w:cs="Times New Roman"/>
          <w:b/>
          <w:color w:val="262626" w:themeColor="text1" w:themeTint="D9"/>
          <w:spacing w:val="-15"/>
          <w:sz w:val="36"/>
          <w:szCs w:val="36"/>
          <w:lang w:eastAsia="en-GB"/>
        </w:rPr>
      </w:pPr>
      <w:r>
        <w:rPr>
          <w:rFonts w:ascii="Times New Roman" w:hAnsi="Times New Roman" w:cs="Times New Roman"/>
          <w:sz w:val="36"/>
          <w:szCs w:val="36"/>
          <w:lang w:eastAsia="en-GB"/>
        </w:rPr>
        <w:br w:type="page"/>
      </w:r>
    </w:p>
    <w:p w14:paraId="6ACBD74B" w14:textId="14E7E418" w:rsidR="00E343CE" w:rsidRPr="00E87772" w:rsidRDefault="000A5A11" w:rsidP="008B4E20">
      <w:pPr>
        <w:pStyle w:val="Heading1UCL"/>
        <w:rPr>
          <w:sz w:val="36"/>
          <w:szCs w:val="36"/>
        </w:rPr>
      </w:pPr>
      <w:bookmarkStart w:id="27" w:name="_Toc67406019"/>
      <w:r>
        <w:rPr>
          <w:sz w:val="36"/>
          <w:szCs w:val="36"/>
          <w:lang w:eastAsia="en-GB"/>
        </w:rPr>
        <w:lastRenderedPageBreak/>
        <w:t xml:space="preserve">Chapter 12 </w:t>
      </w:r>
      <w:proofErr w:type="gramStart"/>
      <w:r>
        <w:rPr>
          <w:sz w:val="36"/>
          <w:szCs w:val="36"/>
          <w:lang w:eastAsia="en-GB"/>
        </w:rPr>
        <w:t>T</w:t>
      </w:r>
      <w:r w:rsidRPr="00E87772">
        <w:rPr>
          <w:sz w:val="36"/>
          <w:szCs w:val="36"/>
          <w:lang w:eastAsia="en-GB"/>
        </w:rPr>
        <w:t>he</w:t>
      </w:r>
      <w:proofErr w:type="gramEnd"/>
      <w:r>
        <w:rPr>
          <w:sz w:val="36"/>
          <w:szCs w:val="36"/>
          <w:lang w:eastAsia="en-GB"/>
        </w:rPr>
        <w:t xml:space="preserve"> link between the</w:t>
      </w:r>
      <w:r w:rsidRPr="00E87772">
        <w:rPr>
          <w:sz w:val="36"/>
          <w:szCs w:val="36"/>
          <w:lang w:eastAsia="en-GB"/>
        </w:rPr>
        <w:t xml:space="preserve"> school working environment </w:t>
      </w:r>
      <w:r>
        <w:rPr>
          <w:sz w:val="36"/>
          <w:szCs w:val="36"/>
          <w:lang w:eastAsia="en-GB"/>
        </w:rPr>
        <w:t xml:space="preserve">and </w:t>
      </w:r>
      <w:r w:rsidRPr="00E87772">
        <w:rPr>
          <w:sz w:val="36"/>
          <w:szCs w:val="36"/>
          <w:lang w:eastAsia="en-GB"/>
        </w:rPr>
        <w:t xml:space="preserve">teachers’ </w:t>
      </w:r>
      <w:r>
        <w:rPr>
          <w:sz w:val="36"/>
          <w:szCs w:val="36"/>
          <w:lang w:eastAsia="en-GB"/>
        </w:rPr>
        <w:t xml:space="preserve">job </w:t>
      </w:r>
      <w:r w:rsidRPr="00E87772">
        <w:rPr>
          <w:sz w:val="36"/>
          <w:szCs w:val="36"/>
          <w:lang w:eastAsia="en-GB"/>
        </w:rPr>
        <w:t xml:space="preserve">satisfaction, stress and exit </w:t>
      </w:r>
      <w:r>
        <w:rPr>
          <w:sz w:val="36"/>
          <w:szCs w:val="36"/>
          <w:lang w:eastAsia="en-GB"/>
        </w:rPr>
        <w:t xml:space="preserve">from </w:t>
      </w:r>
      <w:r w:rsidRPr="00E87772">
        <w:rPr>
          <w:sz w:val="36"/>
          <w:szCs w:val="36"/>
          <w:lang w:eastAsia="en-GB"/>
        </w:rPr>
        <w:t>the profession?</w:t>
      </w:r>
      <w:bookmarkEnd w:id="27"/>
      <w:r w:rsidRPr="00E87772">
        <w:rPr>
          <w:sz w:val="36"/>
          <w:szCs w:val="36"/>
          <w:lang w:eastAsia="en-GB"/>
        </w:rPr>
        <w:t xml:space="preserve"> </w:t>
      </w:r>
    </w:p>
    <w:p w14:paraId="35C9B042" w14:textId="77777777" w:rsidR="000A5A11" w:rsidRDefault="000A5A11" w:rsidP="008B4E20">
      <w:pPr>
        <w:pStyle w:val="Heading1UCL"/>
      </w:pPr>
    </w:p>
    <w:p w14:paraId="157B9C23" w14:textId="77777777" w:rsidR="000A5A11" w:rsidRPr="000A5A11" w:rsidRDefault="000A5A11" w:rsidP="008B4E20">
      <w:pPr>
        <w:spacing w:after="0" w:line="360" w:lineRule="auto"/>
        <w:jc w:val="both"/>
        <w:rPr>
          <w:rFonts w:ascii="Times New Roman" w:eastAsiaTheme="majorEastAsia" w:hAnsi="Times New Roman" w:cs="Times New Roman"/>
          <w:b/>
          <w:bCs/>
          <w:sz w:val="24"/>
          <w:szCs w:val="24"/>
        </w:rPr>
      </w:pPr>
      <w:r w:rsidRPr="000A5A11">
        <w:rPr>
          <w:rFonts w:ascii="Times New Roman" w:eastAsiaTheme="majorEastAsia" w:hAnsi="Times New Roman" w:cs="Times New Roman"/>
          <w:b/>
          <w:bCs/>
          <w:sz w:val="24"/>
          <w:szCs w:val="24"/>
        </w:rPr>
        <w:t>12.1 Introduction</w:t>
      </w:r>
    </w:p>
    <w:p w14:paraId="42219B1E" w14:textId="62484778"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 xml:space="preserve">Research suggests that the quality of the working environment </w:t>
      </w:r>
      <w:r w:rsidR="008D14FF">
        <w:rPr>
          <w:rFonts w:ascii="Times New Roman" w:hAnsi="Times New Roman" w:cs="Times New Roman"/>
          <w:sz w:val="24"/>
          <w:szCs w:val="24"/>
        </w:rPr>
        <w:sym w:font="Symbol" w:char="F02D"/>
      </w:r>
      <w:r w:rsidRPr="000A5A11">
        <w:rPr>
          <w:rFonts w:ascii="Times New Roman" w:hAnsi="Times New Roman" w:cs="Times New Roman"/>
          <w:sz w:val="24"/>
          <w:szCs w:val="24"/>
        </w:rPr>
        <w:t xml:space="preserve"> defined as policies and shared ways of working that are within the proximal control of school leadership and affect teachers’ ability to fulfil their job roles </w:t>
      </w:r>
      <w:r w:rsidR="008D14FF">
        <w:rPr>
          <w:rFonts w:ascii="Times New Roman" w:hAnsi="Times New Roman" w:cs="Times New Roman"/>
          <w:sz w:val="24"/>
          <w:szCs w:val="24"/>
        </w:rPr>
        <w:sym w:font="Symbol" w:char="F02D"/>
      </w:r>
      <w:r w:rsidRPr="000A5A11">
        <w:rPr>
          <w:rFonts w:ascii="Times New Roman" w:hAnsi="Times New Roman" w:cs="Times New Roman"/>
          <w:sz w:val="24"/>
          <w:szCs w:val="24"/>
        </w:rPr>
        <w:t xml:space="preserve"> has an important influence on teacher job</w:t>
      </w:r>
      <w:r w:rsidR="00D96D54">
        <w:rPr>
          <w:rFonts w:ascii="Times New Roman" w:hAnsi="Times New Roman" w:cs="Times New Roman"/>
          <w:sz w:val="24"/>
          <w:szCs w:val="24"/>
        </w:rPr>
        <w:t xml:space="preserve"> </w:t>
      </w:r>
      <w:r w:rsidRPr="000A5A11">
        <w:rPr>
          <w:rFonts w:ascii="Times New Roman" w:hAnsi="Times New Roman" w:cs="Times New Roman"/>
          <w:sz w:val="24"/>
          <w:szCs w:val="24"/>
        </w:rPr>
        <w:t>satisfaction, wellbeing and ultimately job retention (Simon &amp; Johnson</w:t>
      </w:r>
      <w:r w:rsidR="00DE2393">
        <w:rPr>
          <w:rFonts w:ascii="Times New Roman" w:hAnsi="Times New Roman" w:cs="Times New Roman"/>
          <w:sz w:val="24"/>
          <w:szCs w:val="24"/>
        </w:rPr>
        <w:t>,</w:t>
      </w:r>
      <w:r w:rsidRPr="000A5A11">
        <w:rPr>
          <w:rFonts w:ascii="Times New Roman" w:hAnsi="Times New Roman" w:cs="Times New Roman"/>
          <w:sz w:val="24"/>
          <w:szCs w:val="24"/>
        </w:rPr>
        <w:t xml:space="preserve"> 2015). In particular, supportive school leadership has repeatedly been found to predict such outcomes (Boyd et al</w:t>
      </w:r>
      <w:r w:rsidR="005562E3">
        <w:rPr>
          <w:rFonts w:ascii="Times New Roman" w:hAnsi="Times New Roman" w:cs="Times New Roman"/>
          <w:sz w:val="24"/>
          <w:szCs w:val="24"/>
        </w:rPr>
        <w:t>.,</w:t>
      </w:r>
      <w:r w:rsidRPr="000A5A11">
        <w:rPr>
          <w:rFonts w:ascii="Times New Roman" w:hAnsi="Times New Roman" w:cs="Times New Roman"/>
          <w:sz w:val="24"/>
          <w:szCs w:val="24"/>
        </w:rPr>
        <w:t xml:space="preserve"> 2011; Ladd</w:t>
      </w:r>
      <w:r w:rsidR="005562E3">
        <w:rPr>
          <w:rFonts w:ascii="Times New Roman" w:hAnsi="Times New Roman" w:cs="Times New Roman"/>
          <w:sz w:val="24"/>
          <w:szCs w:val="24"/>
        </w:rPr>
        <w:t>,</w:t>
      </w:r>
      <w:r w:rsidRPr="000A5A11">
        <w:rPr>
          <w:rFonts w:ascii="Times New Roman" w:hAnsi="Times New Roman" w:cs="Times New Roman"/>
          <w:sz w:val="24"/>
          <w:szCs w:val="24"/>
        </w:rPr>
        <w:t xml:space="preserve"> 2011, Kraft et al.</w:t>
      </w:r>
      <w:r w:rsidR="005562E3">
        <w:rPr>
          <w:rFonts w:ascii="Times New Roman" w:hAnsi="Times New Roman" w:cs="Times New Roman"/>
          <w:sz w:val="24"/>
          <w:szCs w:val="24"/>
        </w:rPr>
        <w:t>,</w:t>
      </w:r>
      <w:r w:rsidRPr="000A5A11">
        <w:rPr>
          <w:rFonts w:ascii="Times New Roman" w:hAnsi="Times New Roman" w:cs="Times New Roman"/>
          <w:sz w:val="24"/>
          <w:szCs w:val="24"/>
        </w:rPr>
        <w:t xml:space="preserve"> 2016). However, the importance of other aspects of the working environment remain</w:t>
      </w:r>
      <w:r w:rsidR="002E72F8">
        <w:rPr>
          <w:rFonts w:ascii="Times New Roman" w:hAnsi="Times New Roman" w:cs="Times New Roman"/>
          <w:sz w:val="24"/>
          <w:szCs w:val="24"/>
        </w:rPr>
        <w:t>s</w:t>
      </w:r>
      <w:r w:rsidRPr="000A5A11">
        <w:rPr>
          <w:rFonts w:ascii="Times New Roman" w:hAnsi="Times New Roman" w:cs="Times New Roman"/>
          <w:sz w:val="24"/>
          <w:szCs w:val="24"/>
        </w:rPr>
        <w:t xml:space="preserve"> unclear, with conflicting findings on the importance of disciplinary standards </w:t>
      </w:r>
      <w:r w:rsidRPr="000A5A11">
        <w:rPr>
          <w:rFonts w:ascii="Times New Roman" w:hAnsi="Times New Roman" w:cs="Times New Roman"/>
          <w:color w:val="000000" w:themeColor="text1"/>
          <w:sz w:val="24"/>
          <w:szCs w:val="24"/>
        </w:rPr>
        <w:t>(Boyd et al</w:t>
      </w:r>
      <w:r w:rsidR="005562E3">
        <w:rPr>
          <w:rFonts w:ascii="Times New Roman" w:hAnsi="Times New Roman" w:cs="Times New Roman"/>
          <w:color w:val="000000" w:themeColor="text1"/>
          <w:sz w:val="24"/>
          <w:szCs w:val="24"/>
        </w:rPr>
        <w:t>.,</w:t>
      </w:r>
      <w:r w:rsidRPr="000A5A11">
        <w:rPr>
          <w:rFonts w:ascii="Times New Roman" w:hAnsi="Times New Roman" w:cs="Times New Roman"/>
          <w:color w:val="000000" w:themeColor="text1"/>
          <w:sz w:val="24"/>
          <w:szCs w:val="24"/>
        </w:rPr>
        <w:t xml:space="preserve"> 2011; Kraft et al</w:t>
      </w:r>
      <w:r w:rsidR="005562E3">
        <w:rPr>
          <w:rFonts w:ascii="Times New Roman" w:hAnsi="Times New Roman" w:cs="Times New Roman"/>
          <w:color w:val="000000" w:themeColor="text1"/>
          <w:sz w:val="24"/>
          <w:szCs w:val="24"/>
        </w:rPr>
        <w:t>.,</w:t>
      </w:r>
      <w:r w:rsidRPr="000A5A11">
        <w:rPr>
          <w:rFonts w:ascii="Times New Roman" w:hAnsi="Times New Roman" w:cs="Times New Roman"/>
          <w:color w:val="000000" w:themeColor="text1"/>
          <w:sz w:val="24"/>
          <w:szCs w:val="24"/>
        </w:rPr>
        <w:t xml:space="preserve"> 2016), teacher collaboration (</w:t>
      </w:r>
      <w:r w:rsidRPr="000A5A11">
        <w:rPr>
          <w:rFonts w:ascii="Times New Roman" w:hAnsi="Times New Roman" w:cs="Times New Roman"/>
          <w:sz w:val="24"/>
          <w:szCs w:val="24"/>
        </w:rPr>
        <w:t>Kraft et al</w:t>
      </w:r>
      <w:r w:rsidR="005562E3">
        <w:rPr>
          <w:rFonts w:ascii="Times New Roman" w:hAnsi="Times New Roman" w:cs="Times New Roman"/>
          <w:sz w:val="24"/>
          <w:szCs w:val="24"/>
        </w:rPr>
        <w:t>.,</w:t>
      </w:r>
      <w:r w:rsidRPr="000A5A11">
        <w:rPr>
          <w:rFonts w:ascii="Times New Roman" w:hAnsi="Times New Roman" w:cs="Times New Roman"/>
          <w:i/>
          <w:sz w:val="24"/>
          <w:szCs w:val="24"/>
        </w:rPr>
        <w:t xml:space="preserve"> </w:t>
      </w:r>
      <w:r w:rsidRPr="000A5A11">
        <w:rPr>
          <w:rFonts w:ascii="Times New Roman" w:hAnsi="Times New Roman" w:cs="Times New Roman"/>
          <w:sz w:val="24"/>
          <w:szCs w:val="24"/>
        </w:rPr>
        <w:t>2016) and workload (</w:t>
      </w:r>
      <w:r w:rsidRPr="000A5A11">
        <w:rPr>
          <w:rFonts w:ascii="Times New Roman" w:hAnsi="Times New Roman" w:cs="Times New Roman"/>
          <w:color w:val="000000" w:themeColor="text1"/>
          <w:sz w:val="24"/>
          <w:szCs w:val="24"/>
        </w:rPr>
        <w:t>Ladd</w:t>
      </w:r>
      <w:r w:rsidR="005562E3">
        <w:rPr>
          <w:rFonts w:ascii="Times New Roman" w:hAnsi="Times New Roman" w:cs="Times New Roman"/>
          <w:color w:val="000000" w:themeColor="text1"/>
          <w:sz w:val="24"/>
          <w:szCs w:val="24"/>
        </w:rPr>
        <w:t>,</w:t>
      </w:r>
      <w:r w:rsidRPr="000A5A11">
        <w:rPr>
          <w:rFonts w:ascii="Times New Roman" w:hAnsi="Times New Roman" w:cs="Times New Roman"/>
          <w:color w:val="000000" w:themeColor="text1"/>
          <w:sz w:val="24"/>
          <w:szCs w:val="24"/>
        </w:rPr>
        <w:t xml:space="preserve"> 2011</w:t>
      </w:r>
      <w:r w:rsidRPr="000A5A11">
        <w:rPr>
          <w:rFonts w:ascii="Times New Roman" w:hAnsi="Times New Roman" w:cs="Times New Roman"/>
          <w:sz w:val="24"/>
          <w:szCs w:val="24"/>
        </w:rPr>
        <w:t xml:space="preserve">). </w:t>
      </w:r>
    </w:p>
    <w:p w14:paraId="1E48B4C7" w14:textId="77777777" w:rsidR="000A5A11" w:rsidRPr="000A5A11" w:rsidRDefault="000A5A11" w:rsidP="000A5A11">
      <w:pPr>
        <w:spacing w:after="120" w:line="360" w:lineRule="auto"/>
        <w:jc w:val="both"/>
        <w:rPr>
          <w:rFonts w:ascii="Times New Roman" w:hAnsi="Times New Roman" w:cs="Times New Roman"/>
          <w:sz w:val="24"/>
          <w:szCs w:val="24"/>
        </w:rPr>
      </w:pPr>
      <w:r w:rsidRPr="000A5A11">
        <w:rPr>
          <w:rFonts w:ascii="Times New Roman" w:hAnsi="Times New Roman" w:cs="Times New Roman"/>
          <w:sz w:val="24"/>
          <w:szCs w:val="24"/>
        </w:rPr>
        <w:t>The work presented in this chapter utilises unique linked survey and administrative data to investigate the relationship between working environment and teachers leaving the profession, and the extent that this may be due to poor working environments having a negative impact upon job satisfaction and workplace stress. In particular, this chapter tests the following five hypotheses:</w:t>
      </w:r>
    </w:p>
    <w:p w14:paraId="664BF8D4" w14:textId="77777777" w:rsidR="000A5A11" w:rsidRPr="000A5A11" w:rsidRDefault="000A5A11" w:rsidP="000A5A11">
      <w:pPr>
        <w:pStyle w:val="ListParagraph"/>
        <w:numPr>
          <w:ilvl w:val="0"/>
          <w:numId w:val="36"/>
        </w:numPr>
        <w:spacing w:after="120" w:line="360" w:lineRule="auto"/>
        <w:rPr>
          <w:rFonts w:ascii="Times New Roman" w:hAnsi="Times New Roman" w:cs="Times New Roman"/>
          <w:sz w:val="24"/>
          <w:szCs w:val="24"/>
        </w:rPr>
      </w:pPr>
      <w:r w:rsidRPr="000A5A11">
        <w:rPr>
          <w:rFonts w:ascii="Times New Roman" w:hAnsi="Times New Roman" w:cs="Times New Roman"/>
          <w:sz w:val="24"/>
          <w:szCs w:val="24"/>
        </w:rPr>
        <w:t xml:space="preserve">H1: Supportive school leadership predicts reduced attrition from the profession </w:t>
      </w:r>
    </w:p>
    <w:p w14:paraId="0B95C23F" w14:textId="77777777" w:rsidR="000A5A11" w:rsidRPr="000A5A11" w:rsidRDefault="000A5A11" w:rsidP="000A5A11">
      <w:pPr>
        <w:pStyle w:val="ListParagraph"/>
        <w:numPr>
          <w:ilvl w:val="0"/>
          <w:numId w:val="36"/>
        </w:numPr>
        <w:spacing w:after="120" w:line="360" w:lineRule="auto"/>
        <w:rPr>
          <w:rFonts w:ascii="Times New Roman" w:hAnsi="Times New Roman" w:cs="Times New Roman"/>
          <w:sz w:val="24"/>
          <w:szCs w:val="24"/>
        </w:rPr>
      </w:pPr>
      <w:r w:rsidRPr="000A5A11">
        <w:rPr>
          <w:rFonts w:ascii="Times New Roman" w:hAnsi="Times New Roman" w:cs="Times New Roman"/>
          <w:color w:val="000000" w:themeColor="text1"/>
          <w:sz w:val="24"/>
          <w:szCs w:val="24"/>
        </w:rPr>
        <w:t>H2: Behavioural standards will predict reduced attrition from the profession overall</w:t>
      </w:r>
    </w:p>
    <w:p w14:paraId="0B49AD94" w14:textId="09EAB3D8" w:rsidR="000A5A11" w:rsidRPr="000A5A11" w:rsidRDefault="000A5A11" w:rsidP="000A5A11">
      <w:pPr>
        <w:spacing w:after="120" w:line="360" w:lineRule="auto"/>
        <w:rPr>
          <w:rFonts w:ascii="Times New Roman" w:hAnsi="Times New Roman" w:cs="Times New Roman"/>
          <w:color w:val="000000" w:themeColor="text1"/>
          <w:sz w:val="24"/>
          <w:szCs w:val="24"/>
        </w:rPr>
      </w:pPr>
      <w:r w:rsidRPr="000A5A11">
        <w:rPr>
          <w:rFonts w:ascii="Times New Roman" w:hAnsi="Times New Roman" w:cs="Times New Roman"/>
          <w:color w:val="000000" w:themeColor="text1"/>
          <w:sz w:val="24"/>
          <w:szCs w:val="24"/>
        </w:rPr>
        <w:tab/>
      </w:r>
      <w:r w:rsidRPr="000A5A11">
        <w:rPr>
          <w:rFonts w:ascii="Times New Roman" w:hAnsi="Times New Roman" w:cs="Times New Roman"/>
          <w:color w:val="000000" w:themeColor="text1"/>
          <w:sz w:val="24"/>
          <w:szCs w:val="24"/>
        </w:rPr>
        <w:tab/>
        <w:t>H2a: This relationship will be stronger for early</w:t>
      </w:r>
      <w:r w:rsidR="00D64552">
        <w:rPr>
          <w:rFonts w:ascii="Times New Roman" w:hAnsi="Times New Roman" w:cs="Times New Roman"/>
          <w:color w:val="000000" w:themeColor="text1"/>
          <w:sz w:val="24"/>
          <w:szCs w:val="24"/>
        </w:rPr>
        <w:t xml:space="preserve"> </w:t>
      </w:r>
      <w:r w:rsidRPr="000A5A11">
        <w:rPr>
          <w:rFonts w:ascii="Times New Roman" w:hAnsi="Times New Roman" w:cs="Times New Roman"/>
          <w:color w:val="000000" w:themeColor="text1"/>
          <w:sz w:val="24"/>
          <w:szCs w:val="24"/>
        </w:rPr>
        <w:t>career teachers…</w:t>
      </w:r>
    </w:p>
    <w:p w14:paraId="2494AD35" w14:textId="77777777" w:rsidR="000A5A11" w:rsidRPr="000A5A11" w:rsidRDefault="000A5A11" w:rsidP="000A5A11">
      <w:pPr>
        <w:spacing w:after="120" w:line="360" w:lineRule="auto"/>
        <w:ind w:left="1440"/>
        <w:rPr>
          <w:rFonts w:ascii="Times New Roman" w:hAnsi="Times New Roman" w:cs="Times New Roman"/>
          <w:color w:val="000000" w:themeColor="text1"/>
          <w:sz w:val="24"/>
          <w:szCs w:val="24"/>
        </w:rPr>
      </w:pPr>
      <w:r w:rsidRPr="000A5A11">
        <w:rPr>
          <w:rFonts w:ascii="Times New Roman" w:hAnsi="Times New Roman" w:cs="Times New Roman"/>
          <w:color w:val="000000" w:themeColor="text1"/>
          <w:sz w:val="24"/>
          <w:szCs w:val="24"/>
        </w:rPr>
        <w:t>H2b: …and for those who initially entered teaching to contribute to society</w:t>
      </w:r>
    </w:p>
    <w:p w14:paraId="76C584B2" w14:textId="0C021281" w:rsidR="000A5A11" w:rsidRPr="000A5A11" w:rsidRDefault="000A5A11" w:rsidP="000A5A11">
      <w:pPr>
        <w:pStyle w:val="ListParagraph"/>
        <w:numPr>
          <w:ilvl w:val="0"/>
          <w:numId w:val="36"/>
        </w:numPr>
        <w:spacing w:after="120" w:line="360" w:lineRule="auto"/>
        <w:rPr>
          <w:rFonts w:ascii="Times New Roman" w:hAnsi="Times New Roman" w:cs="Times New Roman"/>
          <w:color w:val="000000" w:themeColor="text1"/>
          <w:sz w:val="24"/>
          <w:szCs w:val="24"/>
        </w:rPr>
      </w:pPr>
      <w:r w:rsidRPr="000A5A11">
        <w:rPr>
          <w:rFonts w:ascii="Times New Roman" w:hAnsi="Times New Roman" w:cs="Times New Roman"/>
          <w:sz w:val="24"/>
          <w:szCs w:val="24"/>
        </w:rPr>
        <w:t>H3: Workload will predict attrition from the profession overall</w:t>
      </w:r>
    </w:p>
    <w:p w14:paraId="12809495" w14:textId="468C98B5" w:rsidR="000A5A11" w:rsidRPr="000A5A11" w:rsidRDefault="000A5A11" w:rsidP="000A5A11">
      <w:pPr>
        <w:spacing w:after="120" w:line="360" w:lineRule="auto"/>
        <w:ind w:left="1440"/>
        <w:rPr>
          <w:rFonts w:ascii="Times New Roman" w:hAnsi="Times New Roman" w:cs="Times New Roman"/>
          <w:sz w:val="24"/>
          <w:szCs w:val="24"/>
        </w:rPr>
      </w:pPr>
      <w:r w:rsidRPr="000A5A11">
        <w:rPr>
          <w:rFonts w:ascii="Times New Roman" w:hAnsi="Times New Roman" w:cs="Times New Roman"/>
          <w:sz w:val="24"/>
          <w:szCs w:val="24"/>
        </w:rPr>
        <w:t>H3a: This relationship will be stronger for those who initially entered teaching because it was consistent with home/family commitments</w:t>
      </w:r>
    </w:p>
    <w:p w14:paraId="69D0CB9A" w14:textId="77777777" w:rsidR="000A5A11" w:rsidRPr="000A5A11" w:rsidRDefault="000A5A11" w:rsidP="000A5A11">
      <w:pPr>
        <w:pStyle w:val="ListParagraph"/>
        <w:numPr>
          <w:ilvl w:val="0"/>
          <w:numId w:val="36"/>
        </w:numPr>
        <w:spacing w:after="120" w:line="360" w:lineRule="auto"/>
        <w:rPr>
          <w:rFonts w:ascii="Times New Roman" w:hAnsi="Times New Roman" w:cs="Times New Roman"/>
          <w:sz w:val="24"/>
          <w:szCs w:val="24"/>
        </w:rPr>
      </w:pPr>
      <w:r w:rsidRPr="000A5A11">
        <w:rPr>
          <w:rFonts w:ascii="Times New Roman" w:hAnsi="Times New Roman" w:cs="Times New Roman"/>
          <w:sz w:val="24"/>
          <w:szCs w:val="24"/>
        </w:rPr>
        <w:t>H4: Teacher collaboration will predict attrition from the profession overall</w:t>
      </w:r>
    </w:p>
    <w:p w14:paraId="0A1FCAFC" w14:textId="77777777" w:rsidR="000A5A11" w:rsidRPr="000A5A11" w:rsidRDefault="000A5A11" w:rsidP="000A5A11">
      <w:pPr>
        <w:pStyle w:val="ListParagraph"/>
        <w:numPr>
          <w:ilvl w:val="0"/>
          <w:numId w:val="36"/>
        </w:numPr>
        <w:spacing w:after="120" w:line="360" w:lineRule="auto"/>
        <w:rPr>
          <w:rFonts w:ascii="Times New Roman" w:hAnsi="Times New Roman" w:cs="Times New Roman"/>
          <w:sz w:val="24"/>
          <w:szCs w:val="24"/>
        </w:rPr>
      </w:pPr>
      <w:r w:rsidRPr="000A5A11">
        <w:rPr>
          <w:rFonts w:ascii="Times New Roman" w:hAnsi="Times New Roman" w:cs="Times New Roman"/>
          <w:sz w:val="24"/>
          <w:szCs w:val="24"/>
        </w:rPr>
        <w:t>H5: Teachers with assignments that they feel well prepared for will be less likely to leave the profession overall</w:t>
      </w:r>
    </w:p>
    <w:p w14:paraId="1B134DA1" w14:textId="0187D6E5" w:rsidR="000A5A11" w:rsidRDefault="000A5A11" w:rsidP="008B4E20">
      <w:pPr>
        <w:spacing w:after="120" w:line="360" w:lineRule="auto"/>
        <w:ind w:left="357"/>
        <w:rPr>
          <w:rFonts w:ascii="Times New Roman" w:hAnsi="Times New Roman" w:cs="Times New Roman"/>
          <w:szCs w:val="24"/>
        </w:rPr>
      </w:pPr>
      <w:r w:rsidRPr="000A5A11">
        <w:rPr>
          <w:rFonts w:ascii="Times New Roman" w:hAnsi="Times New Roman" w:cs="Times New Roman"/>
          <w:sz w:val="24"/>
          <w:szCs w:val="24"/>
        </w:rPr>
        <w:tab/>
      </w:r>
      <w:r w:rsidRPr="000A5A11">
        <w:rPr>
          <w:rFonts w:ascii="Times New Roman" w:hAnsi="Times New Roman" w:cs="Times New Roman"/>
          <w:sz w:val="24"/>
          <w:szCs w:val="24"/>
        </w:rPr>
        <w:tab/>
        <w:t xml:space="preserve">H5a: </w:t>
      </w:r>
      <w:r w:rsidRPr="000A5A11">
        <w:rPr>
          <w:rFonts w:ascii="Times New Roman" w:hAnsi="Times New Roman" w:cs="Times New Roman"/>
          <w:color w:val="000000" w:themeColor="text1"/>
          <w:sz w:val="24"/>
          <w:szCs w:val="24"/>
        </w:rPr>
        <w:t>This relationship will be stronger for early</w:t>
      </w:r>
      <w:r w:rsidR="00D64552">
        <w:rPr>
          <w:rFonts w:ascii="Times New Roman" w:hAnsi="Times New Roman" w:cs="Times New Roman"/>
          <w:color w:val="000000" w:themeColor="text1"/>
          <w:sz w:val="24"/>
          <w:szCs w:val="24"/>
        </w:rPr>
        <w:t xml:space="preserve"> </w:t>
      </w:r>
      <w:r w:rsidRPr="000A5A11">
        <w:rPr>
          <w:rFonts w:ascii="Times New Roman" w:hAnsi="Times New Roman" w:cs="Times New Roman"/>
          <w:color w:val="000000" w:themeColor="text1"/>
          <w:sz w:val="24"/>
          <w:szCs w:val="24"/>
        </w:rPr>
        <w:t>career teachers</w:t>
      </w:r>
    </w:p>
    <w:p w14:paraId="7B4E9065" w14:textId="77777777" w:rsidR="00CA63E9" w:rsidRDefault="00CA63E9" w:rsidP="000A5A11">
      <w:pPr>
        <w:spacing w:after="120" w:line="360" w:lineRule="auto"/>
        <w:jc w:val="both"/>
        <w:rPr>
          <w:rFonts w:ascii="Times New Roman" w:hAnsi="Times New Roman" w:cs="Times New Roman"/>
          <w:b/>
          <w:sz w:val="24"/>
          <w:szCs w:val="24"/>
        </w:rPr>
      </w:pPr>
    </w:p>
    <w:p w14:paraId="4E95E53E" w14:textId="2730197D" w:rsidR="000A5A11" w:rsidRPr="000A5A11" w:rsidRDefault="000A5A11" w:rsidP="000A5A11">
      <w:pPr>
        <w:spacing w:after="120" w:line="360" w:lineRule="auto"/>
        <w:jc w:val="both"/>
        <w:rPr>
          <w:rFonts w:ascii="Times New Roman" w:hAnsi="Times New Roman" w:cs="Times New Roman"/>
          <w:b/>
          <w:sz w:val="24"/>
          <w:szCs w:val="24"/>
        </w:rPr>
      </w:pPr>
      <w:r w:rsidRPr="000A5A11">
        <w:rPr>
          <w:rFonts w:ascii="Times New Roman" w:hAnsi="Times New Roman" w:cs="Times New Roman"/>
          <w:b/>
          <w:sz w:val="24"/>
          <w:szCs w:val="24"/>
        </w:rPr>
        <w:t>12.2 Data and methods</w:t>
      </w:r>
    </w:p>
    <w:p w14:paraId="67885300" w14:textId="736ABB47"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 xml:space="preserve">These hypotheses are </w:t>
      </w:r>
      <w:r w:rsidR="00CA63E9" w:rsidRPr="000A5A11">
        <w:rPr>
          <w:rFonts w:ascii="Times New Roman" w:hAnsi="Times New Roman" w:cs="Times New Roman"/>
          <w:sz w:val="24"/>
          <w:szCs w:val="24"/>
        </w:rPr>
        <w:t>test</w:t>
      </w:r>
      <w:r w:rsidR="00CA63E9">
        <w:rPr>
          <w:rFonts w:ascii="Times New Roman" w:hAnsi="Times New Roman" w:cs="Times New Roman"/>
          <w:sz w:val="24"/>
          <w:szCs w:val="24"/>
        </w:rPr>
        <w:t>ed</w:t>
      </w:r>
      <w:r w:rsidR="00CA63E9" w:rsidRPr="000A5A11">
        <w:rPr>
          <w:rFonts w:ascii="Times New Roman" w:hAnsi="Times New Roman" w:cs="Times New Roman"/>
          <w:sz w:val="24"/>
          <w:szCs w:val="24"/>
        </w:rPr>
        <w:t xml:space="preserve"> </w:t>
      </w:r>
      <w:r w:rsidRPr="000A5A11">
        <w:rPr>
          <w:rFonts w:ascii="Times New Roman" w:hAnsi="Times New Roman" w:cs="Times New Roman"/>
          <w:sz w:val="24"/>
          <w:szCs w:val="24"/>
        </w:rPr>
        <w:t>using the TALIS 2018 data linked to the School Workforce Census.</w:t>
      </w:r>
      <w:r w:rsidR="00857B78">
        <w:rPr>
          <w:rFonts w:ascii="Times New Roman" w:hAnsi="Times New Roman" w:cs="Times New Roman"/>
          <w:sz w:val="24"/>
          <w:szCs w:val="24"/>
        </w:rPr>
        <w:t xml:space="preserve"> The analysis hence refers to a set of teachers teaching Key Stage 1, 2 or 3 pupils in England</w:t>
      </w:r>
      <w:r w:rsidR="00592DD9">
        <w:rPr>
          <w:rFonts w:ascii="Times New Roman" w:hAnsi="Times New Roman" w:cs="Times New Roman"/>
          <w:sz w:val="24"/>
          <w:szCs w:val="24"/>
        </w:rPr>
        <w:t>.</w:t>
      </w:r>
      <w:r w:rsidR="00857B78">
        <w:rPr>
          <w:rFonts w:ascii="Times New Roman" w:hAnsi="Times New Roman" w:cs="Times New Roman"/>
          <w:sz w:val="24"/>
          <w:szCs w:val="24"/>
        </w:rPr>
        <w:t xml:space="preserve"> </w:t>
      </w:r>
      <w:r w:rsidRPr="000A5A11">
        <w:rPr>
          <w:rFonts w:ascii="Times New Roman" w:hAnsi="Times New Roman" w:cs="Times New Roman"/>
          <w:sz w:val="24"/>
          <w:szCs w:val="24"/>
        </w:rPr>
        <w:t>From the TALIS questionnaire, 26 questions measure various different aspect of teachers’ working environment, including collaborative activities undertaken by teachers and the nature of teacher workload</w:t>
      </w:r>
      <w:r w:rsidR="005148D8">
        <w:rPr>
          <w:rFonts w:ascii="Times New Roman" w:hAnsi="Times New Roman" w:cs="Times New Roman"/>
          <w:sz w:val="24"/>
          <w:szCs w:val="24"/>
        </w:rPr>
        <w:t>;</w:t>
      </w:r>
      <w:r w:rsidR="005148D8" w:rsidRPr="000A5A11">
        <w:rPr>
          <w:rFonts w:ascii="Times New Roman" w:hAnsi="Times New Roman" w:cs="Times New Roman"/>
          <w:sz w:val="24"/>
          <w:szCs w:val="24"/>
        </w:rPr>
        <w:t xml:space="preserve"> </w:t>
      </w:r>
      <w:r w:rsidR="005148D8">
        <w:rPr>
          <w:rFonts w:ascii="Times New Roman" w:hAnsi="Times New Roman" w:cs="Times New Roman"/>
          <w:sz w:val="24"/>
          <w:szCs w:val="24"/>
        </w:rPr>
        <w:t>a</w:t>
      </w:r>
      <w:r w:rsidRPr="000A5A11">
        <w:rPr>
          <w:rFonts w:ascii="Times New Roman" w:hAnsi="Times New Roman" w:cs="Times New Roman"/>
          <w:sz w:val="24"/>
          <w:szCs w:val="24"/>
        </w:rPr>
        <w:t xml:space="preserve"> group of four questions that collectively measure teacher job satisfaction (e.g. ‘I enjoy working at this school</w:t>
      </w:r>
      <w:r w:rsidR="009420A3">
        <w:rPr>
          <w:rFonts w:ascii="Times New Roman" w:hAnsi="Times New Roman" w:cs="Times New Roman"/>
          <w:sz w:val="24"/>
          <w:szCs w:val="24"/>
        </w:rPr>
        <w:t>’</w:t>
      </w:r>
      <w:r w:rsidR="005148D8" w:rsidRPr="000A5A11">
        <w:rPr>
          <w:rFonts w:ascii="Times New Roman" w:hAnsi="Times New Roman" w:cs="Times New Roman"/>
          <w:sz w:val="24"/>
          <w:szCs w:val="24"/>
        </w:rPr>
        <w:t>)</w:t>
      </w:r>
      <w:r w:rsidR="005148D8">
        <w:rPr>
          <w:rFonts w:ascii="Times New Roman" w:hAnsi="Times New Roman" w:cs="Times New Roman"/>
          <w:sz w:val="24"/>
          <w:szCs w:val="24"/>
        </w:rPr>
        <w:t>;</w:t>
      </w:r>
      <w:r w:rsidR="005148D8" w:rsidRPr="000A5A11">
        <w:rPr>
          <w:rFonts w:ascii="Times New Roman" w:hAnsi="Times New Roman" w:cs="Times New Roman"/>
          <w:sz w:val="24"/>
          <w:szCs w:val="24"/>
        </w:rPr>
        <w:t xml:space="preserve"> </w:t>
      </w:r>
      <w:r w:rsidRPr="000A5A11">
        <w:rPr>
          <w:rFonts w:ascii="Times New Roman" w:hAnsi="Times New Roman" w:cs="Times New Roman"/>
          <w:sz w:val="24"/>
          <w:szCs w:val="24"/>
        </w:rPr>
        <w:t>with a further group of four questions that collectively measure teacher workplace stress (e.g. ‘my job negatively impacts my mental health’). We use confirmatory factor analysis to create scale scores for:</w:t>
      </w:r>
    </w:p>
    <w:p w14:paraId="73E5167E" w14:textId="77777777" w:rsidR="000A5A11" w:rsidRPr="000A5A11" w:rsidRDefault="000A5A11" w:rsidP="000A5A11">
      <w:pPr>
        <w:pStyle w:val="ListParagraph"/>
        <w:numPr>
          <w:ilvl w:val="0"/>
          <w:numId w:val="36"/>
        </w:numPr>
        <w:spacing w:after="200" w:line="360" w:lineRule="auto"/>
        <w:jc w:val="both"/>
        <w:rPr>
          <w:rFonts w:ascii="Times New Roman" w:hAnsi="Times New Roman" w:cs="Times New Roman"/>
          <w:sz w:val="24"/>
          <w:szCs w:val="24"/>
        </w:rPr>
      </w:pPr>
      <w:r w:rsidRPr="000A5A11">
        <w:rPr>
          <w:rFonts w:ascii="Times New Roman" w:hAnsi="Times New Roman" w:cs="Times New Roman"/>
          <w:sz w:val="24"/>
          <w:szCs w:val="24"/>
        </w:rPr>
        <w:t>supportive leadership (e.g. ‘my manager recognises when I have done a good job’)</w:t>
      </w:r>
    </w:p>
    <w:p w14:paraId="369CC467" w14:textId="77777777" w:rsidR="000A5A11" w:rsidRPr="000A5A11" w:rsidRDefault="000A5A11" w:rsidP="000A5A11">
      <w:pPr>
        <w:pStyle w:val="ListParagraph"/>
        <w:numPr>
          <w:ilvl w:val="0"/>
          <w:numId w:val="36"/>
        </w:numPr>
        <w:spacing w:after="200" w:line="360" w:lineRule="auto"/>
        <w:jc w:val="both"/>
        <w:rPr>
          <w:rFonts w:ascii="Times New Roman" w:hAnsi="Times New Roman" w:cs="Times New Roman"/>
          <w:sz w:val="24"/>
          <w:szCs w:val="24"/>
        </w:rPr>
      </w:pPr>
      <w:r w:rsidRPr="000A5A11">
        <w:rPr>
          <w:rFonts w:ascii="Times New Roman" w:hAnsi="Times New Roman" w:cs="Times New Roman"/>
          <w:sz w:val="24"/>
          <w:szCs w:val="24"/>
        </w:rPr>
        <w:t>behaviour (e.g. ‘the school staff enforces rules for behaviour consistently throughout the school’)</w:t>
      </w:r>
    </w:p>
    <w:p w14:paraId="37277B29" w14:textId="3BF0713E" w:rsidR="000A5A11" w:rsidRPr="000A5A11" w:rsidRDefault="000A5A11" w:rsidP="000A5A11">
      <w:pPr>
        <w:pStyle w:val="ListParagraph"/>
        <w:numPr>
          <w:ilvl w:val="0"/>
          <w:numId w:val="36"/>
        </w:numPr>
        <w:spacing w:after="200" w:line="360" w:lineRule="auto"/>
        <w:jc w:val="both"/>
        <w:rPr>
          <w:rFonts w:ascii="Times New Roman" w:hAnsi="Times New Roman" w:cs="Times New Roman"/>
          <w:sz w:val="24"/>
          <w:szCs w:val="24"/>
        </w:rPr>
      </w:pPr>
      <w:r w:rsidRPr="000A5A11">
        <w:rPr>
          <w:rFonts w:ascii="Times New Roman" w:hAnsi="Times New Roman" w:cs="Times New Roman"/>
          <w:sz w:val="24"/>
          <w:szCs w:val="24"/>
        </w:rPr>
        <w:t>workload (e.g. ‘my job leaves me time for my personal life’)</w:t>
      </w:r>
    </w:p>
    <w:p w14:paraId="00ACA246" w14:textId="77777777" w:rsidR="000A5A11" w:rsidRPr="000A5A11" w:rsidRDefault="000A5A11" w:rsidP="000A5A11">
      <w:pPr>
        <w:pStyle w:val="ListParagraph"/>
        <w:numPr>
          <w:ilvl w:val="0"/>
          <w:numId w:val="36"/>
        </w:numPr>
        <w:spacing w:after="200" w:line="360" w:lineRule="auto"/>
        <w:jc w:val="both"/>
        <w:rPr>
          <w:rFonts w:ascii="Times New Roman" w:hAnsi="Times New Roman" w:cs="Times New Roman"/>
          <w:sz w:val="24"/>
          <w:szCs w:val="24"/>
        </w:rPr>
      </w:pPr>
      <w:r w:rsidRPr="000A5A11">
        <w:rPr>
          <w:rFonts w:ascii="Times New Roman" w:hAnsi="Times New Roman" w:cs="Times New Roman"/>
          <w:sz w:val="24"/>
          <w:szCs w:val="24"/>
        </w:rPr>
        <w:t>collaboration (e.g. ‘how often do you observe other teachers’ classes and provide feedback’)</w:t>
      </w:r>
    </w:p>
    <w:p w14:paraId="79DA0AC1" w14:textId="77777777" w:rsidR="000A5A11" w:rsidRPr="000A5A11" w:rsidRDefault="000A5A11" w:rsidP="000A5A11">
      <w:pPr>
        <w:pStyle w:val="ListParagraph"/>
        <w:numPr>
          <w:ilvl w:val="0"/>
          <w:numId w:val="36"/>
        </w:numPr>
        <w:spacing w:after="200" w:line="360" w:lineRule="auto"/>
        <w:jc w:val="both"/>
        <w:rPr>
          <w:rFonts w:ascii="Times New Roman" w:hAnsi="Times New Roman" w:cs="Times New Roman"/>
          <w:sz w:val="24"/>
          <w:szCs w:val="24"/>
        </w:rPr>
      </w:pPr>
      <w:r w:rsidRPr="000A5A11">
        <w:rPr>
          <w:rFonts w:ascii="Times New Roman" w:hAnsi="Times New Roman" w:cs="Times New Roman"/>
          <w:sz w:val="24"/>
          <w:szCs w:val="24"/>
        </w:rPr>
        <w:t>preparation for teaching assignment (e.g. ‘to what extent do you feel prepared for the content of some or all of the subjects that I teach’)</w:t>
      </w:r>
    </w:p>
    <w:p w14:paraId="3CDB7837" w14:textId="61773234" w:rsidR="000A5A11" w:rsidRPr="000A5A11" w:rsidRDefault="0023649F" w:rsidP="000A5A11">
      <w:pPr>
        <w:pStyle w:val="ListParagraph"/>
        <w:numPr>
          <w:ilvl w:val="0"/>
          <w:numId w:val="36"/>
        </w:numPr>
        <w:spacing w:after="200" w:line="360" w:lineRule="auto"/>
        <w:jc w:val="both"/>
        <w:rPr>
          <w:rFonts w:ascii="Times New Roman" w:hAnsi="Times New Roman" w:cs="Times New Roman"/>
          <w:sz w:val="24"/>
          <w:szCs w:val="24"/>
        </w:rPr>
      </w:pPr>
      <w:r>
        <w:rPr>
          <w:rFonts w:ascii="Times New Roman" w:hAnsi="Times New Roman" w:cs="Times New Roman"/>
          <w:sz w:val="24"/>
          <w:szCs w:val="24"/>
        </w:rPr>
        <w:t>j</w:t>
      </w:r>
      <w:r w:rsidRPr="000A5A11">
        <w:rPr>
          <w:rFonts w:ascii="Times New Roman" w:hAnsi="Times New Roman" w:cs="Times New Roman"/>
          <w:sz w:val="24"/>
          <w:szCs w:val="24"/>
        </w:rPr>
        <w:t xml:space="preserve">ob </w:t>
      </w:r>
      <w:r>
        <w:rPr>
          <w:rFonts w:ascii="Times New Roman" w:hAnsi="Times New Roman" w:cs="Times New Roman"/>
          <w:sz w:val="24"/>
          <w:szCs w:val="24"/>
        </w:rPr>
        <w:t>s</w:t>
      </w:r>
      <w:r w:rsidRPr="000A5A11">
        <w:rPr>
          <w:rFonts w:ascii="Times New Roman" w:hAnsi="Times New Roman" w:cs="Times New Roman"/>
          <w:sz w:val="24"/>
          <w:szCs w:val="24"/>
        </w:rPr>
        <w:t xml:space="preserve">atisfaction </w:t>
      </w:r>
      <w:r w:rsidR="000A5A11" w:rsidRPr="000A5A11">
        <w:rPr>
          <w:rFonts w:ascii="Times New Roman" w:hAnsi="Times New Roman" w:cs="Times New Roman"/>
          <w:sz w:val="24"/>
          <w:szCs w:val="24"/>
        </w:rPr>
        <w:t>(e.g. ‘I enjoy working at this school’)</w:t>
      </w:r>
    </w:p>
    <w:p w14:paraId="4A9F9CCA" w14:textId="59ED6629" w:rsidR="000A5A11" w:rsidRPr="000A5A11" w:rsidRDefault="0023649F" w:rsidP="000A5A11">
      <w:pPr>
        <w:pStyle w:val="ListParagraph"/>
        <w:numPr>
          <w:ilvl w:val="0"/>
          <w:numId w:val="36"/>
        </w:numPr>
        <w:spacing w:after="200" w:line="360" w:lineRule="auto"/>
        <w:jc w:val="both"/>
        <w:rPr>
          <w:rFonts w:ascii="Times New Roman" w:hAnsi="Times New Roman" w:cs="Times New Roman"/>
          <w:sz w:val="24"/>
          <w:szCs w:val="24"/>
        </w:rPr>
      </w:pPr>
      <w:r>
        <w:rPr>
          <w:rFonts w:ascii="Times New Roman" w:hAnsi="Times New Roman" w:cs="Times New Roman"/>
          <w:sz w:val="24"/>
          <w:szCs w:val="24"/>
        </w:rPr>
        <w:t>w</w:t>
      </w:r>
      <w:r w:rsidRPr="000A5A11">
        <w:rPr>
          <w:rFonts w:ascii="Times New Roman" w:hAnsi="Times New Roman" w:cs="Times New Roman"/>
          <w:sz w:val="24"/>
          <w:szCs w:val="24"/>
        </w:rPr>
        <w:t xml:space="preserve">orkplace </w:t>
      </w:r>
      <w:r>
        <w:rPr>
          <w:rFonts w:ascii="Times New Roman" w:hAnsi="Times New Roman" w:cs="Times New Roman"/>
          <w:sz w:val="24"/>
          <w:szCs w:val="24"/>
        </w:rPr>
        <w:t>s</w:t>
      </w:r>
      <w:r w:rsidRPr="000A5A11">
        <w:rPr>
          <w:rFonts w:ascii="Times New Roman" w:hAnsi="Times New Roman" w:cs="Times New Roman"/>
          <w:sz w:val="24"/>
          <w:szCs w:val="24"/>
        </w:rPr>
        <w:t xml:space="preserve">tress </w:t>
      </w:r>
      <w:r w:rsidR="000A5A11" w:rsidRPr="000A5A11">
        <w:rPr>
          <w:rFonts w:ascii="Times New Roman" w:hAnsi="Times New Roman" w:cs="Times New Roman"/>
          <w:sz w:val="24"/>
          <w:szCs w:val="24"/>
        </w:rPr>
        <w:t>(e.g. ‘I experience stress in my work’)</w:t>
      </w:r>
    </w:p>
    <w:p w14:paraId="684EBDCF" w14:textId="77777777" w:rsidR="000A5A11" w:rsidRPr="000A5A11" w:rsidRDefault="000A5A11" w:rsidP="000A5A11">
      <w:pPr>
        <w:spacing w:after="120" w:line="360" w:lineRule="auto"/>
        <w:jc w:val="both"/>
        <w:rPr>
          <w:rFonts w:ascii="Times New Roman" w:hAnsi="Times New Roman" w:cs="Times New Roman"/>
          <w:sz w:val="24"/>
          <w:szCs w:val="24"/>
        </w:rPr>
      </w:pPr>
      <w:r w:rsidRPr="000A5A11">
        <w:rPr>
          <w:rFonts w:ascii="Times New Roman" w:hAnsi="Times New Roman" w:cs="Times New Roman"/>
          <w:sz w:val="24"/>
          <w:szCs w:val="24"/>
        </w:rPr>
        <w:t xml:space="preserve">These scales are all standardised to mean zero and standard deviation one, meaning all results can be interpreted in terms of effect sizes. </w:t>
      </w:r>
    </w:p>
    <w:p w14:paraId="2FD49288" w14:textId="0375155B"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It was possible to link 2,684 TALIS respondents to the School Workforce Census (SWC). This includes information from the 2018/19 academic year (the autumn term following the TALIS 2018 data collection) which allows us to create the outcome variable of interest: exit (or attrition) from the profession. Restricting the sample to full-time teachers, we are left with 2,136 observations, with 5.5</w:t>
      </w:r>
      <w:r w:rsidR="00901A63">
        <w:rPr>
          <w:rFonts w:ascii="Times New Roman" w:hAnsi="Times New Roman" w:cs="Times New Roman"/>
          <w:sz w:val="24"/>
          <w:szCs w:val="24"/>
        </w:rPr>
        <w:t>%</w:t>
      </w:r>
      <w:r w:rsidRPr="000A5A11">
        <w:rPr>
          <w:rFonts w:ascii="Times New Roman" w:hAnsi="Times New Roman" w:cs="Times New Roman"/>
          <w:sz w:val="24"/>
          <w:szCs w:val="24"/>
        </w:rPr>
        <w:t xml:space="preserve"> leaving the profession during our observation window</w:t>
      </w:r>
      <w:r w:rsidR="00E343CE">
        <w:rPr>
          <w:rFonts w:ascii="Times New Roman" w:hAnsi="Times New Roman" w:cs="Times New Roman"/>
          <w:sz w:val="24"/>
          <w:szCs w:val="24"/>
        </w:rPr>
        <w:t>.</w:t>
      </w:r>
      <w:r w:rsidRPr="000A5A11">
        <w:rPr>
          <w:rFonts w:ascii="Times New Roman" w:hAnsi="Times New Roman" w:cs="Times New Roman"/>
          <w:sz w:val="24"/>
          <w:szCs w:val="24"/>
        </w:rPr>
        <w:t xml:space="preserve"> </w:t>
      </w:r>
    </w:p>
    <w:p w14:paraId="09062734" w14:textId="77777777" w:rsidR="000A5A11" w:rsidRPr="000A5A11" w:rsidRDefault="000A5A11" w:rsidP="000A5A11">
      <w:pPr>
        <w:spacing w:after="120" w:line="360" w:lineRule="auto"/>
        <w:jc w:val="both"/>
        <w:rPr>
          <w:rFonts w:ascii="Times New Roman" w:hAnsi="Times New Roman" w:cs="Times New Roman"/>
          <w:sz w:val="24"/>
          <w:szCs w:val="24"/>
        </w:rPr>
      </w:pPr>
      <w:r w:rsidRPr="000A5A11">
        <w:rPr>
          <w:rFonts w:ascii="Times New Roman" w:hAnsi="Times New Roman" w:cs="Times New Roman"/>
          <w:sz w:val="24"/>
          <w:szCs w:val="24"/>
        </w:rPr>
        <w:t xml:space="preserve">We analyse the relationship between working conditions and teacher attrition using logistic regression. These models include controls for the five working condition scales and a set of </w:t>
      </w:r>
      <w:r w:rsidRPr="000A5A11">
        <w:rPr>
          <w:rFonts w:ascii="Times New Roman" w:hAnsi="Times New Roman" w:cs="Times New Roman"/>
          <w:sz w:val="24"/>
          <w:szCs w:val="24"/>
        </w:rPr>
        <w:lastRenderedPageBreak/>
        <w:t>control variables</w:t>
      </w:r>
      <w:r w:rsidRPr="000A5A11">
        <w:rPr>
          <w:rStyle w:val="FootnoteReference"/>
          <w:rFonts w:ascii="Times New Roman" w:hAnsi="Times New Roman" w:cs="Times New Roman"/>
          <w:sz w:val="24"/>
          <w:szCs w:val="24"/>
        </w:rPr>
        <w:footnoteReference w:id="33"/>
      </w:r>
      <w:r w:rsidRPr="000A5A11">
        <w:rPr>
          <w:rFonts w:ascii="Times New Roman" w:hAnsi="Times New Roman" w:cs="Times New Roman"/>
          <w:sz w:val="24"/>
          <w:szCs w:val="24"/>
        </w:rPr>
        <w:t xml:space="preserve">. Sims and Jerrim (2020) test the robustness of estimates to alternative model specifications and analytic approaches, with little difference to the substantive results presented here. </w:t>
      </w:r>
    </w:p>
    <w:p w14:paraId="4C1AA76B" w14:textId="77777777" w:rsidR="000A5A11" w:rsidRPr="000A5A11" w:rsidRDefault="000A5A11" w:rsidP="008B4E20">
      <w:pPr>
        <w:pStyle w:val="Heading1"/>
        <w:numPr>
          <w:ilvl w:val="1"/>
          <w:numId w:val="37"/>
        </w:numPr>
        <w:spacing w:before="0"/>
        <w:ind w:left="527" w:hanging="527"/>
        <w:rPr>
          <w:rFonts w:ascii="Times New Roman" w:hAnsi="Times New Roman" w:cs="Times New Roman"/>
          <w:b/>
          <w:bCs/>
          <w:color w:val="auto"/>
          <w:sz w:val="24"/>
          <w:szCs w:val="24"/>
        </w:rPr>
      </w:pPr>
      <w:bookmarkStart w:id="28" w:name="_Toc67406020"/>
      <w:r w:rsidRPr="000A5A11">
        <w:rPr>
          <w:rFonts w:ascii="Times New Roman" w:hAnsi="Times New Roman" w:cs="Times New Roman"/>
          <w:b/>
          <w:bCs/>
          <w:color w:val="auto"/>
          <w:sz w:val="24"/>
          <w:szCs w:val="24"/>
        </w:rPr>
        <w:t>How are school working conditions related to teachers leaving the profession?</w:t>
      </w:r>
      <w:bookmarkEnd w:id="28"/>
    </w:p>
    <w:p w14:paraId="3595902F" w14:textId="3DC0EB19"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 xml:space="preserve">Table 12.1 reports our main findings, with coefficients reported as differences in the probability of leaving the profession (note: negative coefficients refer to teachers being </w:t>
      </w:r>
      <w:r w:rsidRPr="000A5A11">
        <w:rPr>
          <w:rFonts w:ascii="Times New Roman" w:hAnsi="Times New Roman" w:cs="Times New Roman"/>
          <w:i/>
          <w:sz w:val="24"/>
          <w:szCs w:val="24"/>
        </w:rPr>
        <w:t>less</w:t>
      </w:r>
      <w:r w:rsidRPr="000A5A11">
        <w:rPr>
          <w:rFonts w:ascii="Times New Roman" w:hAnsi="Times New Roman" w:cs="Times New Roman"/>
          <w:sz w:val="24"/>
          <w:szCs w:val="24"/>
        </w:rPr>
        <w:t xml:space="preserve"> likely to leave). From this model, one can see that supportive school leadership is the strongest predictor of remaining in the profession. Specifically, a one</w:t>
      </w:r>
      <w:r w:rsidR="003664F0">
        <w:rPr>
          <w:rFonts w:ascii="Times New Roman" w:hAnsi="Times New Roman" w:cs="Times New Roman"/>
          <w:sz w:val="24"/>
          <w:szCs w:val="24"/>
        </w:rPr>
        <w:t xml:space="preserve"> </w:t>
      </w:r>
      <w:r w:rsidRPr="000A5A11">
        <w:rPr>
          <w:rFonts w:ascii="Times New Roman" w:hAnsi="Times New Roman" w:cs="Times New Roman"/>
          <w:sz w:val="24"/>
          <w:szCs w:val="24"/>
        </w:rPr>
        <w:t>standard</w:t>
      </w:r>
      <w:r w:rsidR="000F7677">
        <w:rPr>
          <w:rFonts w:ascii="Times New Roman" w:hAnsi="Times New Roman" w:cs="Times New Roman"/>
          <w:sz w:val="24"/>
          <w:szCs w:val="24"/>
        </w:rPr>
        <w:t xml:space="preserve"> </w:t>
      </w:r>
      <w:r w:rsidRPr="000A5A11">
        <w:rPr>
          <w:rFonts w:ascii="Times New Roman" w:hAnsi="Times New Roman" w:cs="Times New Roman"/>
          <w:sz w:val="24"/>
          <w:szCs w:val="24"/>
        </w:rPr>
        <w:t>deviation improvement in school leadership is associated with a 2.7 percentage point decline in the probability of a leaving. This is a sizeable effect, given that only 5.5</w:t>
      </w:r>
      <w:r w:rsidR="008A068F">
        <w:rPr>
          <w:rFonts w:ascii="Times New Roman" w:hAnsi="Times New Roman" w:cs="Times New Roman"/>
          <w:sz w:val="24"/>
          <w:szCs w:val="24"/>
        </w:rPr>
        <w:t>%</w:t>
      </w:r>
      <w:r w:rsidRPr="000A5A11">
        <w:rPr>
          <w:rFonts w:ascii="Times New Roman" w:hAnsi="Times New Roman" w:cs="Times New Roman"/>
          <w:sz w:val="24"/>
          <w:szCs w:val="24"/>
        </w:rPr>
        <w:t xml:space="preserve"> of the sample left teaching during our (relatively short) observation window. </w:t>
      </w:r>
    </w:p>
    <w:p w14:paraId="45C92C85" w14:textId="2D07E9E9" w:rsidR="000A5A11" w:rsidRDefault="000A5A11" w:rsidP="000A5A11">
      <w:pPr>
        <w:spacing w:line="240" w:lineRule="auto"/>
        <w:jc w:val="center"/>
        <w:rPr>
          <w:rFonts w:ascii="Times New Roman" w:hAnsi="Times New Roman" w:cs="Times New Roman"/>
          <w:b/>
          <w:bCs/>
        </w:rPr>
      </w:pPr>
      <w:r w:rsidRPr="000A5A11">
        <w:rPr>
          <w:rFonts w:ascii="Times New Roman" w:hAnsi="Times New Roman" w:cs="Times New Roman"/>
          <w:b/>
          <w:bCs/>
          <w:sz w:val="24"/>
          <w:szCs w:val="24"/>
        </w:rPr>
        <w:t>Table 12.1 Estimates of the link between different elements of school working conditions and the probability of a teacher leaving the profession</w:t>
      </w:r>
    </w:p>
    <w:tbl>
      <w:tblPr>
        <w:tblpPr w:leftFromText="180" w:rightFromText="180" w:vertAnchor="text" w:tblpXSpec="center" w:tblpY="1"/>
        <w:tblOverlap w:val="never"/>
        <w:tblW w:w="4760" w:type="dxa"/>
        <w:tblLook w:val="04A0" w:firstRow="1" w:lastRow="0" w:firstColumn="1" w:lastColumn="0" w:noHBand="0" w:noVBand="1"/>
      </w:tblPr>
      <w:tblGrid>
        <w:gridCol w:w="2560"/>
        <w:gridCol w:w="2200"/>
      </w:tblGrid>
      <w:tr w:rsidR="000A5A11" w:rsidRPr="00245F94" w14:paraId="07ECFD77" w14:textId="77777777" w:rsidTr="005E2E61">
        <w:trPr>
          <w:trHeight w:val="1275"/>
        </w:trPr>
        <w:tc>
          <w:tcPr>
            <w:tcW w:w="2560" w:type="dxa"/>
            <w:tcBorders>
              <w:top w:val="single" w:sz="4" w:space="0" w:color="auto"/>
              <w:left w:val="nil"/>
              <w:bottom w:val="single" w:sz="8" w:space="0" w:color="auto"/>
              <w:right w:val="nil"/>
            </w:tcBorders>
            <w:shd w:val="clear" w:color="000000" w:fill="B4C6E7"/>
            <w:vAlign w:val="center"/>
            <w:hideMark/>
          </w:tcPr>
          <w:p w14:paraId="51BDD52A"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 </w:t>
            </w:r>
          </w:p>
        </w:tc>
        <w:tc>
          <w:tcPr>
            <w:tcW w:w="2200" w:type="dxa"/>
            <w:tcBorders>
              <w:top w:val="single" w:sz="4" w:space="0" w:color="auto"/>
              <w:left w:val="nil"/>
              <w:bottom w:val="single" w:sz="8" w:space="0" w:color="auto"/>
              <w:right w:val="nil"/>
            </w:tcBorders>
            <w:shd w:val="clear" w:color="000000" w:fill="B4C6E7"/>
            <w:vAlign w:val="center"/>
            <w:hideMark/>
          </w:tcPr>
          <w:p w14:paraId="7AA786D8" w14:textId="77777777" w:rsidR="000A5A11" w:rsidRPr="00245F94" w:rsidRDefault="000A5A11" w:rsidP="005E2E61">
            <w:pPr>
              <w:spacing w:after="0" w:line="240" w:lineRule="auto"/>
              <w:jc w:val="center"/>
              <w:rPr>
                <w:rFonts w:ascii="Times New Roman" w:eastAsia="Times New Roman" w:hAnsi="Times New Roman" w:cs="Times New Roman"/>
                <w:b/>
                <w:bCs/>
                <w:color w:val="000000"/>
                <w:szCs w:val="24"/>
                <w:lang w:eastAsia="en-GB"/>
              </w:rPr>
            </w:pPr>
            <w:r w:rsidRPr="00245F94">
              <w:rPr>
                <w:rFonts w:ascii="Times New Roman" w:eastAsia="Times New Roman" w:hAnsi="Times New Roman" w:cs="Times New Roman"/>
                <w:b/>
                <w:bCs/>
                <w:color w:val="000000"/>
                <w:szCs w:val="24"/>
                <w:lang w:eastAsia="en-GB"/>
              </w:rPr>
              <w:t>Difference in probability of leaving the profession</w:t>
            </w:r>
          </w:p>
        </w:tc>
      </w:tr>
      <w:tr w:rsidR="000A5A11" w:rsidRPr="00245F94" w14:paraId="13F541CD" w14:textId="77777777" w:rsidTr="005E2E61">
        <w:trPr>
          <w:trHeight w:val="315"/>
        </w:trPr>
        <w:tc>
          <w:tcPr>
            <w:tcW w:w="2560" w:type="dxa"/>
            <w:tcBorders>
              <w:top w:val="nil"/>
              <w:left w:val="nil"/>
              <w:bottom w:val="nil"/>
              <w:right w:val="nil"/>
            </w:tcBorders>
            <w:shd w:val="clear" w:color="auto" w:fill="auto"/>
            <w:vAlign w:val="center"/>
            <w:hideMark/>
          </w:tcPr>
          <w:p w14:paraId="29C46E69"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Supportive Leadership</w:t>
            </w:r>
          </w:p>
        </w:tc>
        <w:tc>
          <w:tcPr>
            <w:tcW w:w="2200" w:type="dxa"/>
            <w:tcBorders>
              <w:top w:val="nil"/>
              <w:left w:val="nil"/>
              <w:bottom w:val="nil"/>
              <w:right w:val="nil"/>
            </w:tcBorders>
            <w:shd w:val="clear" w:color="auto" w:fill="auto"/>
            <w:vAlign w:val="center"/>
            <w:hideMark/>
          </w:tcPr>
          <w:p w14:paraId="6FCC841D"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-2.7%</w:t>
            </w:r>
            <w:r>
              <w:rPr>
                <w:rFonts w:ascii="Times New Roman" w:eastAsia="Times New Roman" w:hAnsi="Times New Roman" w:cs="Times New Roman"/>
                <w:color w:val="000000"/>
                <w:szCs w:val="24"/>
                <w:lang w:eastAsia="en-GB"/>
              </w:rPr>
              <w:t>*</w:t>
            </w:r>
          </w:p>
        </w:tc>
      </w:tr>
      <w:tr w:rsidR="000A5A11" w:rsidRPr="00245F94" w14:paraId="06730F95" w14:textId="77777777" w:rsidTr="005E2E61">
        <w:trPr>
          <w:trHeight w:val="315"/>
        </w:trPr>
        <w:tc>
          <w:tcPr>
            <w:tcW w:w="2560" w:type="dxa"/>
            <w:tcBorders>
              <w:top w:val="nil"/>
              <w:left w:val="nil"/>
              <w:bottom w:val="nil"/>
              <w:right w:val="nil"/>
            </w:tcBorders>
            <w:shd w:val="clear" w:color="auto" w:fill="auto"/>
            <w:vAlign w:val="center"/>
            <w:hideMark/>
          </w:tcPr>
          <w:p w14:paraId="42EA134A"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Workload</w:t>
            </w:r>
          </w:p>
        </w:tc>
        <w:tc>
          <w:tcPr>
            <w:tcW w:w="2200" w:type="dxa"/>
            <w:tcBorders>
              <w:top w:val="nil"/>
              <w:left w:val="nil"/>
              <w:bottom w:val="nil"/>
              <w:right w:val="nil"/>
            </w:tcBorders>
            <w:shd w:val="clear" w:color="auto" w:fill="auto"/>
            <w:vAlign w:val="center"/>
            <w:hideMark/>
          </w:tcPr>
          <w:p w14:paraId="28F2D21B"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0.4%</w:t>
            </w:r>
          </w:p>
        </w:tc>
      </w:tr>
      <w:tr w:rsidR="000A5A11" w:rsidRPr="00245F94" w14:paraId="7DE2C30E" w14:textId="77777777" w:rsidTr="005E2E61">
        <w:trPr>
          <w:trHeight w:val="315"/>
        </w:trPr>
        <w:tc>
          <w:tcPr>
            <w:tcW w:w="2560" w:type="dxa"/>
            <w:tcBorders>
              <w:top w:val="nil"/>
              <w:left w:val="nil"/>
              <w:bottom w:val="nil"/>
              <w:right w:val="nil"/>
            </w:tcBorders>
            <w:shd w:val="clear" w:color="auto" w:fill="auto"/>
            <w:vAlign w:val="center"/>
            <w:hideMark/>
          </w:tcPr>
          <w:p w14:paraId="07297C55"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Collaboration</w:t>
            </w:r>
          </w:p>
        </w:tc>
        <w:tc>
          <w:tcPr>
            <w:tcW w:w="2200" w:type="dxa"/>
            <w:tcBorders>
              <w:top w:val="nil"/>
              <w:left w:val="nil"/>
              <w:bottom w:val="nil"/>
              <w:right w:val="nil"/>
            </w:tcBorders>
            <w:shd w:val="clear" w:color="auto" w:fill="auto"/>
            <w:vAlign w:val="center"/>
            <w:hideMark/>
          </w:tcPr>
          <w:p w14:paraId="5D937B01"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-1.7%</w:t>
            </w:r>
            <w:r>
              <w:rPr>
                <w:rFonts w:ascii="Times New Roman" w:eastAsia="Times New Roman" w:hAnsi="Times New Roman" w:cs="Times New Roman"/>
                <w:color w:val="000000"/>
                <w:szCs w:val="24"/>
                <w:lang w:eastAsia="en-GB"/>
              </w:rPr>
              <w:t>*</w:t>
            </w:r>
          </w:p>
        </w:tc>
      </w:tr>
      <w:tr w:rsidR="000A5A11" w:rsidRPr="00245F94" w14:paraId="26592D4C" w14:textId="77777777" w:rsidTr="005E2E61">
        <w:trPr>
          <w:trHeight w:val="315"/>
        </w:trPr>
        <w:tc>
          <w:tcPr>
            <w:tcW w:w="2560" w:type="dxa"/>
            <w:tcBorders>
              <w:top w:val="nil"/>
              <w:left w:val="nil"/>
              <w:bottom w:val="nil"/>
              <w:right w:val="nil"/>
            </w:tcBorders>
            <w:shd w:val="clear" w:color="auto" w:fill="auto"/>
            <w:vAlign w:val="center"/>
            <w:hideMark/>
          </w:tcPr>
          <w:p w14:paraId="7F61ED4A"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Preparation</w:t>
            </w:r>
          </w:p>
        </w:tc>
        <w:tc>
          <w:tcPr>
            <w:tcW w:w="2200" w:type="dxa"/>
            <w:tcBorders>
              <w:top w:val="nil"/>
              <w:left w:val="nil"/>
              <w:bottom w:val="nil"/>
              <w:right w:val="nil"/>
            </w:tcBorders>
            <w:shd w:val="clear" w:color="auto" w:fill="auto"/>
            <w:vAlign w:val="center"/>
            <w:hideMark/>
          </w:tcPr>
          <w:p w14:paraId="6AD91DCD"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1.3%</w:t>
            </w:r>
          </w:p>
        </w:tc>
      </w:tr>
      <w:tr w:rsidR="000A5A11" w:rsidRPr="00245F94" w14:paraId="7C02DEB7" w14:textId="77777777" w:rsidTr="005E2E61">
        <w:trPr>
          <w:trHeight w:val="315"/>
        </w:trPr>
        <w:tc>
          <w:tcPr>
            <w:tcW w:w="2560" w:type="dxa"/>
            <w:tcBorders>
              <w:top w:val="nil"/>
              <w:left w:val="nil"/>
              <w:bottom w:val="nil"/>
              <w:right w:val="nil"/>
            </w:tcBorders>
            <w:shd w:val="clear" w:color="auto" w:fill="auto"/>
            <w:vAlign w:val="center"/>
            <w:hideMark/>
          </w:tcPr>
          <w:p w14:paraId="462B7EC5"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Discipline</w:t>
            </w:r>
          </w:p>
        </w:tc>
        <w:tc>
          <w:tcPr>
            <w:tcW w:w="2200" w:type="dxa"/>
            <w:tcBorders>
              <w:top w:val="nil"/>
              <w:left w:val="nil"/>
              <w:bottom w:val="nil"/>
              <w:right w:val="nil"/>
            </w:tcBorders>
            <w:shd w:val="clear" w:color="auto" w:fill="auto"/>
            <w:vAlign w:val="center"/>
            <w:hideMark/>
          </w:tcPr>
          <w:p w14:paraId="0DAB3452"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-2.1%</w:t>
            </w:r>
            <w:r>
              <w:rPr>
                <w:rFonts w:ascii="Times New Roman" w:eastAsia="Times New Roman" w:hAnsi="Times New Roman" w:cs="Times New Roman"/>
                <w:color w:val="000000"/>
                <w:szCs w:val="24"/>
                <w:lang w:eastAsia="en-GB"/>
              </w:rPr>
              <w:t>*</w:t>
            </w:r>
          </w:p>
        </w:tc>
      </w:tr>
      <w:tr w:rsidR="000A5A11" w:rsidRPr="00245F94" w14:paraId="6D221B08" w14:textId="77777777" w:rsidTr="005E2E61">
        <w:trPr>
          <w:trHeight w:val="330"/>
        </w:trPr>
        <w:tc>
          <w:tcPr>
            <w:tcW w:w="2560" w:type="dxa"/>
            <w:tcBorders>
              <w:top w:val="single" w:sz="4" w:space="0" w:color="auto"/>
              <w:left w:val="nil"/>
              <w:bottom w:val="single" w:sz="8" w:space="0" w:color="auto"/>
              <w:right w:val="nil"/>
            </w:tcBorders>
            <w:shd w:val="clear" w:color="auto" w:fill="auto"/>
            <w:vAlign w:val="center"/>
            <w:hideMark/>
          </w:tcPr>
          <w:p w14:paraId="152703C6" w14:textId="77777777" w:rsidR="000A5A11" w:rsidRPr="00245F94" w:rsidRDefault="000A5A11" w:rsidP="005E2E61">
            <w:pPr>
              <w:spacing w:after="0" w:line="240" w:lineRule="auto"/>
              <w:rPr>
                <w:rFonts w:ascii="Times New Roman" w:eastAsia="Times New Roman" w:hAnsi="Times New Roman" w:cs="Times New Roman"/>
                <w:b/>
                <w:bCs/>
                <w:color w:val="000000"/>
                <w:szCs w:val="24"/>
                <w:lang w:eastAsia="en-GB"/>
              </w:rPr>
            </w:pPr>
            <w:r w:rsidRPr="00245F94">
              <w:rPr>
                <w:rFonts w:ascii="Times New Roman" w:eastAsia="Times New Roman" w:hAnsi="Times New Roman" w:cs="Times New Roman"/>
                <w:b/>
                <w:bCs/>
                <w:color w:val="000000"/>
                <w:szCs w:val="24"/>
                <w:lang w:eastAsia="en-GB"/>
              </w:rPr>
              <w:t>N (teachers)</w:t>
            </w:r>
          </w:p>
        </w:tc>
        <w:tc>
          <w:tcPr>
            <w:tcW w:w="2200" w:type="dxa"/>
            <w:tcBorders>
              <w:top w:val="single" w:sz="4" w:space="0" w:color="auto"/>
              <w:left w:val="nil"/>
              <w:bottom w:val="single" w:sz="8" w:space="0" w:color="auto"/>
              <w:right w:val="nil"/>
            </w:tcBorders>
            <w:shd w:val="clear" w:color="auto" w:fill="auto"/>
            <w:vAlign w:val="center"/>
            <w:hideMark/>
          </w:tcPr>
          <w:p w14:paraId="14C88EFC" w14:textId="77777777" w:rsidR="000A5A11" w:rsidRPr="00245F94" w:rsidRDefault="000A5A11" w:rsidP="005E2E61">
            <w:pPr>
              <w:spacing w:after="0" w:line="240" w:lineRule="auto"/>
              <w:jc w:val="center"/>
              <w:rPr>
                <w:rFonts w:ascii="Times New Roman" w:eastAsia="Times New Roman" w:hAnsi="Times New Roman" w:cs="Times New Roman"/>
                <w:b/>
                <w:bCs/>
                <w:color w:val="000000"/>
                <w:szCs w:val="24"/>
                <w:lang w:eastAsia="en-GB"/>
              </w:rPr>
            </w:pPr>
            <w:r w:rsidRPr="00245F94">
              <w:rPr>
                <w:rFonts w:ascii="Times New Roman" w:eastAsia="Times New Roman" w:hAnsi="Times New Roman" w:cs="Times New Roman"/>
                <w:b/>
                <w:bCs/>
                <w:color w:val="000000"/>
                <w:szCs w:val="24"/>
                <w:lang w:eastAsia="en-GB"/>
              </w:rPr>
              <w:t>2,029</w:t>
            </w:r>
          </w:p>
        </w:tc>
      </w:tr>
    </w:tbl>
    <w:p w14:paraId="781EB9FB" w14:textId="1AC4179F" w:rsidR="00880D60" w:rsidRPr="00245F94" w:rsidRDefault="000A5A11" w:rsidP="008B4E20">
      <w:pPr>
        <w:spacing w:after="0" w:line="240" w:lineRule="auto"/>
        <w:rPr>
          <w:rFonts w:ascii="Times New Roman" w:hAnsi="Times New Roman" w:cs="Times New Roman"/>
          <w:color w:val="000000" w:themeColor="text1"/>
          <w:highlight w:val="yellow"/>
        </w:rPr>
      </w:pPr>
      <w:r>
        <w:rPr>
          <w:rFonts w:ascii="Times New Roman" w:hAnsi="Times New Roman" w:cs="Times New Roman"/>
          <w:color w:val="000000" w:themeColor="text1"/>
          <w:sz w:val="20"/>
          <w:szCs w:val="20"/>
          <w:shd w:val="clear" w:color="auto" w:fill="FFFFFF"/>
        </w:rPr>
        <w:br w:type="textWrapping" w:clear="all"/>
      </w:r>
      <w:r w:rsidRPr="00245F94">
        <w:rPr>
          <w:rFonts w:ascii="Times New Roman" w:hAnsi="Times New Roman" w:cs="Times New Roman"/>
          <w:color w:val="000000" w:themeColor="text1"/>
          <w:sz w:val="20"/>
          <w:szCs w:val="20"/>
          <w:shd w:val="clear" w:color="auto" w:fill="FFFFFF"/>
        </w:rPr>
        <w:t xml:space="preserve">Notes: * = statistical significance at the </w:t>
      </w:r>
      <w:r w:rsidR="00880D60">
        <w:rPr>
          <w:rFonts w:ascii="Times New Roman" w:hAnsi="Times New Roman" w:cs="Times New Roman"/>
          <w:color w:val="000000" w:themeColor="text1"/>
          <w:sz w:val="20"/>
          <w:szCs w:val="20"/>
          <w:shd w:val="clear" w:color="auto" w:fill="FFFFFF"/>
        </w:rPr>
        <w:t>5%</w:t>
      </w:r>
      <w:r w:rsidRPr="00245F94">
        <w:rPr>
          <w:rFonts w:ascii="Times New Roman" w:hAnsi="Times New Roman" w:cs="Times New Roman"/>
          <w:color w:val="000000" w:themeColor="text1"/>
          <w:sz w:val="20"/>
          <w:szCs w:val="20"/>
          <w:shd w:val="clear" w:color="auto" w:fill="FFFFFF"/>
        </w:rPr>
        <w:t xml:space="preserve"> level. Coefficients are differences in probability in leaving the teaching profession. Negative values indicate that an increase in e.g. supportive leadership is associated with a reduction </w:t>
      </w:r>
      <w:r w:rsidR="00880D60">
        <w:rPr>
          <w:rFonts w:ascii="Times New Roman" w:hAnsi="Times New Roman" w:cs="Times New Roman"/>
          <w:color w:val="000000" w:themeColor="text1"/>
          <w:sz w:val="20"/>
          <w:szCs w:val="20"/>
          <w:shd w:val="clear" w:color="auto" w:fill="FFFFFF"/>
        </w:rPr>
        <w:t xml:space="preserve">in </w:t>
      </w:r>
      <w:r w:rsidRPr="00245F94">
        <w:rPr>
          <w:rFonts w:ascii="Times New Roman" w:hAnsi="Times New Roman" w:cs="Times New Roman"/>
          <w:color w:val="000000" w:themeColor="text1"/>
          <w:sz w:val="20"/>
          <w:szCs w:val="20"/>
          <w:shd w:val="clear" w:color="auto" w:fill="FFFFFF"/>
        </w:rPr>
        <w:t>the likelihood of leaving teaching.</w:t>
      </w:r>
      <w:r w:rsidR="00875EB6">
        <w:rPr>
          <w:rFonts w:ascii="Times New Roman" w:hAnsi="Times New Roman" w:cs="Times New Roman"/>
          <w:color w:val="000000" w:themeColor="text1"/>
          <w:sz w:val="20"/>
          <w:szCs w:val="20"/>
          <w:shd w:val="clear" w:color="auto" w:fill="FFFFFF"/>
        </w:rPr>
        <w:t xml:space="preserve"> </w:t>
      </w:r>
      <w:r w:rsidR="00875EB6">
        <w:rPr>
          <w:rFonts w:ascii="Times New Roman" w:hAnsi="Times New Roman" w:cs="Times New Roman"/>
          <w:sz w:val="20"/>
          <w:szCs w:val="20"/>
        </w:rPr>
        <w:t>Source = TALIS 2018 dataset.</w:t>
      </w:r>
    </w:p>
    <w:p w14:paraId="0C178E38" w14:textId="77777777" w:rsidR="000A5A11" w:rsidRDefault="000A5A11" w:rsidP="008B4E20">
      <w:pPr>
        <w:spacing w:after="0" w:line="240" w:lineRule="auto"/>
        <w:rPr>
          <w:rFonts w:ascii="Times New Roman" w:hAnsi="Times New Roman" w:cs="Times New Roman"/>
        </w:rPr>
      </w:pPr>
    </w:p>
    <w:p w14:paraId="7EB7A280" w14:textId="47E6FC7D"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Otherwise, the two other working condition variables that had a sizeable and statistically significant association with reduced attrition were discipline and collaboration. With respect to the former, a one</w:t>
      </w:r>
      <w:r w:rsidR="000F7677">
        <w:rPr>
          <w:rFonts w:ascii="Times New Roman" w:hAnsi="Times New Roman" w:cs="Times New Roman"/>
          <w:sz w:val="24"/>
          <w:szCs w:val="24"/>
        </w:rPr>
        <w:t xml:space="preserve"> </w:t>
      </w:r>
      <w:r w:rsidRPr="000A5A11">
        <w:rPr>
          <w:rFonts w:ascii="Times New Roman" w:hAnsi="Times New Roman" w:cs="Times New Roman"/>
          <w:sz w:val="24"/>
          <w:szCs w:val="24"/>
        </w:rPr>
        <w:t>standard</w:t>
      </w:r>
      <w:r w:rsidR="00987C78">
        <w:rPr>
          <w:rFonts w:ascii="Times New Roman" w:hAnsi="Times New Roman" w:cs="Times New Roman"/>
          <w:sz w:val="24"/>
          <w:szCs w:val="24"/>
        </w:rPr>
        <w:t xml:space="preserve"> </w:t>
      </w:r>
      <w:r w:rsidRPr="000A5A11">
        <w:rPr>
          <w:rFonts w:ascii="Times New Roman" w:hAnsi="Times New Roman" w:cs="Times New Roman"/>
          <w:sz w:val="24"/>
          <w:szCs w:val="24"/>
        </w:rPr>
        <w:t xml:space="preserve">deviation improvement in a school’s approach to discipline is associated with a 2.1 percentage point decline in attrition. The analogous effect for a one standard deviation improvement in teacher collaboration was 1.7 percentage points. Neither preparation nor workload had a sizeable or statistically significant association with attrition. Thus, in summary, consistent with H1 and H2, we find associations between attrition and both </w:t>
      </w:r>
      <w:r w:rsidRPr="000A5A11">
        <w:rPr>
          <w:rFonts w:ascii="Times New Roman" w:hAnsi="Times New Roman" w:cs="Times New Roman"/>
          <w:sz w:val="24"/>
          <w:szCs w:val="24"/>
        </w:rPr>
        <w:lastRenderedPageBreak/>
        <w:t xml:space="preserve">supportive leadership and discipline. This is in line with existing literature (studying slightly different outcomes) with leadership emerging as the strongest predictor of attrition. </w:t>
      </w:r>
    </w:p>
    <w:p w14:paraId="65E2167D" w14:textId="5498585E"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We hypothesised that there would be a stronger relationship between discipline and attrition (H2a) and preparation and attrition (H5a) for early</w:t>
      </w:r>
      <w:r w:rsidR="00D64552">
        <w:rPr>
          <w:rFonts w:ascii="Times New Roman" w:hAnsi="Times New Roman" w:cs="Times New Roman"/>
          <w:sz w:val="24"/>
          <w:szCs w:val="24"/>
        </w:rPr>
        <w:t xml:space="preserve"> </w:t>
      </w:r>
      <w:r w:rsidRPr="000A5A11">
        <w:rPr>
          <w:rFonts w:ascii="Times New Roman" w:hAnsi="Times New Roman" w:cs="Times New Roman"/>
          <w:sz w:val="24"/>
          <w:szCs w:val="24"/>
        </w:rPr>
        <w:t xml:space="preserve">career teachers. We investigated this by running a version of our model in which the years of experience covariate was replaced with a binary variable indicating whether a teacher has less than five years (‘novice’) or more than five years (‘veteran’) of experience, as well as interactions between this and the latent working environment latent variables. The predicted probability of leaving teaching for these two groups, calculated for a teacher with otherwise average characteristics, </w:t>
      </w:r>
      <w:r w:rsidR="00817BCE">
        <w:rPr>
          <w:rFonts w:ascii="Times New Roman" w:hAnsi="Times New Roman" w:cs="Times New Roman"/>
          <w:sz w:val="24"/>
          <w:szCs w:val="24"/>
        </w:rPr>
        <w:t>is</w:t>
      </w:r>
      <w:r w:rsidR="00817BCE" w:rsidRPr="000A5A11">
        <w:rPr>
          <w:rFonts w:ascii="Times New Roman" w:hAnsi="Times New Roman" w:cs="Times New Roman"/>
          <w:sz w:val="24"/>
          <w:szCs w:val="24"/>
        </w:rPr>
        <w:t xml:space="preserve"> </w:t>
      </w:r>
      <w:r w:rsidRPr="000A5A11">
        <w:rPr>
          <w:rFonts w:ascii="Times New Roman" w:hAnsi="Times New Roman" w:cs="Times New Roman"/>
          <w:sz w:val="24"/>
          <w:szCs w:val="24"/>
        </w:rPr>
        <w:t xml:space="preserve">shown in Figure 12.1. The left-hand panel illustrates the predicted probability of attrition based on varying levels of preparation and </w:t>
      </w:r>
      <w:r w:rsidR="00817BCE">
        <w:rPr>
          <w:rFonts w:ascii="Times New Roman" w:hAnsi="Times New Roman" w:cs="Times New Roman"/>
          <w:sz w:val="24"/>
          <w:szCs w:val="24"/>
        </w:rPr>
        <w:t xml:space="preserve">the </w:t>
      </w:r>
      <w:r w:rsidRPr="000A5A11">
        <w:rPr>
          <w:rFonts w:ascii="Times New Roman" w:hAnsi="Times New Roman" w:cs="Times New Roman"/>
          <w:sz w:val="24"/>
          <w:szCs w:val="24"/>
        </w:rPr>
        <w:t xml:space="preserve">right-hand panel shows the same for discipline. </w:t>
      </w:r>
    </w:p>
    <w:p w14:paraId="2D859B58" w14:textId="7382EAFB"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 xml:space="preserve">In short, both panels of Figure 12.1 illustrate how less experienced teachers are more likely to leave the profession than their more experienced colleagues for any given value of the working environment variables. However, there is no clear interaction between group experience and either preparation or discipline. </w:t>
      </w:r>
    </w:p>
    <w:p w14:paraId="79A541F4" w14:textId="77777777" w:rsidR="000A5A11" w:rsidRPr="000A5A11" w:rsidRDefault="000A5A11" w:rsidP="00592DD9">
      <w:pPr>
        <w:spacing w:after="0" w:line="360" w:lineRule="auto"/>
        <w:jc w:val="center"/>
        <w:rPr>
          <w:rFonts w:ascii="Times New Roman" w:hAnsi="Times New Roman" w:cs="Times New Roman"/>
          <w:b/>
          <w:bCs/>
          <w:sz w:val="24"/>
          <w:szCs w:val="24"/>
        </w:rPr>
      </w:pPr>
      <w:r w:rsidRPr="000A5A11">
        <w:rPr>
          <w:rFonts w:ascii="Times New Roman" w:hAnsi="Times New Roman" w:cs="Times New Roman"/>
          <w:b/>
          <w:bCs/>
          <w:sz w:val="24"/>
          <w:szCs w:val="24"/>
        </w:rPr>
        <w:t>Figure 12.1 Predicted probability of attrition by teacher experience level</w:t>
      </w:r>
    </w:p>
    <w:p w14:paraId="53E01651" w14:textId="77777777" w:rsidR="000A5A11" w:rsidRDefault="000A5A11" w:rsidP="00592DD9">
      <w:pPr>
        <w:spacing w:after="0" w:line="276" w:lineRule="auto"/>
        <w:jc w:val="center"/>
        <w:rPr>
          <w:rFonts w:ascii="Times New Roman" w:hAnsi="Times New Roman" w:cs="Times New Roman"/>
          <w:b/>
          <w:bCs/>
        </w:rPr>
      </w:pPr>
      <w:r>
        <w:rPr>
          <w:noProof/>
          <w:lang w:eastAsia="en-GB"/>
        </w:rPr>
        <w:drawing>
          <wp:inline distT="0" distB="0" distL="0" distR="0" wp14:anchorId="782B628F" wp14:editId="2D95A893">
            <wp:extent cx="4909625" cy="3589659"/>
            <wp:effectExtent l="0" t="0" r="571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35119" t="18493" r="1684" b="12193"/>
                    <a:stretch/>
                  </pic:blipFill>
                  <pic:spPr bwMode="auto">
                    <a:xfrm>
                      <a:off x="0" y="0"/>
                      <a:ext cx="4926535" cy="3602022"/>
                    </a:xfrm>
                    <a:prstGeom prst="rect">
                      <a:avLst/>
                    </a:prstGeom>
                    <a:ln>
                      <a:noFill/>
                    </a:ln>
                    <a:extLst>
                      <a:ext uri="{53640926-AAD7-44D8-BBD7-CCE9431645EC}">
                        <a14:shadowObscured xmlns:a14="http://schemas.microsoft.com/office/drawing/2010/main"/>
                      </a:ext>
                    </a:extLst>
                  </pic:spPr>
                </pic:pic>
              </a:graphicData>
            </a:graphic>
          </wp:inline>
        </w:drawing>
      </w:r>
    </w:p>
    <w:p w14:paraId="56C4F1D3" w14:textId="64650E26" w:rsidR="000A5A11" w:rsidRPr="00595020" w:rsidRDefault="000A5A11" w:rsidP="00875EB6">
      <w:pPr>
        <w:spacing w:line="240" w:lineRule="auto"/>
        <w:jc w:val="both"/>
        <w:rPr>
          <w:rFonts w:ascii="Times New Roman" w:hAnsi="Times New Roman" w:cs="Times New Roman"/>
          <w:sz w:val="20"/>
          <w:szCs w:val="20"/>
        </w:rPr>
      </w:pPr>
      <w:r w:rsidRPr="001359E3">
        <w:rPr>
          <w:rFonts w:ascii="Times New Roman" w:hAnsi="Times New Roman" w:cs="Times New Roman"/>
          <w:sz w:val="20"/>
          <w:szCs w:val="20"/>
        </w:rPr>
        <w:t xml:space="preserve">Notes: </w:t>
      </w:r>
      <w:r>
        <w:rPr>
          <w:rFonts w:ascii="Times New Roman" w:hAnsi="Times New Roman" w:cs="Times New Roman"/>
          <w:sz w:val="20"/>
          <w:szCs w:val="20"/>
        </w:rPr>
        <w:t>Predicted margins for an average (female, secondary teacher with 10.9 years of experience in a school from the modal deprivation category) from a model including interactions between a dummy for &gt;/&lt; 5 years of experience and the two working environment latent variables. Grey regions indicate 90% confidence intervals.</w:t>
      </w:r>
      <w:r w:rsidR="00875EB6">
        <w:rPr>
          <w:rFonts w:ascii="Times New Roman" w:hAnsi="Times New Roman" w:cs="Times New Roman"/>
          <w:sz w:val="20"/>
          <w:szCs w:val="20"/>
        </w:rPr>
        <w:t xml:space="preserve"> Source = TALIS 2018 dataset.</w:t>
      </w:r>
    </w:p>
    <w:p w14:paraId="5C7E01AB" w14:textId="7272B364"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lastRenderedPageBreak/>
        <w:t xml:space="preserve">We also hypothesised that there would be a stronger relationship between workload and attrition for those who originally entered teaching in part because it would fit with their family commitments (H3a). The left-hand panel of Figure 12.2 demonstrates clear support for this hypothesis. Indeed, the direction of the association between workload and attrition is reversed depending on whether TALIS respondents placed either no/low or moderate/high importance on </w:t>
      </w:r>
      <w:r w:rsidR="00817BCE">
        <w:rPr>
          <w:rFonts w:ascii="Times New Roman" w:hAnsi="Times New Roman" w:cs="Times New Roman"/>
          <w:sz w:val="24"/>
          <w:szCs w:val="24"/>
        </w:rPr>
        <w:t>‘</w:t>
      </w:r>
      <w:r w:rsidRPr="000A5A11">
        <w:rPr>
          <w:rFonts w:ascii="Times New Roman" w:hAnsi="Times New Roman" w:cs="Times New Roman"/>
          <w:sz w:val="24"/>
          <w:szCs w:val="24"/>
        </w:rPr>
        <w:t>The teaching schedule (e.g. hours, holidays, part-time positions) fit with responsibilities in my personal life</w:t>
      </w:r>
      <w:r w:rsidR="00817BCE">
        <w:rPr>
          <w:rFonts w:ascii="Times New Roman" w:hAnsi="Times New Roman" w:cs="Times New Roman"/>
          <w:sz w:val="24"/>
          <w:szCs w:val="24"/>
        </w:rPr>
        <w:t>’</w:t>
      </w:r>
      <w:r w:rsidRPr="000A5A11">
        <w:rPr>
          <w:rFonts w:ascii="Times New Roman" w:hAnsi="Times New Roman" w:cs="Times New Roman"/>
          <w:sz w:val="24"/>
          <w:szCs w:val="24"/>
        </w:rPr>
        <w:t xml:space="preserve">. For those who gave this moderate/high importance, and had otherwise average characteristics, </w:t>
      </w:r>
      <w:r w:rsidR="0049753D">
        <w:rPr>
          <w:rFonts w:ascii="Times New Roman" w:hAnsi="Times New Roman" w:cs="Times New Roman"/>
          <w:sz w:val="24"/>
          <w:szCs w:val="24"/>
        </w:rPr>
        <w:t>a</w:t>
      </w:r>
      <w:r w:rsidRPr="000A5A11">
        <w:rPr>
          <w:rFonts w:ascii="Times New Roman" w:hAnsi="Times New Roman" w:cs="Times New Roman"/>
          <w:sz w:val="24"/>
          <w:szCs w:val="24"/>
        </w:rPr>
        <w:t xml:space="preserve"> one</w:t>
      </w:r>
      <w:r w:rsidR="00987C78">
        <w:rPr>
          <w:rFonts w:ascii="Times New Roman" w:hAnsi="Times New Roman" w:cs="Times New Roman"/>
          <w:sz w:val="24"/>
          <w:szCs w:val="24"/>
        </w:rPr>
        <w:t xml:space="preserve"> </w:t>
      </w:r>
      <w:r w:rsidRPr="000A5A11">
        <w:rPr>
          <w:rFonts w:ascii="Times New Roman" w:hAnsi="Times New Roman" w:cs="Times New Roman"/>
          <w:sz w:val="24"/>
          <w:szCs w:val="24"/>
        </w:rPr>
        <w:t>standard</w:t>
      </w:r>
      <w:r w:rsidR="00987C78">
        <w:rPr>
          <w:rFonts w:ascii="Times New Roman" w:hAnsi="Times New Roman" w:cs="Times New Roman"/>
          <w:sz w:val="24"/>
          <w:szCs w:val="24"/>
        </w:rPr>
        <w:t xml:space="preserve"> </w:t>
      </w:r>
      <w:r w:rsidRPr="000A5A11">
        <w:rPr>
          <w:rFonts w:ascii="Times New Roman" w:hAnsi="Times New Roman" w:cs="Times New Roman"/>
          <w:sz w:val="24"/>
          <w:szCs w:val="24"/>
        </w:rPr>
        <w:t xml:space="preserve">deviation </w:t>
      </w:r>
      <w:r w:rsidR="0049753D">
        <w:rPr>
          <w:rFonts w:ascii="Times New Roman" w:hAnsi="Times New Roman" w:cs="Times New Roman"/>
          <w:sz w:val="24"/>
          <w:szCs w:val="24"/>
        </w:rPr>
        <w:t>increase in the workload scale</w:t>
      </w:r>
      <w:r w:rsidRPr="000A5A11">
        <w:rPr>
          <w:rFonts w:ascii="Times New Roman" w:hAnsi="Times New Roman" w:cs="Times New Roman"/>
          <w:sz w:val="24"/>
          <w:szCs w:val="24"/>
        </w:rPr>
        <w:t xml:space="preserve"> is associated with a reduction in the probability of exiting the profession from 4% to 1.9%. </w:t>
      </w:r>
    </w:p>
    <w:p w14:paraId="6912EB0A" w14:textId="332E470D"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 xml:space="preserve">By contrast, we found no clear support for hypotheses H2b that teachers who placed moderate/high importance on </w:t>
      </w:r>
      <w:r w:rsidR="00817BCE">
        <w:rPr>
          <w:rFonts w:ascii="Times New Roman" w:hAnsi="Times New Roman" w:cs="Times New Roman"/>
          <w:sz w:val="24"/>
          <w:szCs w:val="24"/>
        </w:rPr>
        <w:t>‘</w:t>
      </w:r>
      <w:r w:rsidRPr="000A5A11">
        <w:rPr>
          <w:rFonts w:ascii="Times New Roman" w:hAnsi="Times New Roman" w:cs="Times New Roman"/>
          <w:sz w:val="24"/>
          <w:szCs w:val="24"/>
        </w:rPr>
        <w:t>Teaching allowed me to provide a contribution to society</w:t>
      </w:r>
      <w:r w:rsidR="00817BCE">
        <w:rPr>
          <w:rFonts w:ascii="Times New Roman" w:hAnsi="Times New Roman" w:cs="Times New Roman"/>
          <w:sz w:val="24"/>
          <w:szCs w:val="24"/>
        </w:rPr>
        <w:t>’</w:t>
      </w:r>
      <w:r w:rsidRPr="000A5A11">
        <w:rPr>
          <w:rFonts w:ascii="Times New Roman" w:hAnsi="Times New Roman" w:cs="Times New Roman"/>
          <w:sz w:val="24"/>
          <w:szCs w:val="24"/>
        </w:rPr>
        <w:t xml:space="preserve"> were more sensitive to poor disciplinary standards (right-hand panel). </w:t>
      </w:r>
    </w:p>
    <w:p w14:paraId="15CFCA62" w14:textId="77777777" w:rsidR="000A5A11" w:rsidRPr="000A5A11" w:rsidRDefault="000A5A11" w:rsidP="000A5A11">
      <w:pPr>
        <w:spacing w:line="276" w:lineRule="auto"/>
        <w:jc w:val="both"/>
        <w:rPr>
          <w:rFonts w:ascii="Times New Roman" w:hAnsi="Times New Roman" w:cs="Times New Roman"/>
          <w:b/>
          <w:bCs/>
          <w:sz w:val="24"/>
          <w:szCs w:val="24"/>
        </w:rPr>
      </w:pPr>
      <w:r w:rsidRPr="000A5A11">
        <w:rPr>
          <w:rFonts w:ascii="Times New Roman" w:hAnsi="Times New Roman" w:cs="Times New Roman"/>
          <w:b/>
          <w:bCs/>
          <w:sz w:val="24"/>
          <w:szCs w:val="24"/>
        </w:rPr>
        <w:t>Figure 12.2 Predicted probability of attrition by presence of reason for entering teaching: fit with responsibilities in personal life (left panel); to contribute to society (right panel)</w:t>
      </w:r>
    </w:p>
    <w:p w14:paraId="5F93CCB8" w14:textId="77777777" w:rsidR="000A5A11" w:rsidRDefault="000A5A11" w:rsidP="000A5A11">
      <w:pPr>
        <w:spacing w:line="276" w:lineRule="auto"/>
        <w:jc w:val="both"/>
        <w:rPr>
          <w:rFonts w:ascii="Times New Roman" w:hAnsi="Times New Roman" w:cs="Times New Roman"/>
          <w:b/>
          <w:bCs/>
        </w:rPr>
      </w:pPr>
      <w:r w:rsidRPr="006B1A84">
        <w:rPr>
          <w:noProof/>
        </w:rPr>
        <w:t xml:space="preserve"> </w:t>
      </w:r>
      <w:r>
        <w:rPr>
          <w:noProof/>
          <w:lang w:eastAsia="en-GB"/>
        </w:rPr>
        <w:drawing>
          <wp:inline distT="0" distB="0" distL="0" distR="0" wp14:anchorId="0F2DB621" wp14:editId="67B0CCFA">
            <wp:extent cx="5400010" cy="3553851"/>
            <wp:effectExtent l="0" t="0" r="0" b="889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l="38122" t="26263" r="1262" b="13895"/>
                    <a:stretch/>
                  </pic:blipFill>
                  <pic:spPr bwMode="auto">
                    <a:xfrm>
                      <a:off x="0" y="0"/>
                      <a:ext cx="5420142" cy="3567100"/>
                    </a:xfrm>
                    <a:prstGeom prst="rect">
                      <a:avLst/>
                    </a:prstGeom>
                    <a:ln>
                      <a:noFill/>
                    </a:ln>
                    <a:extLst>
                      <a:ext uri="{53640926-AAD7-44D8-BBD7-CCE9431645EC}">
                        <a14:shadowObscured xmlns:a14="http://schemas.microsoft.com/office/drawing/2010/main"/>
                      </a:ext>
                    </a:extLst>
                  </pic:spPr>
                </pic:pic>
              </a:graphicData>
            </a:graphic>
          </wp:inline>
        </w:drawing>
      </w:r>
    </w:p>
    <w:p w14:paraId="442194BF" w14:textId="5E033708" w:rsidR="000A5A11" w:rsidRPr="00245F94" w:rsidRDefault="000A5A11" w:rsidP="000A5A11">
      <w:pPr>
        <w:spacing w:line="259" w:lineRule="auto"/>
        <w:jc w:val="both"/>
        <w:rPr>
          <w:rFonts w:ascii="Times New Roman" w:hAnsi="Times New Roman" w:cs="Times New Roman"/>
          <w:sz w:val="20"/>
          <w:szCs w:val="20"/>
        </w:rPr>
      </w:pPr>
      <w:r w:rsidRPr="005B652F">
        <w:rPr>
          <w:rFonts w:ascii="Times New Roman" w:hAnsi="Times New Roman" w:cs="Times New Roman"/>
          <w:sz w:val="20"/>
          <w:szCs w:val="20"/>
        </w:rPr>
        <w:t xml:space="preserve">Notes: </w:t>
      </w:r>
      <w:r>
        <w:rPr>
          <w:rFonts w:ascii="Times New Roman" w:hAnsi="Times New Roman" w:cs="Times New Roman"/>
          <w:sz w:val="20"/>
          <w:szCs w:val="20"/>
        </w:rPr>
        <w:t xml:space="preserve">Predicted margins for an average (female, secondary teacher from a school in the modal deprivation category) from a model including interactions between presence of a particular motive and two working environment variables. Grey regions indicate 90% confidence intervals. </w:t>
      </w:r>
      <w:r w:rsidRPr="005B652F">
        <w:rPr>
          <w:rFonts w:ascii="Times New Roman" w:hAnsi="Times New Roman" w:cs="Times New Roman"/>
          <w:sz w:val="20"/>
          <w:szCs w:val="20"/>
        </w:rPr>
        <w:t>Grey dashed lines show the</w:t>
      </w:r>
      <w:r>
        <w:rPr>
          <w:rFonts w:ascii="Times New Roman" w:hAnsi="Times New Roman" w:cs="Times New Roman"/>
          <w:sz w:val="20"/>
          <w:szCs w:val="20"/>
        </w:rPr>
        <w:t xml:space="preserve"> relationship for</w:t>
      </w:r>
      <w:r w:rsidRPr="005B652F">
        <w:rPr>
          <w:rFonts w:ascii="Times New Roman" w:hAnsi="Times New Roman" w:cs="Times New Roman"/>
          <w:sz w:val="20"/>
          <w:szCs w:val="20"/>
        </w:rPr>
        <w:t xml:space="preserve"> individuals who placed a moderate or high importance on the following reason</w:t>
      </w:r>
      <w:r>
        <w:rPr>
          <w:rFonts w:ascii="Times New Roman" w:hAnsi="Times New Roman" w:cs="Times New Roman"/>
          <w:sz w:val="20"/>
          <w:szCs w:val="20"/>
        </w:rPr>
        <w:t>s</w:t>
      </w:r>
      <w:r w:rsidRPr="005B652F">
        <w:rPr>
          <w:rFonts w:ascii="Times New Roman" w:hAnsi="Times New Roman" w:cs="Times New Roman"/>
          <w:sz w:val="20"/>
          <w:szCs w:val="20"/>
        </w:rPr>
        <w:t xml:space="preserve"> for entering teaching</w:t>
      </w:r>
      <w:r w:rsidR="00817BCE">
        <w:rPr>
          <w:rFonts w:ascii="Times New Roman" w:hAnsi="Times New Roman" w:cs="Times New Roman"/>
          <w:sz w:val="20"/>
          <w:szCs w:val="20"/>
        </w:rPr>
        <w:t>:</w:t>
      </w:r>
      <w:r w:rsidRPr="005B652F">
        <w:rPr>
          <w:rFonts w:ascii="Times New Roman" w:hAnsi="Times New Roman" w:cs="Times New Roman"/>
          <w:sz w:val="20"/>
          <w:szCs w:val="20"/>
        </w:rPr>
        <w:t xml:space="preserve"> </w:t>
      </w:r>
      <w:r w:rsidR="00817BCE">
        <w:rPr>
          <w:rFonts w:ascii="Times New Roman" w:hAnsi="Times New Roman" w:cs="Times New Roman"/>
          <w:sz w:val="20"/>
          <w:szCs w:val="20"/>
        </w:rPr>
        <w:t>‘</w:t>
      </w:r>
      <w:r w:rsidRPr="005B652F">
        <w:rPr>
          <w:rFonts w:ascii="Times New Roman" w:hAnsi="Times New Roman" w:cs="Times New Roman"/>
          <w:sz w:val="20"/>
          <w:szCs w:val="20"/>
        </w:rPr>
        <w:t>The teaching schedule (e.g. hours, holidays, part-time positions) fit with responsibilities in my personal life</w:t>
      </w:r>
      <w:r w:rsidR="00817BCE">
        <w:rPr>
          <w:rFonts w:ascii="Times New Roman" w:hAnsi="Times New Roman" w:cs="Times New Roman"/>
          <w:sz w:val="20"/>
          <w:szCs w:val="20"/>
        </w:rPr>
        <w:t>’</w:t>
      </w:r>
      <w:r w:rsidRPr="005B652F">
        <w:rPr>
          <w:rFonts w:ascii="Times New Roman" w:hAnsi="Times New Roman" w:cs="Times New Roman"/>
          <w:sz w:val="20"/>
          <w:szCs w:val="20"/>
        </w:rPr>
        <w:t xml:space="preserve"> (left panel) or </w:t>
      </w:r>
      <w:r w:rsidR="00817BCE">
        <w:rPr>
          <w:rFonts w:ascii="Times New Roman" w:hAnsi="Times New Roman" w:cs="Times New Roman"/>
          <w:sz w:val="20"/>
          <w:szCs w:val="20"/>
        </w:rPr>
        <w:t>‘</w:t>
      </w:r>
      <w:r w:rsidRPr="005B652F">
        <w:rPr>
          <w:rFonts w:ascii="Times New Roman" w:hAnsi="Times New Roman" w:cs="Times New Roman"/>
          <w:sz w:val="20"/>
          <w:szCs w:val="20"/>
        </w:rPr>
        <w:t>Teaching allowed me to provide a contribution to society</w:t>
      </w:r>
      <w:r w:rsidR="00817BCE">
        <w:rPr>
          <w:rFonts w:ascii="Times New Roman" w:hAnsi="Times New Roman" w:cs="Times New Roman"/>
          <w:sz w:val="20"/>
          <w:szCs w:val="20"/>
        </w:rPr>
        <w:t>’</w:t>
      </w:r>
      <w:r w:rsidRPr="005B652F">
        <w:rPr>
          <w:rFonts w:ascii="Times New Roman" w:hAnsi="Times New Roman" w:cs="Times New Roman"/>
          <w:sz w:val="20"/>
          <w:szCs w:val="20"/>
        </w:rPr>
        <w:t xml:space="preserve"> (right panel). </w:t>
      </w:r>
      <w:r>
        <w:rPr>
          <w:rFonts w:ascii="Times New Roman" w:hAnsi="Times New Roman" w:cs="Times New Roman"/>
          <w:sz w:val="20"/>
          <w:szCs w:val="20"/>
        </w:rPr>
        <w:t>Black lines show the relationship for those who placed low or no importance on these reason</w:t>
      </w:r>
      <w:r w:rsidR="00817BCE">
        <w:rPr>
          <w:rFonts w:ascii="Times New Roman" w:hAnsi="Times New Roman" w:cs="Times New Roman"/>
          <w:sz w:val="20"/>
          <w:szCs w:val="20"/>
        </w:rPr>
        <w:t>s</w:t>
      </w:r>
      <w:r>
        <w:rPr>
          <w:rFonts w:ascii="Times New Roman" w:hAnsi="Times New Roman" w:cs="Times New Roman"/>
          <w:sz w:val="20"/>
          <w:szCs w:val="20"/>
        </w:rPr>
        <w:t xml:space="preserve"> for becoming a teacher.</w:t>
      </w:r>
      <w:r w:rsidR="00875EB6">
        <w:rPr>
          <w:rFonts w:ascii="Times New Roman" w:hAnsi="Times New Roman" w:cs="Times New Roman"/>
          <w:sz w:val="20"/>
          <w:szCs w:val="20"/>
        </w:rPr>
        <w:t xml:space="preserve"> Source = TALIS 2018 dataset.</w:t>
      </w:r>
    </w:p>
    <w:p w14:paraId="57543E6C" w14:textId="77777777" w:rsidR="000A5A11" w:rsidRPr="000A5A11" w:rsidRDefault="000A5A11" w:rsidP="000A5A11">
      <w:pPr>
        <w:pStyle w:val="Heading1"/>
        <w:numPr>
          <w:ilvl w:val="1"/>
          <w:numId w:val="37"/>
        </w:numPr>
        <w:spacing w:before="0" w:after="120"/>
        <w:rPr>
          <w:rFonts w:ascii="Times New Roman" w:hAnsi="Times New Roman" w:cs="Times New Roman"/>
          <w:b/>
          <w:bCs/>
          <w:color w:val="auto"/>
          <w:sz w:val="24"/>
          <w:szCs w:val="24"/>
        </w:rPr>
      </w:pPr>
      <w:bookmarkStart w:id="29" w:name="_Toc67406021"/>
      <w:r w:rsidRPr="000A5A11">
        <w:rPr>
          <w:rFonts w:ascii="Times New Roman" w:hAnsi="Times New Roman" w:cs="Times New Roman"/>
          <w:b/>
          <w:bCs/>
          <w:color w:val="auto"/>
          <w:sz w:val="24"/>
          <w:szCs w:val="24"/>
        </w:rPr>
        <w:lastRenderedPageBreak/>
        <w:t>Exploring potential mediators: job satisfaction and stress</w:t>
      </w:r>
      <w:bookmarkEnd w:id="29"/>
    </w:p>
    <w:p w14:paraId="55EBA9AC" w14:textId="77777777"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 xml:space="preserve">The results in the previous section identified supportive leadership and discipline as being generally predictive of teacher attrition. In addition, workload was found to be predictive of attrition for those who entered teaching in part because it fit with family commitments. We now proceed to explore potential psychological mediators of the relationship between these facets of working environment and whether or not a teacher remains in the profession. To this end, the next two tables report results from OLS regressions, in which the outcome measure is job satisfaction (Table 12.2) and workplace stress (Table 12.3). The coefficients can be interpreted as effect sizes. The format of the tables is similar to that in Table 12.1. </w:t>
      </w:r>
    </w:p>
    <w:p w14:paraId="4CD90FAA" w14:textId="3C632724" w:rsidR="000A5A11" w:rsidRPr="000A5A11" w:rsidRDefault="000A5A11" w:rsidP="000A5A11">
      <w:pPr>
        <w:spacing w:line="360" w:lineRule="auto"/>
        <w:jc w:val="both"/>
        <w:rPr>
          <w:rFonts w:ascii="Times New Roman" w:hAnsi="Times New Roman" w:cs="Times New Roman"/>
          <w:sz w:val="24"/>
          <w:szCs w:val="24"/>
        </w:rPr>
      </w:pPr>
      <w:bookmarkStart w:id="30" w:name="_Hlk40086832"/>
      <w:r w:rsidRPr="000A5A11">
        <w:rPr>
          <w:rFonts w:ascii="Times New Roman" w:hAnsi="Times New Roman" w:cs="Times New Roman"/>
          <w:sz w:val="24"/>
          <w:szCs w:val="24"/>
        </w:rPr>
        <w:t>Table 12.2 shows that supportive leadership has a positive association with job satisfaction across all six model specifications. A one standard</w:t>
      </w:r>
      <w:r w:rsidR="00987C78">
        <w:rPr>
          <w:rFonts w:ascii="Times New Roman" w:hAnsi="Times New Roman" w:cs="Times New Roman"/>
          <w:sz w:val="24"/>
          <w:szCs w:val="24"/>
        </w:rPr>
        <w:t xml:space="preserve"> </w:t>
      </w:r>
      <w:r w:rsidRPr="000A5A11">
        <w:rPr>
          <w:rFonts w:ascii="Times New Roman" w:hAnsi="Times New Roman" w:cs="Times New Roman"/>
          <w:sz w:val="24"/>
          <w:szCs w:val="24"/>
        </w:rPr>
        <w:t xml:space="preserve">deviation increase in supportive leadership is associated with a 0.52 standard deviation increase in job satisfaction. Discipline is also </w:t>
      </w:r>
      <w:r w:rsidR="00817BCE" w:rsidRPr="000A5A11">
        <w:rPr>
          <w:rFonts w:ascii="Times New Roman" w:hAnsi="Times New Roman" w:cs="Times New Roman"/>
          <w:sz w:val="24"/>
          <w:szCs w:val="24"/>
        </w:rPr>
        <w:t>associat</w:t>
      </w:r>
      <w:r w:rsidR="00817BCE">
        <w:rPr>
          <w:rFonts w:ascii="Times New Roman" w:hAnsi="Times New Roman" w:cs="Times New Roman"/>
          <w:sz w:val="24"/>
          <w:szCs w:val="24"/>
        </w:rPr>
        <w:t>ed</w:t>
      </w:r>
      <w:r w:rsidR="00817BCE" w:rsidRPr="000A5A11">
        <w:rPr>
          <w:rFonts w:ascii="Times New Roman" w:hAnsi="Times New Roman" w:cs="Times New Roman"/>
          <w:sz w:val="24"/>
          <w:szCs w:val="24"/>
        </w:rPr>
        <w:t xml:space="preserve"> </w:t>
      </w:r>
      <w:r w:rsidRPr="000A5A11">
        <w:rPr>
          <w:rFonts w:ascii="Times New Roman" w:hAnsi="Times New Roman" w:cs="Times New Roman"/>
          <w:sz w:val="24"/>
          <w:szCs w:val="24"/>
        </w:rPr>
        <w:t xml:space="preserve">with job satisfaction, though the association is much smaller (effect size = 0.09) and becomes close to zero in some of the robustness tests conducted. </w:t>
      </w:r>
      <w:r w:rsidR="00B23806">
        <w:rPr>
          <w:rFonts w:ascii="Times New Roman" w:hAnsi="Times New Roman" w:cs="Times New Roman"/>
          <w:sz w:val="24"/>
          <w:szCs w:val="24"/>
        </w:rPr>
        <w:t>N</w:t>
      </w:r>
      <w:r w:rsidRPr="000A5A11">
        <w:rPr>
          <w:rFonts w:ascii="Times New Roman" w:hAnsi="Times New Roman" w:cs="Times New Roman"/>
          <w:sz w:val="24"/>
          <w:szCs w:val="24"/>
        </w:rPr>
        <w:t>either collaboration nor job preparation are related to teachers’ job satisfaction. On the other hand, there does seem to be a link between workload and job satisfaction (effect size = 0.19), though in additional analysis we find that this result is somewhat sensitive to regression model specification (see Sims and Jerrim</w:t>
      </w:r>
      <w:r w:rsidR="00665668">
        <w:rPr>
          <w:rFonts w:ascii="Times New Roman" w:hAnsi="Times New Roman" w:cs="Times New Roman"/>
          <w:sz w:val="24"/>
          <w:szCs w:val="24"/>
        </w:rPr>
        <w:t>,</w:t>
      </w:r>
      <w:r w:rsidRPr="000A5A11">
        <w:rPr>
          <w:rFonts w:ascii="Times New Roman" w:hAnsi="Times New Roman" w:cs="Times New Roman"/>
          <w:sz w:val="24"/>
          <w:szCs w:val="24"/>
        </w:rPr>
        <w:t xml:space="preserve"> 2020 for further details). Taken together, there is reasonable correspondence between the results presented in Tables 12.1 (for attrition) and 12.2 (for job satisfaction), suggesting that job satisfaction may mediate the relationship between leadership and attrition.</w:t>
      </w:r>
      <w:bookmarkEnd w:id="30"/>
    </w:p>
    <w:p w14:paraId="3E3AC0FA" w14:textId="741D3088" w:rsidR="000A5A11" w:rsidRPr="000A5A11" w:rsidRDefault="000A5A11" w:rsidP="000A5A11">
      <w:pPr>
        <w:spacing w:line="240" w:lineRule="auto"/>
        <w:jc w:val="center"/>
        <w:rPr>
          <w:rFonts w:ascii="Times New Roman" w:hAnsi="Times New Roman" w:cs="Times New Roman"/>
          <w:b/>
          <w:bCs/>
          <w:sz w:val="24"/>
          <w:szCs w:val="24"/>
        </w:rPr>
      </w:pPr>
      <w:r w:rsidRPr="000A5A11">
        <w:rPr>
          <w:rFonts w:ascii="Times New Roman" w:hAnsi="Times New Roman" w:cs="Times New Roman"/>
          <w:b/>
          <w:bCs/>
          <w:sz w:val="24"/>
          <w:szCs w:val="24"/>
        </w:rPr>
        <w:t>Table 12.2 Estimates of the link between different elements of school working conditions and teacher job satisfaction</w:t>
      </w:r>
    </w:p>
    <w:tbl>
      <w:tblPr>
        <w:tblW w:w="4586" w:type="dxa"/>
        <w:jc w:val="center"/>
        <w:tblLook w:val="04A0" w:firstRow="1" w:lastRow="0" w:firstColumn="1" w:lastColumn="0" w:noHBand="0" w:noVBand="1"/>
      </w:tblPr>
      <w:tblGrid>
        <w:gridCol w:w="2706"/>
        <w:gridCol w:w="1880"/>
      </w:tblGrid>
      <w:tr w:rsidR="000A5A11" w:rsidRPr="00245F94" w14:paraId="5D3A2588" w14:textId="77777777" w:rsidTr="005E2E61">
        <w:trPr>
          <w:trHeight w:val="330"/>
          <w:jc w:val="center"/>
        </w:trPr>
        <w:tc>
          <w:tcPr>
            <w:tcW w:w="2706" w:type="dxa"/>
            <w:tcBorders>
              <w:top w:val="single" w:sz="4" w:space="0" w:color="auto"/>
              <w:left w:val="nil"/>
              <w:bottom w:val="single" w:sz="8" w:space="0" w:color="auto"/>
              <w:right w:val="nil"/>
            </w:tcBorders>
            <w:shd w:val="clear" w:color="000000" w:fill="B4C6E7"/>
            <w:vAlign w:val="center"/>
            <w:hideMark/>
          </w:tcPr>
          <w:p w14:paraId="6F0A16F3" w14:textId="77777777" w:rsidR="000A5A11" w:rsidRPr="00245F94" w:rsidRDefault="000A5A11" w:rsidP="005E2E61">
            <w:pPr>
              <w:spacing w:after="0" w:line="240" w:lineRule="auto"/>
              <w:jc w:val="center"/>
              <w:rPr>
                <w:rFonts w:ascii="Times New Roman" w:eastAsia="Times New Roman" w:hAnsi="Times New Roman" w:cs="Times New Roman"/>
                <w:b/>
                <w:bCs/>
                <w:color w:val="000000"/>
                <w:szCs w:val="24"/>
                <w:lang w:eastAsia="en-GB"/>
              </w:rPr>
            </w:pPr>
            <w:r w:rsidRPr="00245F94">
              <w:rPr>
                <w:rFonts w:ascii="Times New Roman" w:eastAsia="Times New Roman" w:hAnsi="Times New Roman" w:cs="Times New Roman"/>
                <w:b/>
                <w:bCs/>
                <w:color w:val="000000"/>
                <w:szCs w:val="24"/>
                <w:lang w:eastAsia="en-GB"/>
              </w:rPr>
              <w:t> </w:t>
            </w:r>
          </w:p>
        </w:tc>
        <w:tc>
          <w:tcPr>
            <w:tcW w:w="1880" w:type="dxa"/>
            <w:tcBorders>
              <w:top w:val="single" w:sz="4" w:space="0" w:color="auto"/>
              <w:left w:val="nil"/>
              <w:bottom w:val="single" w:sz="8" w:space="0" w:color="auto"/>
              <w:right w:val="nil"/>
            </w:tcBorders>
            <w:shd w:val="clear" w:color="000000" w:fill="B4C6E7"/>
            <w:vAlign w:val="center"/>
            <w:hideMark/>
          </w:tcPr>
          <w:p w14:paraId="711F6A33" w14:textId="77777777" w:rsidR="000A5A11" w:rsidRPr="00245F94" w:rsidRDefault="000A5A11" w:rsidP="005E2E61">
            <w:pPr>
              <w:spacing w:after="0" w:line="240" w:lineRule="auto"/>
              <w:jc w:val="center"/>
              <w:rPr>
                <w:rFonts w:ascii="Times New Roman" w:eastAsia="Times New Roman" w:hAnsi="Times New Roman" w:cs="Times New Roman"/>
                <w:b/>
                <w:bCs/>
                <w:color w:val="000000"/>
                <w:szCs w:val="24"/>
                <w:lang w:eastAsia="en-GB"/>
              </w:rPr>
            </w:pPr>
            <w:r w:rsidRPr="00245F94">
              <w:rPr>
                <w:rFonts w:ascii="Times New Roman" w:eastAsia="Times New Roman" w:hAnsi="Times New Roman" w:cs="Times New Roman"/>
                <w:b/>
                <w:bCs/>
                <w:color w:val="000000"/>
                <w:szCs w:val="24"/>
                <w:lang w:eastAsia="en-GB"/>
              </w:rPr>
              <w:t>Effect size</w:t>
            </w:r>
          </w:p>
        </w:tc>
      </w:tr>
      <w:tr w:rsidR="000A5A11" w:rsidRPr="00245F94" w14:paraId="00347BE7" w14:textId="77777777" w:rsidTr="005E2E61">
        <w:trPr>
          <w:trHeight w:val="315"/>
          <w:jc w:val="center"/>
        </w:trPr>
        <w:tc>
          <w:tcPr>
            <w:tcW w:w="2706" w:type="dxa"/>
            <w:tcBorders>
              <w:top w:val="nil"/>
              <w:left w:val="nil"/>
              <w:bottom w:val="nil"/>
              <w:right w:val="nil"/>
            </w:tcBorders>
            <w:shd w:val="clear" w:color="auto" w:fill="auto"/>
            <w:vAlign w:val="center"/>
            <w:hideMark/>
          </w:tcPr>
          <w:p w14:paraId="1ABEA7C1"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Supportive Leadership</w:t>
            </w:r>
          </w:p>
        </w:tc>
        <w:tc>
          <w:tcPr>
            <w:tcW w:w="1880" w:type="dxa"/>
            <w:tcBorders>
              <w:top w:val="nil"/>
              <w:left w:val="nil"/>
              <w:bottom w:val="nil"/>
              <w:right w:val="nil"/>
            </w:tcBorders>
            <w:shd w:val="clear" w:color="auto" w:fill="auto"/>
            <w:vAlign w:val="center"/>
            <w:hideMark/>
          </w:tcPr>
          <w:p w14:paraId="1F364652"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0.52*</w:t>
            </w:r>
          </w:p>
        </w:tc>
      </w:tr>
      <w:tr w:rsidR="000A5A11" w:rsidRPr="00245F94" w14:paraId="403A0F67" w14:textId="77777777" w:rsidTr="005E2E61">
        <w:trPr>
          <w:trHeight w:val="315"/>
          <w:jc w:val="center"/>
        </w:trPr>
        <w:tc>
          <w:tcPr>
            <w:tcW w:w="2706" w:type="dxa"/>
            <w:tcBorders>
              <w:top w:val="nil"/>
              <w:left w:val="nil"/>
              <w:bottom w:val="nil"/>
              <w:right w:val="nil"/>
            </w:tcBorders>
            <w:shd w:val="clear" w:color="auto" w:fill="auto"/>
            <w:vAlign w:val="center"/>
            <w:hideMark/>
          </w:tcPr>
          <w:p w14:paraId="788204A9"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Workload</w:t>
            </w:r>
          </w:p>
        </w:tc>
        <w:tc>
          <w:tcPr>
            <w:tcW w:w="1880" w:type="dxa"/>
            <w:tcBorders>
              <w:top w:val="nil"/>
              <w:left w:val="nil"/>
              <w:bottom w:val="nil"/>
              <w:right w:val="nil"/>
            </w:tcBorders>
            <w:shd w:val="clear" w:color="auto" w:fill="auto"/>
            <w:vAlign w:val="center"/>
            <w:hideMark/>
          </w:tcPr>
          <w:p w14:paraId="2EF9CCFF"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0.19*</w:t>
            </w:r>
          </w:p>
        </w:tc>
      </w:tr>
      <w:tr w:rsidR="000A5A11" w:rsidRPr="00245F94" w14:paraId="6AF3DB4F" w14:textId="77777777" w:rsidTr="005E2E61">
        <w:trPr>
          <w:trHeight w:val="315"/>
          <w:jc w:val="center"/>
        </w:trPr>
        <w:tc>
          <w:tcPr>
            <w:tcW w:w="2706" w:type="dxa"/>
            <w:tcBorders>
              <w:top w:val="nil"/>
              <w:left w:val="nil"/>
              <w:bottom w:val="nil"/>
              <w:right w:val="nil"/>
            </w:tcBorders>
            <w:shd w:val="clear" w:color="auto" w:fill="auto"/>
            <w:vAlign w:val="center"/>
            <w:hideMark/>
          </w:tcPr>
          <w:p w14:paraId="0E6DC82D"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Collaboration</w:t>
            </w:r>
          </w:p>
        </w:tc>
        <w:tc>
          <w:tcPr>
            <w:tcW w:w="1880" w:type="dxa"/>
            <w:tcBorders>
              <w:top w:val="nil"/>
              <w:left w:val="nil"/>
              <w:bottom w:val="nil"/>
              <w:right w:val="nil"/>
            </w:tcBorders>
            <w:shd w:val="clear" w:color="auto" w:fill="auto"/>
            <w:vAlign w:val="center"/>
            <w:hideMark/>
          </w:tcPr>
          <w:p w14:paraId="24A50D16"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0.09</w:t>
            </w:r>
          </w:p>
        </w:tc>
      </w:tr>
      <w:tr w:rsidR="000A5A11" w:rsidRPr="00245F94" w14:paraId="7D962419" w14:textId="77777777" w:rsidTr="005E2E61">
        <w:trPr>
          <w:trHeight w:val="315"/>
          <w:jc w:val="center"/>
        </w:trPr>
        <w:tc>
          <w:tcPr>
            <w:tcW w:w="2706" w:type="dxa"/>
            <w:tcBorders>
              <w:top w:val="nil"/>
              <w:left w:val="nil"/>
              <w:bottom w:val="nil"/>
              <w:right w:val="nil"/>
            </w:tcBorders>
            <w:shd w:val="clear" w:color="auto" w:fill="auto"/>
            <w:vAlign w:val="center"/>
            <w:hideMark/>
          </w:tcPr>
          <w:p w14:paraId="28314921"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Preparation</w:t>
            </w:r>
          </w:p>
        </w:tc>
        <w:tc>
          <w:tcPr>
            <w:tcW w:w="1880" w:type="dxa"/>
            <w:tcBorders>
              <w:top w:val="nil"/>
              <w:left w:val="nil"/>
              <w:bottom w:val="nil"/>
              <w:right w:val="nil"/>
            </w:tcBorders>
            <w:shd w:val="clear" w:color="auto" w:fill="auto"/>
            <w:vAlign w:val="center"/>
            <w:hideMark/>
          </w:tcPr>
          <w:p w14:paraId="05CF5254"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0.04</w:t>
            </w:r>
          </w:p>
        </w:tc>
      </w:tr>
      <w:tr w:rsidR="000A5A11" w:rsidRPr="00245F94" w14:paraId="312E4B07" w14:textId="77777777" w:rsidTr="005E2E61">
        <w:trPr>
          <w:trHeight w:val="315"/>
          <w:jc w:val="center"/>
        </w:trPr>
        <w:tc>
          <w:tcPr>
            <w:tcW w:w="2706" w:type="dxa"/>
            <w:tcBorders>
              <w:top w:val="nil"/>
              <w:left w:val="nil"/>
              <w:bottom w:val="nil"/>
              <w:right w:val="nil"/>
            </w:tcBorders>
            <w:shd w:val="clear" w:color="auto" w:fill="auto"/>
            <w:vAlign w:val="center"/>
            <w:hideMark/>
          </w:tcPr>
          <w:p w14:paraId="03F3CD25" w14:textId="77777777" w:rsidR="000A5A11" w:rsidRPr="00245F94" w:rsidRDefault="000A5A11" w:rsidP="005E2E61">
            <w:pPr>
              <w:spacing w:after="0" w:line="240" w:lineRule="auto"/>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Discipline</w:t>
            </w:r>
          </w:p>
        </w:tc>
        <w:tc>
          <w:tcPr>
            <w:tcW w:w="1880" w:type="dxa"/>
            <w:tcBorders>
              <w:top w:val="nil"/>
              <w:left w:val="nil"/>
              <w:bottom w:val="nil"/>
              <w:right w:val="nil"/>
            </w:tcBorders>
            <w:shd w:val="clear" w:color="auto" w:fill="auto"/>
            <w:vAlign w:val="center"/>
            <w:hideMark/>
          </w:tcPr>
          <w:p w14:paraId="3B11B3DF" w14:textId="77777777" w:rsidR="000A5A11" w:rsidRPr="00245F94" w:rsidRDefault="000A5A11" w:rsidP="005E2E61">
            <w:pPr>
              <w:spacing w:after="0" w:line="240" w:lineRule="auto"/>
              <w:jc w:val="center"/>
              <w:rPr>
                <w:rFonts w:ascii="Times New Roman" w:eastAsia="Times New Roman" w:hAnsi="Times New Roman" w:cs="Times New Roman"/>
                <w:color w:val="000000"/>
                <w:szCs w:val="24"/>
                <w:lang w:eastAsia="en-GB"/>
              </w:rPr>
            </w:pPr>
            <w:r w:rsidRPr="00245F94">
              <w:rPr>
                <w:rFonts w:ascii="Times New Roman" w:eastAsia="Times New Roman" w:hAnsi="Times New Roman" w:cs="Times New Roman"/>
                <w:color w:val="000000"/>
                <w:szCs w:val="24"/>
                <w:lang w:eastAsia="en-GB"/>
              </w:rPr>
              <w:t>0.09*</w:t>
            </w:r>
          </w:p>
        </w:tc>
      </w:tr>
      <w:tr w:rsidR="000A5A11" w:rsidRPr="00245F94" w14:paraId="0FBD94A1" w14:textId="77777777" w:rsidTr="005E2E61">
        <w:trPr>
          <w:trHeight w:val="291"/>
          <w:jc w:val="center"/>
        </w:trPr>
        <w:tc>
          <w:tcPr>
            <w:tcW w:w="2706" w:type="dxa"/>
            <w:tcBorders>
              <w:top w:val="single" w:sz="4" w:space="0" w:color="auto"/>
              <w:left w:val="nil"/>
              <w:bottom w:val="single" w:sz="8" w:space="0" w:color="auto"/>
              <w:right w:val="nil"/>
            </w:tcBorders>
            <w:shd w:val="clear" w:color="auto" w:fill="auto"/>
            <w:vAlign w:val="center"/>
            <w:hideMark/>
          </w:tcPr>
          <w:p w14:paraId="58011D4A" w14:textId="77777777" w:rsidR="000A5A11" w:rsidRPr="00245F94" w:rsidRDefault="000A5A11" w:rsidP="005E2E61">
            <w:pPr>
              <w:spacing w:after="0" w:line="240" w:lineRule="auto"/>
              <w:rPr>
                <w:rFonts w:ascii="Times New Roman" w:eastAsia="Times New Roman" w:hAnsi="Times New Roman" w:cs="Times New Roman"/>
                <w:b/>
                <w:bCs/>
                <w:color w:val="000000"/>
                <w:szCs w:val="24"/>
                <w:lang w:eastAsia="en-GB"/>
              </w:rPr>
            </w:pPr>
            <w:r w:rsidRPr="00245F94">
              <w:rPr>
                <w:rFonts w:ascii="Times New Roman" w:eastAsia="Times New Roman" w:hAnsi="Times New Roman" w:cs="Times New Roman"/>
                <w:b/>
                <w:bCs/>
                <w:color w:val="000000"/>
                <w:szCs w:val="24"/>
                <w:lang w:eastAsia="en-GB"/>
              </w:rPr>
              <w:t>N (teachers)</w:t>
            </w:r>
          </w:p>
        </w:tc>
        <w:tc>
          <w:tcPr>
            <w:tcW w:w="1880" w:type="dxa"/>
            <w:tcBorders>
              <w:top w:val="single" w:sz="4" w:space="0" w:color="auto"/>
              <w:left w:val="nil"/>
              <w:bottom w:val="single" w:sz="8" w:space="0" w:color="auto"/>
              <w:right w:val="nil"/>
            </w:tcBorders>
            <w:shd w:val="clear" w:color="auto" w:fill="auto"/>
            <w:vAlign w:val="center"/>
            <w:hideMark/>
          </w:tcPr>
          <w:p w14:paraId="3DCD803E" w14:textId="77777777" w:rsidR="000A5A11" w:rsidRPr="00245F94" w:rsidRDefault="000A5A11" w:rsidP="005E2E61">
            <w:pPr>
              <w:spacing w:after="0" w:line="240" w:lineRule="auto"/>
              <w:jc w:val="center"/>
              <w:rPr>
                <w:rFonts w:ascii="Times New Roman" w:eastAsia="Times New Roman" w:hAnsi="Times New Roman" w:cs="Times New Roman"/>
                <w:b/>
                <w:bCs/>
                <w:color w:val="000000"/>
                <w:szCs w:val="24"/>
                <w:lang w:eastAsia="en-GB"/>
              </w:rPr>
            </w:pPr>
            <w:r w:rsidRPr="00245F94">
              <w:rPr>
                <w:rFonts w:ascii="Times New Roman" w:eastAsia="Times New Roman" w:hAnsi="Times New Roman" w:cs="Times New Roman"/>
                <w:b/>
                <w:bCs/>
                <w:color w:val="000000"/>
                <w:szCs w:val="24"/>
                <w:lang w:eastAsia="en-GB"/>
              </w:rPr>
              <w:t>2,002</w:t>
            </w:r>
          </w:p>
        </w:tc>
      </w:tr>
    </w:tbl>
    <w:p w14:paraId="76FBB09D" w14:textId="1EDBCC71" w:rsidR="000A5A11" w:rsidRDefault="000A5A11" w:rsidP="000A5A11">
      <w:pPr>
        <w:spacing w:line="240" w:lineRule="auto"/>
        <w:jc w:val="both"/>
        <w:rPr>
          <w:rFonts w:ascii="Times New Roman" w:hAnsi="Times New Roman" w:cs="Times New Roman"/>
          <w:color w:val="000000" w:themeColor="text1"/>
          <w:sz w:val="20"/>
          <w:szCs w:val="20"/>
          <w:shd w:val="clear" w:color="auto" w:fill="FFFFFF"/>
        </w:rPr>
      </w:pPr>
      <w:r w:rsidRPr="00245F94">
        <w:rPr>
          <w:rFonts w:ascii="Times New Roman" w:hAnsi="Times New Roman" w:cs="Times New Roman"/>
          <w:color w:val="000000" w:themeColor="text1"/>
          <w:sz w:val="20"/>
          <w:szCs w:val="20"/>
          <w:shd w:val="clear" w:color="auto" w:fill="FFFFFF"/>
        </w:rPr>
        <w:t xml:space="preserve">Notes: * = statistical significance at the </w:t>
      </w:r>
      <w:r w:rsidR="00F7201C">
        <w:rPr>
          <w:rFonts w:ascii="Times New Roman" w:hAnsi="Times New Roman" w:cs="Times New Roman"/>
          <w:color w:val="000000" w:themeColor="text1"/>
          <w:sz w:val="20"/>
          <w:szCs w:val="20"/>
          <w:shd w:val="clear" w:color="auto" w:fill="FFFFFF"/>
        </w:rPr>
        <w:t>5%</w:t>
      </w:r>
      <w:r w:rsidRPr="00245F94">
        <w:rPr>
          <w:rFonts w:ascii="Times New Roman" w:hAnsi="Times New Roman" w:cs="Times New Roman"/>
          <w:color w:val="000000" w:themeColor="text1"/>
          <w:sz w:val="20"/>
          <w:szCs w:val="20"/>
          <w:shd w:val="clear" w:color="auto" w:fill="FFFFFF"/>
        </w:rPr>
        <w:t xml:space="preserve"> level</w:t>
      </w:r>
      <w:r>
        <w:rPr>
          <w:rFonts w:ascii="Times New Roman" w:hAnsi="Times New Roman" w:cs="Times New Roman"/>
          <w:color w:val="000000" w:themeColor="text1"/>
          <w:sz w:val="20"/>
          <w:szCs w:val="20"/>
          <w:shd w:val="clear" w:color="auto" w:fill="FFFFFF"/>
        </w:rPr>
        <w:t>. Figures refer to effect sizes for a one standard</w:t>
      </w:r>
      <w:r w:rsidR="00987C78">
        <w:rPr>
          <w:rFonts w:ascii="Times New Roman" w:hAnsi="Times New Roman" w:cs="Times New Roman"/>
          <w:color w:val="000000" w:themeColor="text1"/>
          <w:sz w:val="20"/>
          <w:szCs w:val="20"/>
          <w:shd w:val="clear" w:color="auto" w:fill="FFFFFF"/>
        </w:rPr>
        <w:t xml:space="preserve"> </w:t>
      </w:r>
      <w:r>
        <w:rPr>
          <w:rFonts w:ascii="Times New Roman" w:hAnsi="Times New Roman" w:cs="Times New Roman"/>
          <w:color w:val="000000" w:themeColor="text1"/>
          <w:sz w:val="20"/>
          <w:szCs w:val="20"/>
          <w:shd w:val="clear" w:color="auto" w:fill="FFFFFF"/>
        </w:rPr>
        <w:t>deviation improvement in any given working condition scale (e.g. workload, supportive leadership).</w:t>
      </w:r>
      <w:r w:rsidR="00875EB6">
        <w:rPr>
          <w:rFonts w:ascii="Times New Roman" w:hAnsi="Times New Roman" w:cs="Times New Roman"/>
          <w:color w:val="000000" w:themeColor="text1"/>
          <w:sz w:val="20"/>
          <w:szCs w:val="20"/>
          <w:shd w:val="clear" w:color="auto" w:fill="FFFFFF"/>
        </w:rPr>
        <w:t xml:space="preserve"> </w:t>
      </w:r>
      <w:r w:rsidR="00875EB6">
        <w:rPr>
          <w:rFonts w:ascii="Times New Roman" w:hAnsi="Times New Roman" w:cs="Times New Roman"/>
          <w:sz w:val="20"/>
          <w:szCs w:val="20"/>
        </w:rPr>
        <w:t>Source = TALIS 2018 dataset.</w:t>
      </w:r>
    </w:p>
    <w:p w14:paraId="30B365DB" w14:textId="587B48C1" w:rsidR="000A5A11" w:rsidRDefault="000A5A11" w:rsidP="000A5A11">
      <w:pPr>
        <w:jc w:val="both"/>
        <w:rPr>
          <w:rFonts w:ascii="Times New Roman" w:hAnsi="Times New Roman" w:cs="Times New Roman"/>
        </w:rPr>
      </w:pPr>
    </w:p>
    <w:p w14:paraId="0CA2F4B3" w14:textId="05A3F376" w:rsidR="000A5A11" w:rsidRDefault="000A5A11" w:rsidP="000A5A11">
      <w:pPr>
        <w:jc w:val="both"/>
        <w:rPr>
          <w:rFonts w:ascii="Times New Roman" w:hAnsi="Times New Roman" w:cs="Times New Roman"/>
        </w:rPr>
      </w:pPr>
    </w:p>
    <w:p w14:paraId="7DBFB70D" w14:textId="77777777" w:rsidR="00D632A2" w:rsidRDefault="00D632A2" w:rsidP="000A5A11">
      <w:pPr>
        <w:jc w:val="both"/>
        <w:rPr>
          <w:rFonts w:ascii="Times New Roman" w:hAnsi="Times New Roman" w:cs="Times New Roman"/>
        </w:rPr>
      </w:pPr>
    </w:p>
    <w:p w14:paraId="6D574EE8" w14:textId="7D4208E7" w:rsidR="000A5A11" w:rsidRPr="000A5A11" w:rsidRDefault="000A5A11" w:rsidP="000A5A11">
      <w:pPr>
        <w:spacing w:after="120" w:line="360" w:lineRule="auto"/>
        <w:jc w:val="both"/>
        <w:rPr>
          <w:sz w:val="24"/>
          <w:szCs w:val="24"/>
        </w:rPr>
      </w:pPr>
      <w:r w:rsidRPr="000A5A11">
        <w:rPr>
          <w:rFonts w:ascii="Times New Roman" w:hAnsi="Times New Roman" w:cs="Times New Roman"/>
          <w:sz w:val="24"/>
          <w:szCs w:val="24"/>
        </w:rPr>
        <w:lastRenderedPageBreak/>
        <w:t xml:space="preserve">Table 12.3 turns to the relationship between working conditions and workload stress. This shows that supportive leadership has a negative association (i.e. an improvement) with workplace stress. More precisely, a one standard deviation increase in supportive leadership is associated with a 0.17 standard deviation decrease in workplace stress. Perhaps surprisingly, discipline shows no association with stress. However, workload does show a strong and consistent relationship with stress, with a one standard deviation improvement in the former associated with a 0.46 standard deviation decrease in the latter. In line with our findings that collaboration and preparation do not consistently predict </w:t>
      </w:r>
      <w:r w:rsidR="00B23806">
        <w:rPr>
          <w:rFonts w:ascii="Times New Roman" w:hAnsi="Times New Roman" w:cs="Times New Roman"/>
          <w:sz w:val="24"/>
          <w:szCs w:val="24"/>
        </w:rPr>
        <w:t>job satisfaction</w:t>
      </w:r>
      <w:r w:rsidRPr="000A5A11">
        <w:rPr>
          <w:rFonts w:ascii="Times New Roman" w:hAnsi="Times New Roman" w:cs="Times New Roman"/>
          <w:sz w:val="24"/>
          <w:szCs w:val="24"/>
        </w:rPr>
        <w:t>, these two variables do not consistently predict workplace stress either. Again, we interpret the close correspondence between Table 12.1 and Table 12.3 as suggesting that workplace stress may mediate the relationship between leadership and attrition, as well as the relationship between workload and attrition (at least for a subset of teachers who entered the profession for particular reasons).</w:t>
      </w:r>
    </w:p>
    <w:p w14:paraId="497B1E01" w14:textId="713EC86A" w:rsidR="000A5A11" w:rsidRPr="000A5A11" w:rsidRDefault="000A5A11" w:rsidP="000A5A11">
      <w:pPr>
        <w:spacing w:line="240" w:lineRule="auto"/>
        <w:jc w:val="center"/>
        <w:rPr>
          <w:rFonts w:ascii="Times New Roman" w:hAnsi="Times New Roman" w:cs="Times New Roman"/>
          <w:b/>
          <w:bCs/>
          <w:sz w:val="24"/>
          <w:szCs w:val="24"/>
        </w:rPr>
      </w:pPr>
      <w:r w:rsidRPr="000A5A11">
        <w:rPr>
          <w:rFonts w:ascii="Times New Roman" w:hAnsi="Times New Roman" w:cs="Times New Roman"/>
          <w:b/>
          <w:bCs/>
          <w:sz w:val="24"/>
          <w:szCs w:val="24"/>
        </w:rPr>
        <w:t>Table 12.3 Estimates of the link between different elements of school working conditions and teachers’ workplace stress</w:t>
      </w:r>
    </w:p>
    <w:tbl>
      <w:tblPr>
        <w:tblW w:w="4360" w:type="dxa"/>
        <w:jc w:val="center"/>
        <w:tblLook w:val="04A0" w:firstRow="1" w:lastRow="0" w:firstColumn="1" w:lastColumn="0" w:noHBand="0" w:noVBand="1"/>
      </w:tblPr>
      <w:tblGrid>
        <w:gridCol w:w="2800"/>
        <w:gridCol w:w="1560"/>
      </w:tblGrid>
      <w:tr w:rsidR="000A5A11" w:rsidRPr="00F27E79" w14:paraId="0E092D56" w14:textId="77777777" w:rsidTr="005E2E61">
        <w:trPr>
          <w:trHeight w:val="330"/>
          <w:jc w:val="center"/>
        </w:trPr>
        <w:tc>
          <w:tcPr>
            <w:tcW w:w="2800" w:type="dxa"/>
            <w:tcBorders>
              <w:top w:val="single" w:sz="4" w:space="0" w:color="auto"/>
              <w:left w:val="nil"/>
              <w:bottom w:val="single" w:sz="8" w:space="0" w:color="auto"/>
              <w:right w:val="nil"/>
            </w:tcBorders>
            <w:shd w:val="clear" w:color="000000" w:fill="B4C6E7"/>
            <w:vAlign w:val="center"/>
            <w:hideMark/>
          </w:tcPr>
          <w:p w14:paraId="133AF2CB" w14:textId="77777777" w:rsidR="000A5A11" w:rsidRPr="00F27E79" w:rsidRDefault="000A5A11" w:rsidP="005E2E61">
            <w:pPr>
              <w:spacing w:after="0" w:line="240" w:lineRule="auto"/>
              <w:jc w:val="center"/>
              <w:rPr>
                <w:rFonts w:ascii="Times New Roman" w:eastAsia="Times New Roman" w:hAnsi="Times New Roman" w:cs="Times New Roman"/>
                <w:b/>
                <w:bCs/>
                <w:color w:val="000000"/>
                <w:szCs w:val="24"/>
                <w:lang w:eastAsia="en-GB"/>
              </w:rPr>
            </w:pPr>
            <w:r w:rsidRPr="00F27E79">
              <w:rPr>
                <w:rFonts w:ascii="Times New Roman" w:eastAsia="Times New Roman" w:hAnsi="Times New Roman" w:cs="Times New Roman"/>
                <w:b/>
                <w:bCs/>
                <w:color w:val="000000"/>
                <w:szCs w:val="24"/>
                <w:lang w:eastAsia="en-GB"/>
              </w:rPr>
              <w:t> </w:t>
            </w:r>
          </w:p>
        </w:tc>
        <w:tc>
          <w:tcPr>
            <w:tcW w:w="1560" w:type="dxa"/>
            <w:tcBorders>
              <w:top w:val="single" w:sz="4" w:space="0" w:color="auto"/>
              <w:left w:val="nil"/>
              <w:bottom w:val="single" w:sz="8" w:space="0" w:color="auto"/>
              <w:right w:val="nil"/>
            </w:tcBorders>
            <w:shd w:val="clear" w:color="000000" w:fill="B4C6E7"/>
            <w:vAlign w:val="center"/>
            <w:hideMark/>
          </w:tcPr>
          <w:p w14:paraId="578114D6" w14:textId="77777777" w:rsidR="000A5A11" w:rsidRPr="00F27E79" w:rsidRDefault="000A5A11" w:rsidP="005E2E61">
            <w:pPr>
              <w:spacing w:after="0" w:line="240" w:lineRule="auto"/>
              <w:jc w:val="center"/>
              <w:rPr>
                <w:rFonts w:ascii="Times New Roman" w:eastAsia="Times New Roman" w:hAnsi="Times New Roman" w:cs="Times New Roman"/>
                <w:b/>
                <w:bCs/>
                <w:color w:val="000000"/>
                <w:szCs w:val="24"/>
                <w:lang w:eastAsia="en-GB"/>
              </w:rPr>
            </w:pPr>
            <w:r w:rsidRPr="00F27E79">
              <w:rPr>
                <w:rFonts w:ascii="Times New Roman" w:eastAsia="Times New Roman" w:hAnsi="Times New Roman" w:cs="Times New Roman"/>
                <w:b/>
                <w:bCs/>
                <w:color w:val="000000"/>
                <w:szCs w:val="24"/>
                <w:lang w:eastAsia="en-GB"/>
              </w:rPr>
              <w:t>Effect size</w:t>
            </w:r>
          </w:p>
        </w:tc>
      </w:tr>
      <w:tr w:rsidR="000A5A11" w:rsidRPr="00F27E79" w14:paraId="1A652B6E" w14:textId="77777777" w:rsidTr="005E2E61">
        <w:trPr>
          <w:trHeight w:val="315"/>
          <w:jc w:val="center"/>
        </w:trPr>
        <w:tc>
          <w:tcPr>
            <w:tcW w:w="2800" w:type="dxa"/>
            <w:tcBorders>
              <w:top w:val="nil"/>
              <w:left w:val="nil"/>
              <w:bottom w:val="nil"/>
              <w:right w:val="nil"/>
            </w:tcBorders>
            <w:shd w:val="clear" w:color="auto" w:fill="auto"/>
            <w:vAlign w:val="center"/>
            <w:hideMark/>
          </w:tcPr>
          <w:p w14:paraId="111CFCAF" w14:textId="77777777" w:rsidR="000A5A11" w:rsidRPr="00F27E79" w:rsidRDefault="000A5A11" w:rsidP="005E2E61">
            <w:pPr>
              <w:spacing w:after="0" w:line="240" w:lineRule="auto"/>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Supportive Leadership</w:t>
            </w:r>
          </w:p>
        </w:tc>
        <w:tc>
          <w:tcPr>
            <w:tcW w:w="1560" w:type="dxa"/>
            <w:tcBorders>
              <w:top w:val="nil"/>
              <w:left w:val="nil"/>
              <w:bottom w:val="nil"/>
              <w:right w:val="nil"/>
            </w:tcBorders>
            <w:shd w:val="clear" w:color="auto" w:fill="auto"/>
            <w:vAlign w:val="center"/>
            <w:hideMark/>
          </w:tcPr>
          <w:p w14:paraId="20168125" w14:textId="77777777" w:rsidR="000A5A11" w:rsidRPr="00F27E79" w:rsidRDefault="000A5A11" w:rsidP="005E2E61">
            <w:pPr>
              <w:spacing w:after="0" w:line="240" w:lineRule="auto"/>
              <w:jc w:val="center"/>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-0.17*</w:t>
            </w:r>
          </w:p>
        </w:tc>
      </w:tr>
      <w:tr w:rsidR="000A5A11" w:rsidRPr="00F27E79" w14:paraId="095C392B" w14:textId="77777777" w:rsidTr="005E2E61">
        <w:trPr>
          <w:trHeight w:val="315"/>
          <w:jc w:val="center"/>
        </w:trPr>
        <w:tc>
          <w:tcPr>
            <w:tcW w:w="2800" w:type="dxa"/>
            <w:tcBorders>
              <w:top w:val="nil"/>
              <w:left w:val="nil"/>
              <w:bottom w:val="nil"/>
              <w:right w:val="nil"/>
            </w:tcBorders>
            <w:shd w:val="clear" w:color="auto" w:fill="auto"/>
            <w:vAlign w:val="center"/>
            <w:hideMark/>
          </w:tcPr>
          <w:p w14:paraId="363FDD46" w14:textId="77777777" w:rsidR="000A5A11" w:rsidRPr="00F27E79" w:rsidRDefault="000A5A11" w:rsidP="005E2E61">
            <w:pPr>
              <w:spacing w:after="0" w:line="240" w:lineRule="auto"/>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Workload</w:t>
            </w:r>
          </w:p>
        </w:tc>
        <w:tc>
          <w:tcPr>
            <w:tcW w:w="1560" w:type="dxa"/>
            <w:tcBorders>
              <w:top w:val="nil"/>
              <w:left w:val="nil"/>
              <w:bottom w:val="nil"/>
              <w:right w:val="nil"/>
            </w:tcBorders>
            <w:shd w:val="clear" w:color="auto" w:fill="auto"/>
            <w:vAlign w:val="center"/>
            <w:hideMark/>
          </w:tcPr>
          <w:p w14:paraId="4B1896C1" w14:textId="77777777" w:rsidR="000A5A11" w:rsidRPr="00F27E79" w:rsidRDefault="000A5A11" w:rsidP="005E2E61">
            <w:pPr>
              <w:spacing w:after="0" w:line="240" w:lineRule="auto"/>
              <w:jc w:val="center"/>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-0.46*</w:t>
            </w:r>
          </w:p>
        </w:tc>
      </w:tr>
      <w:tr w:rsidR="000A5A11" w:rsidRPr="00F27E79" w14:paraId="3140122B" w14:textId="77777777" w:rsidTr="005E2E61">
        <w:trPr>
          <w:trHeight w:val="315"/>
          <w:jc w:val="center"/>
        </w:trPr>
        <w:tc>
          <w:tcPr>
            <w:tcW w:w="2800" w:type="dxa"/>
            <w:tcBorders>
              <w:top w:val="nil"/>
              <w:left w:val="nil"/>
              <w:bottom w:val="nil"/>
              <w:right w:val="nil"/>
            </w:tcBorders>
            <w:shd w:val="clear" w:color="auto" w:fill="auto"/>
            <w:vAlign w:val="center"/>
            <w:hideMark/>
          </w:tcPr>
          <w:p w14:paraId="3209CBF0" w14:textId="77777777" w:rsidR="000A5A11" w:rsidRPr="00F27E79" w:rsidRDefault="000A5A11" w:rsidP="005E2E61">
            <w:pPr>
              <w:spacing w:after="0" w:line="240" w:lineRule="auto"/>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Collaboration</w:t>
            </w:r>
          </w:p>
        </w:tc>
        <w:tc>
          <w:tcPr>
            <w:tcW w:w="1560" w:type="dxa"/>
            <w:tcBorders>
              <w:top w:val="nil"/>
              <w:left w:val="nil"/>
              <w:bottom w:val="nil"/>
              <w:right w:val="nil"/>
            </w:tcBorders>
            <w:shd w:val="clear" w:color="auto" w:fill="auto"/>
            <w:vAlign w:val="center"/>
            <w:hideMark/>
          </w:tcPr>
          <w:p w14:paraId="3CE17B32" w14:textId="77777777" w:rsidR="000A5A11" w:rsidRPr="00F27E79" w:rsidRDefault="000A5A11" w:rsidP="005E2E61">
            <w:pPr>
              <w:spacing w:after="0" w:line="240" w:lineRule="auto"/>
              <w:jc w:val="center"/>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-0.05*</w:t>
            </w:r>
          </w:p>
        </w:tc>
      </w:tr>
      <w:tr w:rsidR="000A5A11" w:rsidRPr="00F27E79" w14:paraId="0F23D4D6" w14:textId="77777777" w:rsidTr="005E2E61">
        <w:trPr>
          <w:trHeight w:val="315"/>
          <w:jc w:val="center"/>
        </w:trPr>
        <w:tc>
          <w:tcPr>
            <w:tcW w:w="2800" w:type="dxa"/>
            <w:tcBorders>
              <w:top w:val="nil"/>
              <w:left w:val="nil"/>
              <w:bottom w:val="nil"/>
              <w:right w:val="nil"/>
            </w:tcBorders>
            <w:shd w:val="clear" w:color="auto" w:fill="auto"/>
            <w:vAlign w:val="center"/>
            <w:hideMark/>
          </w:tcPr>
          <w:p w14:paraId="0205CFC5" w14:textId="77777777" w:rsidR="000A5A11" w:rsidRPr="00F27E79" w:rsidRDefault="000A5A11" w:rsidP="005E2E61">
            <w:pPr>
              <w:spacing w:after="0" w:line="240" w:lineRule="auto"/>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Preparation</w:t>
            </w:r>
          </w:p>
        </w:tc>
        <w:tc>
          <w:tcPr>
            <w:tcW w:w="1560" w:type="dxa"/>
            <w:tcBorders>
              <w:top w:val="nil"/>
              <w:left w:val="nil"/>
              <w:bottom w:val="nil"/>
              <w:right w:val="nil"/>
            </w:tcBorders>
            <w:shd w:val="clear" w:color="auto" w:fill="auto"/>
            <w:vAlign w:val="center"/>
            <w:hideMark/>
          </w:tcPr>
          <w:p w14:paraId="34006B5E" w14:textId="77777777" w:rsidR="000A5A11" w:rsidRPr="00F27E79" w:rsidRDefault="000A5A11" w:rsidP="005E2E61">
            <w:pPr>
              <w:spacing w:after="0" w:line="240" w:lineRule="auto"/>
              <w:jc w:val="center"/>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-0.03</w:t>
            </w:r>
          </w:p>
        </w:tc>
      </w:tr>
      <w:tr w:rsidR="000A5A11" w:rsidRPr="00F27E79" w14:paraId="51CE5AF1" w14:textId="77777777" w:rsidTr="005E2E61">
        <w:trPr>
          <w:trHeight w:val="315"/>
          <w:jc w:val="center"/>
        </w:trPr>
        <w:tc>
          <w:tcPr>
            <w:tcW w:w="2800" w:type="dxa"/>
            <w:tcBorders>
              <w:top w:val="nil"/>
              <w:left w:val="nil"/>
              <w:bottom w:val="nil"/>
              <w:right w:val="nil"/>
            </w:tcBorders>
            <w:shd w:val="clear" w:color="auto" w:fill="auto"/>
            <w:vAlign w:val="center"/>
            <w:hideMark/>
          </w:tcPr>
          <w:p w14:paraId="6CA8DE7F" w14:textId="77777777" w:rsidR="000A5A11" w:rsidRPr="00F27E79" w:rsidRDefault="000A5A11" w:rsidP="005E2E61">
            <w:pPr>
              <w:spacing w:after="0" w:line="240" w:lineRule="auto"/>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Discipline</w:t>
            </w:r>
          </w:p>
        </w:tc>
        <w:tc>
          <w:tcPr>
            <w:tcW w:w="1560" w:type="dxa"/>
            <w:tcBorders>
              <w:top w:val="nil"/>
              <w:left w:val="nil"/>
              <w:bottom w:val="nil"/>
              <w:right w:val="nil"/>
            </w:tcBorders>
            <w:shd w:val="clear" w:color="auto" w:fill="auto"/>
            <w:vAlign w:val="center"/>
            <w:hideMark/>
          </w:tcPr>
          <w:p w14:paraId="256C964A" w14:textId="77777777" w:rsidR="000A5A11" w:rsidRPr="00F27E79" w:rsidRDefault="000A5A11" w:rsidP="005E2E61">
            <w:pPr>
              <w:spacing w:after="0" w:line="240" w:lineRule="auto"/>
              <w:jc w:val="center"/>
              <w:rPr>
                <w:rFonts w:ascii="Times New Roman" w:eastAsia="Times New Roman" w:hAnsi="Times New Roman" w:cs="Times New Roman"/>
                <w:color w:val="000000"/>
                <w:szCs w:val="24"/>
                <w:lang w:eastAsia="en-GB"/>
              </w:rPr>
            </w:pPr>
            <w:r w:rsidRPr="00F27E79">
              <w:rPr>
                <w:rFonts w:ascii="Times New Roman" w:eastAsia="Times New Roman" w:hAnsi="Times New Roman" w:cs="Times New Roman"/>
                <w:color w:val="000000"/>
                <w:szCs w:val="24"/>
                <w:lang w:eastAsia="en-GB"/>
              </w:rPr>
              <w:t>-0.04</w:t>
            </w:r>
          </w:p>
        </w:tc>
      </w:tr>
      <w:tr w:rsidR="000A5A11" w:rsidRPr="00F27E79" w14:paraId="3D7E37C2" w14:textId="77777777" w:rsidTr="005E2E61">
        <w:trPr>
          <w:trHeight w:val="330"/>
          <w:jc w:val="center"/>
        </w:trPr>
        <w:tc>
          <w:tcPr>
            <w:tcW w:w="2800" w:type="dxa"/>
            <w:tcBorders>
              <w:top w:val="single" w:sz="4" w:space="0" w:color="auto"/>
              <w:left w:val="nil"/>
              <w:bottom w:val="single" w:sz="8" w:space="0" w:color="auto"/>
              <w:right w:val="nil"/>
            </w:tcBorders>
            <w:shd w:val="clear" w:color="auto" w:fill="auto"/>
            <w:vAlign w:val="center"/>
            <w:hideMark/>
          </w:tcPr>
          <w:p w14:paraId="7483A305" w14:textId="77777777" w:rsidR="000A5A11" w:rsidRPr="00F27E79" w:rsidRDefault="000A5A11" w:rsidP="005E2E61">
            <w:pPr>
              <w:spacing w:after="0" w:line="240" w:lineRule="auto"/>
              <w:rPr>
                <w:rFonts w:ascii="Times New Roman" w:eastAsia="Times New Roman" w:hAnsi="Times New Roman" w:cs="Times New Roman"/>
                <w:b/>
                <w:bCs/>
                <w:color w:val="000000"/>
                <w:szCs w:val="24"/>
                <w:lang w:eastAsia="en-GB"/>
              </w:rPr>
            </w:pPr>
            <w:r w:rsidRPr="00F27E79">
              <w:rPr>
                <w:rFonts w:ascii="Times New Roman" w:eastAsia="Times New Roman" w:hAnsi="Times New Roman" w:cs="Times New Roman"/>
                <w:b/>
                <w:bCs/>
                <w:color w:val="000000"/>
                <w:szCs w:val="24"/>
                <w:lang w:eastAsia="en-GB"/>
              </w:rPr>
              <w:t>N (teachers)</w:t>
            </w:r>
          </w:p>
        </w:tc>
        <w:tc>
          <w:tcPr>
            <w:tcW w:w="1560" w:type="dxa"/>
            <w:tcBorders>
              <w:top w:val="single" w:sz="4" w:space="0" w:color="auto"/>
              <w:left w:val="nil"/>
              <w:bottom w:val="single" w:sz="8" w:space="0" w:color="auto"/>
              <w:right w:val="nil"/>
            </w:tcBorders>
            <w:shd w:val="clear" w:color="auto" w:fill="auto"/>
            <w:vAlign w:val="center"/>
            <w:hideMark/>
          </w:tcPr>
          <w:p w14:paraId="7911DDFD" w14:textId="77777777" w:rsidR="000A5A11" w:rsidRPr="00F27E79" w:rsidRDefault="000A5A11" w:rsidP="005E2E61">
            <w:pPr>
              <w:spacing w:after="0" w:line="240" w:lineRule="auto"/>
              <w:jc w:val="center"/>
              <w:rPr>
                <w:rFonts w:ascii="Times New Roman" w:eastAsia="Times New Roman" w:hAnsi="Times New Roman" w:cs="Times New Roman"/>
                <w:b/>
                <w:bCs/>
                <w:color w:val="000000"/>
                <w:szCs w:val="24"/>
                <w:lang w:eastAsia="en-GB"/>
              </w:rPr>
            </w:pPr>
            <w:r w:rsidRPr="00F27E79">
              <w:rPr>
                <w:rFonts w:ascii="Times New Roman" w:eastAsia="Times New Roman" w:hAnsi="Times New Roman" w:cs="Times New Roman"/>
                <w:b/>
                <w:bCs/>
                <w:color w:val="000000"/>
                <w:szCs w:val="24"/>
                <w:lang w:eastAsia="en-GB"/>
              </w:rPr>
              <w:t>2,022</w:t>
            </w:r>
          </w:p>
        </w:tc>
      </w:tr>
    </w:tbl>
    <w:p w14:paraId="73A8E75F" w14:textId="109B81A6" w:rsidR="00F7201C" w:rsidRPr="008B4E20" w:rsidRDefault="000A5A11" w:rsidP="008B4E20">
      <w:pPr>
        <w:spacing w:after="240" w:line="240" w:lineRule="auto"/>
        <w:jc w:val="both"/>
        <w:rPr>
          <w:rFonts w:ascii="Times New Roman" w:hAnsi="Times New Roman" w:cs="Times New Roman"/>
          <w:sz w:val="20"/>
          <w:szCs w:val="20"/>
        </w:rPr>
      </w:pPr>
      <w:r w:rsidRPr="00245F94">
        <w:rPr>
          <w:rFonts w:ascii="Times New Roman" w:hAnsi="Times New Roman" w:cs="Times New Roman"/>
          <w:color w:val="000000" w:themeColor="text1"/>
          <w:sz w:val="20"/>
          <w:szCs w:val="20"/>
          <w:shd w:val="clear" w:color="auto" w:fill="FFFFFF"/>
        </w:rPr>
        <w:t>Notes: * = statistical significance at the</w:t>
      </w:r>
      <w:r w:rsidR="00F7201C">
        <w:rPr>
          <w:rFonts w:ascii="Times New Roman" w:hAnsi="Times New Roman" w:cs="Times New Roman"/>
          <w:color w:val="000000" w:themeColor="text1"/>
          <w:sz w:val="20"/>
          <w:szCs w:val="20"/>
          <w:shd w:val="clear" w:color="auto" w:fill="FFFFFF"/>
        </w:rPr>
        <w:t xml:space="preserve"> 5%</w:t>
      </w:r>
      <w:r w:rsidRPr="00245F94">
        <w:rPr>
          <w:rFonts w:ascii="Times New Roman" w:hAnsi="Times New Roman" w:cs="Times New Roman"/>
          <w:color w:val="000000" w:themeColor="text1"/>
          <w:sz w:val="20"/>
          <w:szCs w:val="20"/>
          <w:shd w:val="clear" w:color="auto" w:fill="FFFFFF"/>
        </w:rPr>
        <w:t xml:space="preserve"> level</w:t>
      </w:r>
      <w:r>
        <w:rPr>
          <w:rFonts w:ascii="Times New Roman" w:hAnsi="Times New Roman" w:cs="Times New Roman"/>
          <w:color w:val="000000" w:themeColor="text1"/>
          <w:sz w:val="20"/>
          <w:szCs w:val="20"/>
          <w:shd w:val="clear" w:color="auto" w:fill="FFFFFF"/>
        </w:rPr>
        <w:t>. Figures refer to effect sizes for a one standard deviation improvement in any given working condition scale (e.g. workload, supportive leadership).</w:t>
      </w:r>
      <w:r w:rsidR="00875EB6">
        <w:rPr>
          <w:rFonts w:ascii="Times New Roman" w:hAnsi="Times New Roman" w:cs="Times New Roman"/>
          <w:color w:val="000000" w:themeColor="text1"/>
          <w:sz w:val="20"/>
          <w:szCs w:val="20"/>
          <w:shd w:val="clear" w:color="auto" w:fill="FFFFFF"/>
        </w:rPr>
        <w:t xml:space="preserve"> </w:t>
      </w:r>
      <w:r w:rsidR="00875EB6">
        <w:rPr>
          <w:rFonts w:ascii="Times New Roman" w:hAnsi="Times New Roman" w:cs="Times New Roman"/>
          <w:sz w:val="20"/>
          <w:szCs w:val="20"/>
        </w:rPr>
        <w:t>Source = TALIS 2018 dataset.</w:t>
      </w:r>
    </w:p>
    <w:p w14:paraId="325A9CBC" w14:textId="77777777" w:rsidR="000A5A11" w:rsidRPr="000A5A11" w:rsidRDefault="000A5A11" w:rsidP="008B4E20">
      <w:pPr>
        <w:spacing w:after="0"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rPr>
        <w:t>12.</w:t>
      </w:r>
      <w:r w:rsidRPr="000A5A11">
        <w:rPr>
          <w:rFonts w:ascii="Times New Roman" w:hAnsi="Times New Roman" w:cs="Times New Roman"/>
          <w:b/>
          <w:bCs/>
          <w:color w:val="000000" w:themeColor="text1"/>
          <w:sz w:val="24"/>
          <w:szCs w:val="24"/>
        </w:rPr>
        <w:t>4 Summary and policy implications</w:t>
      </w:r>
    </w:p>
    <w:p w14:paraId="593BB9A1" w14:textId="12DDB907" w:rsidR="000A5A11" w:rsidRPr="000A5A11" w:rsidRDefault="000A5A11" w:rsidP="000A5A11">
      <w:pPr>
        <w:spacing w:line="360" w:lineRule="auto"/>
        <w:jc w:val="both"/>
        <w:rPr>
          <w:rFonts w:ascii="Times New Roman" w:hAnsi="Times New Roman" w:cs="Times New Roman"/>
          <w:sz w:val="24"/>
          <w:szCs w:val="24"/>
        </w:rPr>
      </w:pPr>
      <w:r w:rsidRPr="000A5A11">
        <w:rPr>
          <w:rFonts w:ascii="Times New Roman" w:hAnsi="Times New Roman" w:cs="Times New Roman"/>
          <w:sz w:val="24"/>
          <w:szCs w:val="24"/>
        </w:rPr>
        <w:t>This chapter has presented new evidence on the link between five different aspects of teachers</w:t>
      </w:r>
      <w:r w:rsidR="00F7201C">
        <w:rPr>
          <w:rFonts w:ascii="Times New Roman" w:hAnsi="Times New Roman" w:cs="Times New Roman"/>
          <w:sz w:val="24"/>
          <w:szCs w:val="24"/>
        </w:rPr>
        <w:t>’</w:t>
      </w:r>
      <w:r w:rsidRPr="000A5A11">
        <w:rPr>
          <w:rFonts w:ascii="Times New Roman" w:hAnsi="Times New Roman" w:cs="Times New Roman"/>
          <w:sz w:val="24"/>
          <w:szCs w:val="24"/>
        </w:rPr>
        <w:t xml:space="preserve"> working conditions and their job satisfaction, workplace stress and propensity to leave the teaching profession. Of the five facets of working environment we investigated, three were found to predict retention in the profession. Previous research has found that supportive leadership predicts retention in a certain school, city or state. We corroborate and extend these findings by showing that supportive leadership also predicts retention in the profession overall and that this relationship is likely mediated by improved job satisfaction and reduced workplace stress. We also provide new evidence that school discipline also predict</w:t>
      </w:r>
      <w:r w:rsidR="00F7201C">
        <w:rPr>
          <w:rFonts w:ascii="Times New Roman" w:hAnsi="Times New Roman" w:cs="Times New Roman"/>
          <w:sz w:val="24"/>
          <w:szCs w:val="24"/>
        </w:rPr>
        <w:t>s</w:t>
      </w:r>
      <w:r w:rsidRPr="000A5A11">
        <w:rPr>
          <w:rFonts w:ascii="Times New Roman" w:hAnsi="Times New Roman" w:cs="Times New Roman"/>
          <w:sz w:val="24"/>
          <w:szCs w:val="24"/>
        </w:rPr>
        <w:t xml:space="preserve"> retention in the teaching profession, and that this is almost as important as having a supportive leadership team. Conversely, preparati</w:t>
      </w:r>
      <w:r w:rsidR="00B23806">
        <w:rPr>
          <w:rFonts w:ascii="Times New Roman" w:hAnsi="Times New Roman" w:cs="Times New Roman"/>
          <w:sz w:val="24"/>
          <w:szCs w:val="24"/>
        </w:rPr>
        <w:t>on for teaching assignments was</w:t>
      </w:r>
      <w:r w:rsidRPr="000A5A11">
        <w:rPr>
          <w:rFonts w:ascii="Times New Roman" w:hAnsi="Times New Roman" w:cs="Times New Roman"/>
          <w:sz w:val="24"/>
          <w:szCs w:val="24"/>
        </w:rPr>
        <w:t xml:space="preserve"> not found to be robustly associated with </w:t>
      </w:r>
      <w:r w:rsidRPr="000A5A11">
        <w:rPr>
          <w:rFonts w:ascii="Times New Roman" w:hAnsi="Times New Roman" w:cs="Times New Roman"/>
          <w:sz w:val="24"/>
          <w:szCs w:val="24"/>
        </w:rPr>
        <w:lastRenderedPageBreak/>
        <w:t>job satisfaction, workplace stress or retention. Findings with respect to workload</w:t>
      </w:r>
      <w:r w:rsidR="00B23806">
        <w:rPr>
          <w:rFonts w:ascii="Times New Roman" w:hAnsi="Times New Roman" w:cs="Times New Roman"/>
          <w:sz w:val="24"/>
          <w:szCs w:val="24"/>
        </w:rPr>
        <w:t xml:space="preserve"> and teacher collaboration</w:t>
      </w:r>
      <w:r w:rsidRPr="000A5A11">
        <w:rPr>
          <w:rFonts w:ascii="Times New Roman" w:hAnsi="Times New Roman" w:cs="Times New Roman"/>
          <w:sz w:val="24"/>
          <w:szCs w:val="24"/>
        </w:rPr>
        <w:t xml:space="preserve"> were mixed. </w:t>
      </w:r>
    </w:p>
    <w:p w14:paraId="634D2D74" w14:textId="38C96997" w:rsidR="000A5A11" w:rsidRPr="000A5A11" w:rsidRDefault="000A5A11" w:rsidP="000A5A11">
      <w:pPr>
        <w:spacing w:line="360" w:lineRule="auto"/>
        <w:jc w:val="both"/>
        <w:rPr>
          <w:sz w:val="24"/>
          <w:szCs w:val="24"/>
        </w:rPr>
      </w:pPr>
      <w:r w:rsidRPr="000A5A11">
        <w:rPr>
          <w:rFonts w:ascii="Times New Roman" w:hAnsi="Times New Roman" w:cs="Times New Roman"/>
          <w:sz w:val="24"/>
          <w:szCs w:val="24"/>
        </w:rPr>
        <w:t>These findings have a number of implications for practice. In particular, the questions that comprise each of our latent working environment variables indicate promising approaches for school leaders. First, our findings suggest that school leaders can reduce stress and improve retention by consulting and involving teachers in decision</w:t>
      </w:r>
      <w:r w:rsidR="00F7201C">
        <w:rPr>
          <w:rFonts w:ascii="Times New Roman" w:hAnsi="Times New Roman" w:cs="Times New Roman"/>
          <w:sz w:val="24"/>
          <w:szCs w:val="24"/>
        </w:rPr>
        <w:t>-</w:t>
      </w:r>
      <w:r w:rsidRPr="000A5A11">
        <w:rPr>
          <w:rFonts w:ascii="Times New Roman" w:hAnsi="Times New Roman" w:cs="Times New Roman"/>
          <w:sz w:val="24"/>
          <w:szCs w:val="24"/>
        </w:rPr>
        <w:t>making processes, supporting their professional development and explicitly recognising staff for their work. In addition, school leaders looking to improve job satisfaction and retention would be advised to prioritise improving disciplinary standards in the school. This can be achieved by ensuring that all staff are aware of whole-school standards for behaviour and are supported in consistently enforcing them. In addition, school leaders should be cognizant of the commitments that teachers have outside of their work and consider these when making requests of staff. In combination, these sorts of measures can help tackle the widespread problem of teacher shortages.</w:t>
      </w:r>
    </w:p>
    <w:p w14:paraId="22D59E6C" w14:textId="77777777" w:rsidR="000A5A11" w:rsidRPr="00F6592C" w:rsidRDefault="000A5A11" w:rsidP="000A5A11">
      <w:pPr>
        <w:spacing w:line="480" w:lineRule="auto"/>
        <w:jc w:val="both"/>
        <w:rPr>
          <w:rFonts w:ascii="Times New Roman" w:hAnsi="Times New Roman" w:cs="Times New Roman"/>
        </w:rPr>
      </w:pPr>
    </w:p>
    <w:p w14:paraId="556916C8" w14:textId="3B9BE015" w:rsidR="000A5A11" w:rsidRDefault="000A5A11" w:rsidP="00697230">
      <w:pPr>
        <w:spacing w:line="360" w:lineRule="auto"/>
        <w:jc w:val="both"/>
        <w:rPr>
          <w:rFonts w:ascii="Times New Roman" w:hAnsi="Times New Roman" w:cs="Times New Roman"/>
          <w:sz w:val="24"/>
          <w:szCs w:val="24"/>
        </w:rPr>
      </w:pPr>
    </w:p>
    <w:p w14:paraId="65F04EE8" w14:textId="5ABCF579" w:rsidR="000A5A11" w:rsidRDefault="000A5A11" w:rsidP="00697230">
      <w:pPr>
        <w:spacing w:line="360" w:lineRule="auto"/>
        <w:jc w:val="both"/>
        <w:rPr>
          <w:rFonts w:ascii="Times New Roman" w:hAnsi="Times New Roman" w:cs="Times New Roman"/>
          <w:sz w:val="24"/>
          <w:szCs w:val="24"/>
        </w:rPr>
      </w:pPr>
    </w:p>
    <w:p w14:paraId="1E2212FA" w14:textId="1C3EC981" w:rsidR="000A5A11" w:rsidRDefault="000A5A11" w:rsidP="00697230">
      <w:pPr>
        <w:spacing w:line="360" w:lineRule="auto"/>
        <w:jc w:val="both"/>
        <w:rPr>
          <w:rFonts w:ascii="Times New Roman" w:hAnsi="Times New Roman" w:cs="Times New Roman"/>
          <w:sz w:val="24"/>
          <w:szCs w:val="24"/>
        </w:rPr>
      </w:pPr>
    </w:p>
    <w:p w14:paraId="2FC514AF" w14:textId="36B7479B" w:rsidR="000A5A11" w:rsidRDefault="000A5A11" w:rsidP="00697230">
      <w:pPr>
        <w:spacing w:line="360" w:lineRule="auto"/>
        <w:jc w:val="both"/>
        <w:rPr>
          <w:rFonts w:ascii="Times New Roman" w:hAnsi="Times New Roman" w:cs="Times New Roman"/>
          <w:sz w:val="24"/>
          <w:szCs w:val="24"/>
        </w:rPr>
      </w:pPr>
    </w:p>
    <w:p w14:paraId="3042CA78" w14:textId="0D5E2A2D" w:rsidR="000A5A11" w:rsidRDefault="000A5A11" w:rsidP="00697230">
      <w:pPr>
        <w:spacing w:line="360" w:lineRule="auto"/>
        <w:jc w:val="both"/>
        <w:rPr>
          <w:rFonts w:ascii="Times New Roman" w:hAnsi="Times New Roman" w:cs="Times New Roman"/>
          <w:sz w:val="24"/>
          <w:szCs w:val="24"/>
        </w:rPr>
      </w:pPr>
    </w:p>
    <w:p w14:paraId="7084A5E2" w14:textId="2BDCCF61" w:rsidR="000A5A11" w:rsidRDefault="000A5A11" w:rsidP="00697230">
      <w:pPr>
        <w:spacing w:line="360" w:lineRule="auto"/>
        <w:jc w:val="both"/>
        <w:rPr>
          <w:rFonts w:ascii="Times New Roman" w:hAnsi="Times New Roman" w:cs="Times New Roman"/>
          <w:sz w:val="24"/>
          <w:szCs w:val="24"/>
        </w:rPr>
      </w:pPr>
    </w:p>
    <w:p w14:paraId="510C94E1" w14:textId="6AB85101" w:rsidR="000A5A11" w:rsidRDefault="000A5A11" w:rsidP="00697230">
      <w:pPr>
        <w:spacing w:line="360" w:lineRule="auto"/>
        <w:jc w:val="both"/>
        <w:rPr>
          <w:rFonts w:ascii="Times New Roman" w:hAnsi="Times New Roman" w:cs="Times New Roman"/>
          <w:sz w:val="24"/>
          <w:szCs w:val="24"/>
        </w:rPr>
      </w:pPr>
    </w:p>
    <w:p w14:paraId="3C088854" w14:textId="2E62C6BF" w:rsidR="000A5A11" w:rsidRDefault="000A5A11" w:rsidP="00697230">
      <w:pPr>
        <w:spacing w:line="360" w:lineRule="auto"/>
        <w:jc w:val="both"/>
        <w:rPr>
          <w:rFonts w:ascii="Times New Roman" w:hAnsi="Times New Roman" w:cs="Times New Roman"/>
          <w:sz w:val="24"/>
          <w:szCs w:val="24"/>
        </w:rPr>
      </w:pPr>
    </w:p>
    <w:p w14:paraId="1E6F6B20" w14:textId="336D6705" w:rsidR="000A5A11" w:rsidRDefault="000A5A11" w:rsidP="00697230">
      <w:pPr>
        <w:spacing w:line="360" w:lineRule="auto"/>
        <w:jc w:val="both"/>
        <w:rPr>
          <w:rFonts w:ascii="Times New Roman" w:hAnsi="Times New Roman" w:cs="Times New Roman"/>
          <w:sz w:val="24"/>
          <w:szCs w:val="24"/>
        </w:rPr>
      </w:pPr>
    </w:p>
    <w:p w14:paraId="0715EDBB" w14:textId="6F4DDA46" w:rsidR="000A5A11" w:rsidRDefault="000A5A11" w:rsidP="00697230">
      <w:pPr>
        <w:spacing w:line="360" w:lineRule="auto"/>
        <w:jc w:val="both"/>
        <w:rPr>
          <w:rFonts w:ascii="Times New Roman" w:hAnsi="Times New Roman" w:cs="Times New Roman"/>
          <w:sz w:val="24"/>
          <w:szCs w:val="24"/>
        </w:rPr>
      </w:pPr>
    </w:p>
    <w:p w14:paraId="18BBAA3D" w14:textId="727EB4E8" w:rsidR="000A5A11" w:rsidRDefault="000A5A11" w:rsidP="00697230">
      <w:pPr>
        <w:spacing w:line="360" w:lineRule="auto"/>
        <w:jc w:val="both"/>
        <w:rPr>
          <w:rFonts w:ascii="Times New Roman" w:hAnsi="Times New Roman" w:cs="Times New Roman"/>
          <w:sz w:val="24"/>
          <w:szCs w:val="24"/>
        </w:rPr>
      </w:pPr>
    </w:p>
    <w:p w14:paraId="01EF24D1" w14:textId="7FBE12F7" w:rsidR="000A5A11" w:rsidRDefault="000A5A11" w:rsidP="00697230">
      <w:pPr>
        <w:spacing w:line="360" w:lineRule="auto"/>
        <w:jc w:val="both"/>
        <w:rPr>
          <w:rFonts w:ascii="Times New Roman" w:hAnsi="Times New Roman" w:cs="Times New Roman"/>
          <w:sz w:val="24"/>
          <w:szCs w:val="24"/>
        </w:rPr>
      </w:pPr>
    </w:p>
    <w:p w14:paraId="39EA829F" w14:textId="0B2EBE75" w:rsidR="00300B3A" w:rsidRDefault="00300B3A" w:rsidP="00697230">
      <w:pPr>
        <w:spacing w:line="360" w:lineRule="auto"/>
        <w:jc w:val="both"/>
        <w:rPr>
          <w:rFonts w:ascii="Times New Roman" w:hAnsi="Times New Roman" w:cs="Times New Roman"/>
          <w:sz w:val="24"/>
          <w:szCs w:val="24"/>
        </w:rPr>
      </w:pPr>
    </w:p>
    <w:p w14:paraId="6621D842" w14:textId="6A729C0A" w:rsidR="00F7201C" w:rsidRDefault="00300B3A" w:rsidP="00E343CE">
      <w:pPr>
        <w:pStyle w:val="Heading1UCL"/>
        <w:rPr>
          <w:lang w:eastAsia="en-GB"/>
        </w:rPr>
      </w:pPr>
      <w:bookmarkStart w:id="31" w:name="_Toc67406022"/>
      <w:r w:rsidRPr="00300B3A">
        <w:rPr>
          <w:lang w:eastAsia="en-GB"/>
        </w:rPr>
        <w:lastRenderedPageBreak/>
        <w:t xml:space="preserve">Chapter 13 </w:t>
      </w:r>
      <w:proofErr w:type="gramStart"/>
      <w:r w:rsidRPr="00300B3A">
        <w:rPr>
          <w:lang w:eastAsia="en-GB"/>
        </w:rPr>
        <w:t>How</w:t>
      </w:r>
      <w:proofErr w:type="gramEnd"/>
      <w:r w:rsidRPr="00300B3A">
        <w:rPr>
          <w:lang w:eastAsia="en-GB"/>
        </w:rPr>
        <w:t xml:space="preserve"> did t</w:t>
      </w:r>
      <w:r>
        <w:rPr>
          <w:lang w:eastAsia="en-GB"/>
        </w:rPr>
        <w:t>he early</w:t>
      </w:r>
      <w:r w:rsidR="00F7201C">
        <w:rPr>
          <w:lang w:eastAsia="en-GB"/>
        </w:rPr>
        <w:t xml:space="preserve"> </w:t>
      </w:r>
      <w:r>
        <w:rPr>
          <w:lang w:eastAsia="en-GB"/>
        </w:rPr>
        <w:t xml:space="preserve">stages of the </w:t>
      </w:r>
      <w:r w:rsidR="00817BCE">
        <w:rPr>
          <w:lang w:eastAsia="en-GB"/>
        </w:rPr>
        <w:t>Covid</w:t>
      </w:r>
      <w:r>
        <w:rPr>
          <w:lang w:eastAsia="en-GB"/>
        </w:rPr>
        <w:t xml:space="preserve">-19 </w:t>
      </w:r>
      <w:r w:rsidRPr="00300B3A">
        <w:rPr>
          <w:lang w:eastAsia="en-GB"/>
        </w:rPr>
        <w:t>pandemic affect teacher wellbeing?</w:t>
      </w:r>
      <w:bookmarkEnd w:id="31"/>
    </w:p>
    <w:p w14:paraId="3897BE3A" w14:textId="77777777" w:rsidR="00E343CE" w:rsidRPr="008B4E20" w:rsidRDefault="00E343CE" w:rsidP="008B4E20">
      <w:pPr>
        <w:pStyle w:val="Heading1UCL"/>
        <w:rPr>
          <w:lang w:eastAsia="en-GB"/>
        </w:rPr>
      </w:pPr>
    </w:p>
    <w:p w14:paraId="42B5E9C9" w14:textId="5A0A93CF" w:rsidR="007F32A3" w:rsidRPr="004368FD" w:rsidRDefault="007F32A3" w:rsidP="008B4E20">
      <w:pPr>
        <w:pStyle w:val="Title"/>
        <w:spacing w:line="360" w:lineRule="auto"/>
        <w:jc w:val="left"/>
        <w:rPr>
          <w:rFonts w:cs="Times New Roman"/>
          <w:b w:val="0"/>
          <w:sz w:val="24"/>
          <w:szCs w:val="24"/>
          <w:lang w:eastAsia="en-GB"/>
        </w:rPr>
      </w:pPr>
      <w:r w:rsidRPr="004368FD">
        <w:rPr>
          <w:rFonts w:cs="Times New Roman"/>
          <w:sz w:val="24"/>
          <w:szCs w:val="24"/>
          <w:lang w:eastAsia="en-GB"/>
        </w:rPr>
        <w:t>13.1 Introduction</w:t>
      </w:r>
    </w:p>
    <w:p w14:paraId="57D69730" w14:textId="455CFF4C" w:rsidR="007F32A3" w:rsidRPr="00754755" w:rsidRDefault="007F32A3" w:rsidP="008B4E20">
      <w:pPr>
        <w:spacing w:line="360" w:lineRule="auto"/>
        <w:jc w:val="both"/>
        <w:rPr>
          <w:rFonts w:cs="Times New Roman"/>
          <w:sz w:val="24"/>
          <w:szCs w:val="24"/>
          <w:lang w:eastAsia="en-GB"/>
        </w:rPr>
      </w:pPr>
      <w:r w:rsidRPr="004368FD">
        <w:rPr>
          <w:rFonts w:ascii="Times New Roman" w:hAnsi="Times New Roman" w:cs="Times New Roman"/>
          <w:sz w:val="24"/>
          <w:szCs w:val="24"/>
          <w:lang w:eastAsia="en-GB"/>
        </w:rPr>
        <w:t xml:space="preserve">The </w:t>
      </w:r>
      <w:r w:rsidR="00817BCE">
        <w:rPr>
          <w:rFonts w:ascii="Times New Roman" w:hAnsi="Times New Roman" w:cs="Times New Roman"/>
          <w:sz w:val="24"/>
          <w:szCs w:val="24"/>
          <w:lang w:eastAsia="en-GB"/>
        </w:rPr>
        <w:t>Covid</w:t>
      </w:r>
      <w:r w:rsidRPr="004368FD">
        <w:rPr>
          <w:rFonts w:ascii="Times New Roman" w:hAnsi="Times New Roman" w:cs="Times New Roman"/>
          <w:sz w:val="24"/>
          <w:szCs w:val="24"/>
          <w:lang w:eastAsia="en-GB"/>
        </w:rPr>
        <w:t>-19 pandemic has affected all of our lives. Coming out of the blue at the start of 2020, most people across the globe had their working lives turned upside</w:t>
      </w:r>
      <w:r w:rsidR="00F7201C">
        <w:rPr>
          <w:rFonts w:ascii="Times New Roman" w:hAnsi="Times New Roman" w:cs="Times New Roman"/>
          <w:sz w:val="24"/>
          <w:szCs w:val="24"/>
          <w:lang w:eastAsia="en-GB"/>
        </w:rPr>
        <w:t xml:space="preserve"> </w:t>
      </w:r>
      <w:r w:rsidRPr="004368FD">
        <w:rPr>
          <w:rFonts w:ascii="Times New Roman" w:hAnsi="Times New Roman" w:cs="Times New Roman"/>
          <w:sz w:val="24"/>
          <w:szCs w:val="24"/>
          <w:lang w:eastAsia="en-GB"/>
        </w:rPr>
        <w:t>down. This, of course, includes teachers, with many having to quickly develop online materials and to teach their pupils remotely. The period during</w:t>
      </w:r>
      <w:r w:rsidR="00320113">
        <w:rPr>
          <w:rFonts w:ascii="Times New Roman" w:hAnsi="Times New Roman" w:cs="Times New Roman"/>
          <w:sz w:val="24"/>
          <w:szCs w:val="24"/>
          <w:lang w:eastAsia="en-GB"/>
        </w:rPr>
        <w:t xml:space="preserve"> first national</w:t>
      </w:r>
      <w:r w:rsidRPr="004368FD">
        <w:rPr>
          <w:rFonts w:ascii="Times New Roman" w:hAnsi="Times New Roman" w:cs="Times New Roman"/>
          <w:sz w:val="24"/>
          <w:szCs w:val="24"/>
          <w:lang w:eastAsia="en-GB"/>
        </w:rPr>
        <w:t xml:space="preserve"> lockdown – from mid-March to the end of May 2020 – was also a period of great uncertainty for schools and teachers. While some were continuing their regular routine in order to educate the children of key workers, others were left wondering when exactly they would return to physically teaching in the classroom, and whether it was safe to do so. All of this was occurring, of course, while loved</w:t>
      </w:r>
      <w:r w:rsidR="00F7201C">
        <w:rPr>
          <w:rFonts w:ascii="Times New Roman" w:hAnsi="Times New Roman" w:cs="Times New Roman"/>
          <w:sz w:val="24"/>
          <w:szCs w:val="24"/>
          <w:lang w:eastAsia="en-GB"/>
        </w:rPr>
        <w:t xml:space="preserve"> </w:t>
      </w:r>
      <w:r w:rsidRPr="004368FD">
        <w:rPr>
          <w:rFonts w:ascii="Times New Roman" w:hAnsi="Times New Roman" w:cs="Times New Roman"/>
          <w:sz w:val="24"/>
          <w:szCs w:val="24"/>
          <w:lang w:eastAsia="en-GB"/>
        </w:rPr>
        <w:t>ones were getting sick, teachers</w:t>
      </w:r>
      <w:r w:rsidR="00F7201C">
        <w:rPr>
          <w:rFonts w:ascii="Times New Roman" w:hAnsi="Times New Roman" w:cs="Times New Roman"/>
          <w:sz w:val="24"/>
          <w:szCs w:val="24"/>
          <w:lang w:eastAsia="en-GB"/>
        </w:rPr>
        <w:t>’</w:t>
      </w:r>
      <w:r w:rsidRPr="004368FD">
        <w:rPr>
          <w:rFonts w:ascii="Times New Roman" w:hAnsi="Times New Roman" w:cs="Times New Roman"/>
          <w:sz w:val="24"/>
          <w:szCs w:val="24"/>
          <w:lang w:eastAsia="en-GB"/>
        </w:rPr>
        <w:t xml:space="preserve"> own children were home from school and almost any form of social or recreational relief was cancelled. </w:t>
      </w:r>
    </w:p>
    <w:p w14:paraId="5E72FE1A" w14:textId="0F545DEE" w:rsidR="007F32A3" w:rsidRDefault="007F32A3" w:rsidP="007F32A3">
      <w:pPr>
        <w:spacing w:line="360" w:lineRule="auto"/>
        <w:jc w:val="both"/>
        <w:rPr>
          <w:rFonts w:ascii="Times New Roman" w:hAnsi="Times New Roman" w:cs="Times New Roman"/>
          <w:sz w:val="24"/>
          <w:szCs w:val="24"/>
          <w:lang w:eastAsia="en-GB"/>
        </w:rPr>
      </w:pPr>
      <w:r w:rsidRPr="004368FD">
        <w:rPr>
          <w:rFonts w:ascii="Times New Roman" w:hAnsi="Times New Roman" w:cs="Times New Roman"/>
          <w:sz w:val="24"/>
          <w:szCs w:val="24"/>
          <w:lang w:eastAsia="en-GB"/>
        </w:rPr>
        <w:t>A great deal of research has alrea</w:t>
      </w:r>
      <w:r w:rsidRPr="00E56887">
        <w:rPr>
          <w:rFonts w:ascii="Times New Roman" w:hAnsi="Times New Roman" w:cs="Times New Roman"/>
          <w:sz w:val="24"/>
          <w:szCs w:val="24"/>
          <w:lang w:eastAsia="en-GB"/>
        </w:rPr>
        <w:t xml:space="preserve">dy been conducted into wellbeing during the </w:t>
      </w:r>
      <w:r w:rsidR="00817BCE">
        <w:rPr>
          <w:rFonts w:ascii="Times New Roman" w:hAnsi="Times New Roman" w:cs="Times New Roman"/>
          <w:sz w:val="24"/>
          <w:szCs w:val="24"/>
          <w:lang w:eastAsia="en-GB"/>
        </w:rPr>
        <w:t>Covid</w:t>
      </w:r>
      <w:r w:rsidRPr="00E56887">
        <w:rPr>
          <w:rFonts w:ascii="Times New Roman" w:hAnsi="Times New Roman" w:cs="Times New Roman"/>
          <w:sz w:val="24"/>
          <w:szCs w:val="24"/>
          <w:lang w:eastAsia="en-GB"/>
        </w:rPr>
        <w:t xml:space="preserve">-19 pandemic (e.g. </w:t>
      </w:r>
      <w:proofErr w:type="spellStart"/>
      <w:r w:rsidRPr="00E56887">
        <w:rPr>
          <w:rFonts w:ascii="Times New Roman" w:hAnsi="Times New Roman" w:cs="Times New Roman"/>
          <w:sz w:val="24"/>
          <w:szCs w:val="24"/>
          <w:lang w:eastAsia="en-GB"/>
        </w:rPr>
        <w:t>Fancourt</w:t>
      </w:r>
      <w:proofErr w:type="spellEnd"/>
      <w:r w:rsidRPr="00E56887">
        <w:rPr>
          <w:rFonts w:ascii="Times New Roman" w:hAnsi="Times New Roman" w:cs="Times New Roman"/>
          <w:sz w:val="24"/>
          <w:szCs w:val="24"/>
          <w:lang w:eastAsia="en-GB"/>
        </w:rPr>
        <w:t xml:space="preserve"> et al</w:t>
      </w:r>
      <w:r w:rsidR="00E465EA">
        <w:rPr>
          <w:rFonts w:ascii="Times New Roman" w:hAnsi="Times New Roman" w:cs="Times New Roman"/>
          <w:sz w:val="24"/>
          <w:szCs w:val="24"/>
          <w:lang w:eastAsia="en-GB"/>
        </w:rPr>
        <w:t>.,</w:t>
      </w:r>
      <w:r w:rsidRPr="00E56887">
        <w:rPr>
          <w:rFonts w:ascii="Times New Roman" w:hAnsi="Times New Roman" w:cs="Times New Roman"/>
          <w:sz w:val="24"/>
          <w:szCs w:val="24"/>
          <w:lang w:eastAsia="en-GB"/>
        </w:rPr>
        <w:t xml:space="preserve"> 2020</w:t>
      </w:r>
      <w:r>
        <w:rPr>
          <w:rFonts w:ascii="Times New Roman" w:hAnsi="Times New Roman" w:cs="Times New Roman"/>
          <w:sz w:val="24"/>
          <w:szCs w:val="24"/>
          <w:lang w:eastAsia="en-GB"/>
        </w:rPr>
        <w:t xml:space="preserve">; </w:t>
      </w:r>
      <w:r w:rsidRPr="00E56887">
        <w:rPr>
          <w:rFonts w:ascii="Times New Roman" w:hAnsi="Times New Roman" w:cs="Times New Roman"/>
          <w:color w:val="000000" w:themeColor="text1"/>
          <w:sz w:val="24"/>
          <w:szCs w:val="24"/>
        </w:rPr>
        <w:t>Pierce</w:t>
      </w:r>
      <w:r>
        <w:rPr>
          <w:rFonts w:ascii="Times New Roman" w:hAnsi="Times New Roman" w:cs="Times New Roman"/>
          <w:color w:val="000000" w:themeColor="text1"/>
          <w:sz w:val="24"/>
          <w:szCs w:val="24"/>
        </w:rPr>
        <w:t xml:space="preserve"> et al</w:t>
      </w:r>
      <w:r w:rsidR="00E465E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2020</w:t>
      </w:r>
      <w:r w:rsidRPr="004368FD">
        <w:rPr>
          <w:rFonts w:ascii="Times New Roman" w:hAnsi="Times New Roman" w:cs="Times New Roman"/>
          <w:sz w:val="24"/>
          <w:szCs w:val="24"/>
          <w:lang w:eastAsia="en-GB"/>
        </w:rPr>
        <w:t xml:space="preserve">), illustrating how it has impacted upon </w:t>
      </w:r>
      <w:r w:rsidR="00F7201C">
        <w:rPr>
          <w:rFonts w:ascii="Times New Roman" w:hAnsi="Times New Roman" w:cs="Times New Roman"/>
          <w:sz w:val="24"/>
          <w:szCs w:val="24"/>
          <w:lang w:eastAsia="en-GB"/>
        </w:rPr>
        <w:t xml:space="preserve">the </w:t>
      </w:r>
      <w:r w:rsidRPr="004368FD">
        <w:rPr>
          <w:rFonts w:ascii="Times New Roman" w:hAnsi="Times New Roman" w:cs="Times New Roman"/>
          <w:sz w:val="24"/>
          <w:szCs w:val="24"/>
          <w:lang w:eastAsia="en-GB"/>
        </w:rPr>
        <w:t>mental health and wellbeing of various groups. Yet there has been little consideration given specifically to how this unusual period affected teachers. Each occupational group would have experienced its own particular set of challenges, especially in the early</w:t>
      </w:r>
      <w:r w:rsidR="00F7201C">
        <w:rPr>
          <w:rFonts w:ascii="Times New Roman" w:hAnsi="Times New Roman" w:cs="Times New Roman"/>
          <w:sz w:val="24"/>
          <w:szCs w:val="24"/>
          <w:lang w:eastAsia="en-GB"/>
        </w:rPr>
        <w:t xml:space="preserve"> </w:t>
      </w:r>
      <w:r w:rsidRPr="004368FD">
        <w:rPr>
          <w:rFonts w:ascii="Times New Roman" w:hAnsi="Times New Roman" w:cs="Times New Roman"/>
          <w:sz w:val="24"/>
          <w:szCs w:val="24"/>
          <w:lang w:eastAsia="en-GB"/>
        </w:rPr>
        <w:t>stages of the pandemic as the country went into lockdown. In this short postscript chapter, we present some of the first available evidence on this issue, drawing upon unique da</w:t>
      </w:r>
      <w:r>
        <w:rPr>
          <w:rFonts w:ascii="Times New Roman" w:hAnsi="Times New Roman" w:cs="Times New Roman"/>
          <w:sz w:val="24"/>
          <w:szCs w:val="24"/>
          <w:lang w:eastAsia="en-GB"/>
        </w:rPr>
        <w:t>ta</w:t>
      </w:r>
      <w:r w:rsidRPr="004368FD">
        <w:rPr>
          <w:rFonts w:ascii="Times New Roman" w:hAnsi="Times New Roman" w:cs="Times New Roman"/>
          <w:sz w:val="24"/>
          <w:szCs w:val="24"/>
          <w:lang w:eastAsia="en-GB"/>
        </w:rPr>
        <w:t xml:space="preserve"> collected via the Teacher</w:t>
      </w:r>
      <w:r w:rsidR="00F7201C">
        <w:rPr>
          <w:rFonts w:ascii="Times New Roman" w:hAnsi="Times New Roman" w:cs="Times New Roman"/>
          <w:sz w:val="24"/>
          <w:szCs w:val="24"/>
          <w:lang w:eastAsia="en-GB"/>
        </w:rPr>
        <w:t xml:space="preserve"> </w:t>
      </w:r>
      <w:proofErr w:type="spellStart"/>
      <w:r w:rsidRPr="004368FD">
        <w:rPr>
          <w:rFonts w:ascii="Times New Roman" w:hAnsi="Times New Roman" w:cs="Times New Roman"/>
          <w:sz w:val="24"/>
          <w:szCs w:val="24"/>
          <w:lang w:eastAsia="en-GB"/>
        </w:rPr>
        <w:t>Tapp</w:t>
      </w:r>
      <w:proofErr w:type="spellEnd"/>
      <w:r w:rsidRPr="004368FD">
        <w:rPr>
          <w:rFonts w:ascii="Times New Roman" w:hAnsi="Times New Roman" w:cs="Times New Roman"/>
          <w:sz w:val="24"/>
          <w:szCs w:val="24"/>
          <w:lang w:eastAsia="en-GB"/>
        </w:rPr>
        <w:t xml:space="preserve"> survey app. This allows us to provide new evidence on how work-related anxiety changed over the course of the 2019/20 academic year (both pre</w:t>
      </w:r>
      <w:r w:rsidR="00F7201C">
        <w:rPr>
          <w:rFonts w:ascii="Times New Roman" w:hAnsi="Times New Roman" w:cs="Times New Roman"/>
          <w:sz w:val="24"/>
          <w:szCs w:val="24"/>
          <w:lang w:eastAsia="en-GB"/>
        </w:rPr>
        <w:t>-</w:t>
      </w:r>
      <w:r w:rsidRPr="004368FD">
        <w:rPr>
          <w:rFonts w:ascii="Times New Roman" w:hAnsi="Times New Roman" w:cs="Times New Roman"/>
          <w:sz w:val="24"/>
          <w:szCs w:val="24"/>
          <w:lang w:eastAsia="en-GB"/>
        </w:rPr>
        <w:t xml:space="preserve"> and during lockdown), the extent that lockdown affected teachers</w:t>
      </w:r>
      <w:r w:rsidR="00257815">
        <w:rPr>
          <w:rFonts w:ascii="Times New Roman" w:hAnsi="Times New Roman" w:cs="Times New Roman"/>
          <w:sz w:val="24"/>
          <w:szCs w:val="24"/>
          <w:lang w:eastAsia="en-GB"/>
        </w:rPr>
        <w:t>’</w:t>
      </w:r>
      <w:r w:rsidRPr="004368FD">
        <w:rPr>
          <w:rFonts w:ascii="Times New Roman" w:hAnsi="Times New Roman" w:cs="Times New Roman"/>
          <w:sz w:val="24"/>
          <w:szCs w:val="24"/>
          <w:lang w:eastAsia="en-GB"/>
        </w:rPr>
        <w:t xml:space="preserve"> psychological wellbeing, and whether this varied across demographic group</w:t>
      </w:r>
      <w:r w:rsidR="00257815">
        <w:rPr>
          <w:rFonts w:ascii="Times New Roman" w:hAnsi="Times New Roman" w:cs="Times New Roman"/>
          <w:sz w:val="24"/>
          <w:szCs w:val="24"/>
          <w:lang w:eastAsia="en-GB"/>
        </w:rPr>
        <w:t>s</w:t>
      </w:r>
      <w:r w:rsidRPr="004368FD">
        <w:rPr>
          <w:rFonts w:ascii="Times New Roman" w:hAnsi="Times New Roman" w:cs="Times New Roman"/>
          <w:sz w:val="24"/>
          <w:szCs w:val="24"/>
          <w:lang w:eastAsia="en-GB"/>
        </w:rPr>
        <w:t xml:space="preserve"> – most notably by gender and household structure. In doing </w:t>
      </w:r>
      <w:r>
        <w:rPr>
          <w:rFonts w:ascii="Times New Roman" w:hAnsi="Times New Roman" w:cs="Times New Roman"/>
          <w:sz w:val="24"/>
          <w:szCs w:val="24"/>
          <w:lang w:eastAsia="en-GB"/>
        </w:rPr>
        <w:t>so</w:t>
      </w:r>
      <w:r w:rsidRPr="004368FD">
        <w:rPr>
          <w:rFonts w:ascii="Times New Roman" w:hAnsi="Times New Roman" w:cs="Times New Roman"/>
          <w:sz w:val="24"/>
          <w:szCs w:val="24"/>
          <w:lang w:eastAsia="en-GB"/>
        </w:rPr>
        <w:t xml:space="preserve">, this chapter provides new insight into how teacher wellbeing was impacted by one of the most unusual periods </w:t>
      </w:r>
      <w:r>
        <w:rPr>
          <w:rFonts w:ascii="Times New Roman" w:hAnsi="Times New Roman" w:cs="Times New Roman"/>
          <w:sz w:val="24"/>
          <w:szCs w:val="24"/>
          <w:lang w:eastAsia="en-GB"/>
        </w:rPr>
        <w:t>the teaching profession</w:t>
      </w:r>
      <w:r w:rsidRPr="004368FD">
        <w:rPr>
          <w:rFonts w:ascii="Times New Roman" w:hAnsi="Times New Roman" w:cs="Times New Roman"/>
          <w:sz w:val="24"/>
          <w:szCs w:val="24"/>
          <w:lang w:eastAsia="en-GB"/>
        </w:rPr>
        <w:t xml:space="preserve"> is ever likely to face. </w:t>
      </w:r>
    </w:p>
    <w:p w14:paraId="5852EF59" w14:textId="77777777" w:rsidR="007F32A3" w:rsidRDefault="007F32A3" w:rsidP="008B4E20">
      <w:pPr>
        <w:spacing w:after="0" w:line="360" w:lineRule="auto"/>
        <w:rPr>
          <w:rFonts w:ascii="Times New Roman" w:hAnsi="Times New Roman" w:cs="Times New Roman"/>
          <w:b/>
          <w:sz w:val="24"/>
          <w:szCs w:val="24"/>
        </w:rPr>
      </w:pPr>
      <w:r w:rsidRPr="004368FD">
        <w:rPr>
          <w:rFonts w:ascii="Times New Roman" w:hAnsi="Times New Roman" w:cs="Times New Roman"/>
          <w:b/>
          <w:sz w:val="24"/>
          <w:szCs w:val="24"/>
        </w:rPr>
        <w:t>13.2</w:t>
      </w:r>
      <w:r>
        <w:rPr>
          <w:rFonts w:ascii="Times New Roman" w:hAnsi="Times New Roman" w:cs="Times New Roman"/>
          <w:b/>
          <w:sz w:val="24"/>
          <w:szCs w:val="24"/>
        </w:rPr>
        <w:t xml:space="preserve"> Data</w:t>
      </w:r>
    </w:p>
    <w:p w14:paraId="00B50D11" w14:textId="5D0C6727" w:rsidR="007F32A3" w:rsidRPr="00F56479" w:rsidRDefault="007F32A3" w:rsidP="007F32A3">
      <w:pPr>
        <w:spacing w:line="360" w:lineRule="auto"/>
        <w:jc w:val="both"/>
        <w:rPr>
          <w:rFonts w:ascii="Times New Roman" w:hAnsi="Times New Roman" w:cs="Times New Roman"/>
          <w:sz w:val="24"/>
          <w:szCs w:val="24"/>
        </w:rPr>
      </w:pPr>
      <w:r w:rsidRPr="00F56479">
        <w:rPr>
          <w:rFonts w:ascii="Times New Roman" w:hAnsi="Times New Roman" w:cs="Times New Roman"/>
          <w:sz w:val="24"/>
          <w:szCs w:val="24"/>
        </w:rPr>
        <w:t>The data used in this chapter is drawn from the Teacher</w:t>
      </w:r>
      <w:r w:rsidR="00257815">
        <w:rPr>
          <w:rFonts w:ascii="Times New Roman" w:hAnsi="Times New Roman" w:cs="Times New Roman"/>
          <w:sz w:val="24"/>
          <w:szCs w:val="24"/>
        </w:rPr>
        <w:t xml:space="preserve"> </w:t>
      </w:r>
      <w:proofErr w:type="spellStart"/>
      <w:r w:rsidRPr="00F56479">
        <w:rPr>
          <w:rFonts w:ascii="Times New Roman" w:hAnsi="Times New Roman" w:cs="Times New Roman"/>
          <w:sz w:val="24"/>
          <w:szCs w:val="24"/>
        </w:rPr>
        <w:t>Tapp</w:t>
      </w:r>
      <w:proofErr w:type="spellEnd"/>
      <w:r w:rsidRPr="00F56479">
        <w:rPr>
          <w:rFonts w:ascii="Times New Roman" w:hAnsi="Times New Roman" w:cs="Times New Roman"/>
          <w:sz w:val="24"/>
          <w:szCs w:val="24"/>
        </w:rPr>
        <w:t xml:space="preserve"> survey app. Participants are a self-selecting group of teachers (including primary, secondary and school leaders) who are sent three short questions each day at 3</w:t>
      </w:r>
      <w:r w:rsidR="00257815">
        <w:rPr>
          <w:rFonts w:ascii="Times New Roman" w:hAnsi="Times New Roman" w:cs="Times New Roman"/>
          <w:sz w:val="24"/>
          <w:szCs w:val="24"/>
        </w:rPr>
        <w:t>.</w:t>
      </w:r>
      <w:r w:rsidRPr="00F56479">
        <w:rPr>
          <w:rFonts w:ascii="Times New Roman" w:hAnsi="Times New Roman" w:cs="Times New Roman"/>
          <w:sz w:val="24"/>
          <w:szCs w:val="24"/>
        </w:rPr>
        <w:t xml:space="preserve">30pm. Throughout the 2019/20 academic year, we </w:t>
      </w:r>
      <w:r w:rsidRPr="00F56479">
        <w:rPr>
          <w:rFonts w:ascii="Times New Roman" w:hAnsi="Times New Roman" w:cs="Times New Roman"/>
          <w:sz w:val="24"/>
          <w:szCs w:val="24"/>
        </w:rPr>
        <w:lastRenderedPageBreak/>
        <w:t>repeatedly asked the following question about teachers’ work-related anxiety, adapting a question from the Annual Population Survey:</w:t>
      </w:r>
    </w:p>
    <w:p w14:paraId="3CC2EF96" w14:textId="10B752FC" w:rsidR="007F32A3" w:rsidRPr="00F56479" w:rsidRDefault="007F32A3" w:rsidP="007F32A3">
      <w:pPr>
        <w:spacing w:line="360" w:lineRule="auto"/>
        <w:ind w:left="720"/>
        <w:rPr>
          <w:rFonts w:ascii="Times New Roman" w:hAnsi="Times New Roman" w:cs="Times New Roman"/>
          <w:i/>
          <w:iCs/>
          <w:sz w:val="24"/>
          <w:szCs w:val="24"/>
        </w:rPr>
      </w:pPr>
      <w:r w:rsidRPr="00F56479">
        <w:rPr>
          <w:rFonts w:ascii="Times New Roman" w:hAnsi="Times New Roman" w:cs="Times New Roman"/>
          <w:i/>
          <w:iCs/>
          <w:sz w:val="24"/>
          <w:szCs w:val="24"/>
        </w:rPr>
        <w:t xml:space="preserve">On a scale where 0 is </w:t>
      </w:r>
      <w:r w:rsidR="005910E5">
        <w:rPr>
          <w:rFonts w:ascii="Times New Roman" w:hAnsi="Times New Roman" w:cs="Times New Roman"/>
          <w:i/>
          <w:iCs/>
          <w:sz w:val="24"/>
          <w:szCs w:val="24"/>
        </w:rPr>
        <w:t>‘</w:t>
      </w:r>
      <w:r w:rsidRPr="00F56479">
        <w:rPr>
          <w:rFonts w:ascii="Times New Roman" w:hAnsi="Times New Roman" w:cs="Times New Roman"/>
          <w:i/>
          <w:iCs/>
          <w:sz w:val="24"/>
          <w:szCs w:val="24"/>
        </w:rPr>
        <w:t>not at all anxious</w:t>
      </w:r>
      <w:r w:rsidR="005910E5">
        <w:rPr>
          <w:rFonts w:ascii="Times New Roman" w:hAnsi="Times New Roman" w:cs="Times New Roman"/>
          <w:i/>
          <w:iCs/>
          <w:sz w:val="24"/>
          <w:szCs w:val="24"/>
        </w:rPr>
        <w:t>’</w:t>
      </w:r>
      <w:r w:rsidRPr="00F56479">
        <w:rPr>
          <w:rFonts w:ascii="Times New Roman" w:hAnsi="Times New Roman" w:cs="Times New Roman"/>
          <w:i/>
          <w:iCs/>
          <w:sz w:val="24"/>
          <w:szCs w:val="24"/>
        </w:rPr>
        <w:t xml:space="preserve"> and 10 is </w:t>
      </w:r>
      <w:r w:rsidR="005910E5">
        <w:rPr>
          <w:rFonts w:ascii="Times New Roman" w:hAnsi="Times New Roman" w:cs="Times New Roman"/>
          <w:i/>
          <w:iCs/>
          <w:sz w:val="24"/>
          <w:szCs w:val="24"/>
        </w:rPr>
        <w:t>‘</w:t>
      </w:r>
      <w:r w:rsidRPr="00F56479">
        <w:rPr>
          <w:rFonts w:ascii="Times New Roman" w:hAnsi="Times New Roman" w:cs="Times New Roman"/>
          <w:i/>
          <w:iCs/>
          <w:sz w:val="24"/>
          <w:szCs w:val="24"/>
        </w:rPr>
        <w:t>completely anxious</w:t>
      </w:r>
      <w:r w:rsidR="005910E5">
        <w:rPr>
          <w:rFonts w:ascii="Times New Roman" w:hAnsi="Times New Roman" w:cs="Times New Roman"/>
          <w:i/>
          <w:iCs/>
          <w:sz w:val="24"/>
          <w:szCs w:val="24"/>
        </w:rPr>
        <w:t>’</w:t>
      </w:r>
      <w:r w:rsidRPr="00F56479">
        <w:rPr>
          <w:rFonts w:ascii="Times New Roman" w:hAnsi="Times New Roman" w:cs="Times New Roman"/>
          <w:i/>
          <w:iCs/>
          <w:sz w:val="24"/>
          <w:szCs w:val="24"/>
        </w:rPr>
        <w:t>, overall, how anxious did you feel about work today?</w:t>
      </w:r>
    </w:p>
    <w:p w14:paraId="1D6E1FFE" w14:textId="63F74238" w:rsidR="007F32A3" w:rsidRPr="00F56479" w:rsidRDefault="007F32A3" w:rsidP="007F32A3">
      <w:pPr>
        <w:spacing w:line="360" w:lineRule="auto"/>
        <w:jc w:val="both"/>
        <w:rPr>
          <w:rFonts w:ascii="Times New Roman" w:hAnsi="Times New Roman" w:cs="Times New Roman"/>
          <w:sz w:val="24"/>
          <w:szCs w:val="24"/>
        </w:rPr>
      </w:pPr>
      <w:r w:rsidRPr="00F56479">
        <w:rPr>
          <w:rFonts w:ascii="Times New Roman" w:hAnsi="Times New Roman" w:cs="Times New Roman"/>
          <w:iCs/>
          <w:sz w:val="24"/>
          <w:szCs w:val="24"/>
        </w:rPr>
        <w:t>To avoid possible day-of-week effects, teachers always responded to this question on a Tuesday afternoon. (When testing this question for day-of-week effects, we found that work-related anxiety of teachers peaked Monday afternoon and then gradually fell through to Saturday afternoon, before rising again)</w:t>
      </w:r>
      <w:r w:rsidRPr="00F56479">
        <w:rPr>
          <w:rStyle w:val="FootnoteReference"/>
          <w:rFonts w:ascii="Times New Roman" w:hAnsi="Times New Roman" w:cs="Times New Roman"/>
          <w:iCs/>
          <w:sz w:val="24"/>
          <w:szCs w:val="24"/>
        </w:rPr>
        <w:footnoteReference w:id="34"/>
      </w:r>
      <w:r w:rsidRPr="00F56479">
        <w:rPr>
          <w:rFonts w:ascii="Times New Roman" w:hAnsi="Times New Roman" w:cs="Times New Roman"/>
          <w:iCs/>
          <w:sz w:val="24"/>
          <w:szCs w:val="24"/>
        </w:rPr>
        <w:t>. Around 8,000 teachers in England provided responses to these questions</w:t>
      </w:r>
      <w:r>
        <w:rPr>
          <w:rFonts w:ascii="Times New Roman" w:hAnsi="Times New Roman" w:cs="Times New Roman"/>
          <w:iCs/>
          <w:sz w:val="24"/>
          <w:szCs w:val="24"/>
        </w:rPr>
        <w:t xml:space="preserve"> across the various </w:t>
      </w:r>
      <w:proofErr w:type="spellStart"/>
      <w:r>
        <w:rPr>
          <w:rFonts w:ascii="Times New Roman" w:hAnsi="Times New Roman" w:cs="Times New Roman"/>
          <w:iCs/>
          <w:sz w:val="24"/>
          <w:szCs w:val="24"/>
        </w:rPr>
        <w:t>timepoints</w:t>
      </w:r>
      <w:proofErr w:type="spellEnd"/>
      <w:r w:rsidRPr="00F56479">
        <w:rPr>
          <w:rFonts w:ascii="Times New Roman" w:hAnsi="Times New Roman" w:cs="Times New Roman"/>
          <w:iCs/>
          <w:sz w:val="24"/>
          <w:szCs w:val="24"/>
        </w:rPr>
        <w:t xml:space="preserve">. Consistent with the results presented in Chapter 6, responses to this question illustrate how work-related anxiety amongst teachers falls during school holidays, </w:t>
      </w:r>
      <w:r w:rsidRPr="00F56479">
        <w:rPr>
          <w:rFonts w:ascii="Times New Roman" w:hAnsi="Times New Roman" w:cs="Times New Roman"/>
          <w:sz w:val="24"/>
          <w:szCs w:val="24"/>
        </w:rPr>
        <w:t>with around 13% of teachers typically reporting very high work-related anxiety</w:t>
      </w:r>
      <w:r>
        <w:rPr>
          <w:rFonts w:ascii="Times New Roman" w:hAnsi="Times New Roman" w:cs="Times New Roman"/>
          <w:sz w:val="24"/>
          <w:szCs w:val="24"/>
        </w:rPr>
        <w:t xml:space="preserve"> (defined as a score of 8 and above on the 10-point scale)</w:t>
      </w:r>
      <w:r w:rsidRPr="00F56479">
        <w:rPr>
          <w:rFonts w:ascii="Times New Roman" w:hAnsi="Times New Roman" w:cs="Times New Roman"/>
          <w:sz w:val="24"/>
          <w:szCs w:val="24"/>
        </w:rPr>
        <w:t xml:space="preserve"> during term time and just 5% during the holiday week.</w:t>
      </w:r>
      <w:r>
        <w:rPr>
          <w:rFonts w:ascii="Times New Roman" w:hAnsi="Times New Roman" w:cs="Times New Roman"/>
          <w:sz w:val="24"/>
          <w:szCs w:val="24"/>
        </w:rPr>
        <w:t xml:space="preserve"> </w:t>
      </w:r>
      <w:r w:rsidRPr="00F56479">
        <w:rPr>
          <w:rFonts w:ascii="Times New Roman" w:hAnsi="Times New Roman" w:cs="Times New Roman"/>
          <w:sz w:val="24"/>
          <w:szCs w:val="24"/>
        </w:rPr>
        <w:t xml:space="preserve">Using this data, it is hence possible to investigate how work-related anxiety amongst teachers </w:t>
      </w:r>
      <w:r w:rsidR="00245B00">
        <w:rPr>
          <w:rFonts w:ascii="Times New Roman" w:hAnsi="Times New Roman" w:cs="Times New Roman"/>
          <w:sz w:val="24"/>
          <w:szCs w:val="24"/>
        </w:rPr>
        <w:t xml:space="preserve">was affected </w:t>
      </w:r>
      <w:r w:rsidRPr="00F56479">
        <w:rPr>
          <w:rFonts w:ascii="Times New Roman" w:hAnsi="Times New Roman" w:cs="Times New Roman"/>
          <w:sz w:val="24"/>
          <w:szCs w:val="24"/>
        </w:rPr>
        <w:t xml:space="preserve">once the country went into lockdown, and as it came back out again. </w:t>
      </w:r>
    </w:p>
    <w:p w14:paraId="24CE11B1" w14:textId="720782C7" w:rsidR="007F32A3" w:rsidRPr="00F56479" w:rsidRDefault="007F32A3" w:rsidP="007F32A3">
      <w:pPr>
        <w:spacing w:line="360" w:lineRule="auto"/>
        <w:jc w:val="both"/>
        <w:rPr>
          <w:rFonts w:ascii="Times New Roman" w:hAnsi="Times New Roman" w:cs="Times New Roman"/>
          <w:iCs/>
          <w:sz w:val="24"/>
          <w:szCs w:val="24"/>
        </w:rPr>
      </w:pPr>
      <w:r w:rsidRPr="00F56479">
        <w:rPr>
          <w:rFonts w:ascii="Times New Roman" w:hAnsi="Times New Roman" w:cs="Times New Roman"/>
          <w:sz w:val="24"/>
          <w:szCs w:val="24"/>
        </w:rPr>
        <w:t>In addition, the Teacher</w:t>
      </w:r>
      <w:r w:rsidR="00257815">
        <w:rPr>
          <w:rFonts w:ascii="Times New Roman" w:hAnsi="Times New Roman" w:cs="Times New Roman"/>
          <w:sz w:val="24"/>
          <w:szCs w:val="24"/>
        </w:rPr>
        <w:t xml:space="preserve"> </w:t>
      </w:r>
      <w:proofErr w:type="spellStart"/>
      <w:r w:rsidRPr="00F56479">
        <w:rPr>
          <w:rFonts w:ascii="Times New Roman" w:hAnsi="Times New Roman" w:cs="Times New Roman"/>
          <w:sz w:val="24"/>
          <w:szCs w:val="24"/>
        </w:rPr>
        <w:t>Tapp</w:t>
      </w:r>
      <w:proofErr w:type="spellEnd"/>
      <w:r w:rsidRPr="00F56479">
        <w:rPr>
          <w:rFonts w:ascii="Times New Roman" w:hAnsi="Times New Roman" w:cs="Times New Roman"/>
          <w:sz w:val="24"/>
          <w:szCs w:val="24"/>
        </w:rPr>
        <w:t xml:space="preserve"> panel were also asked a number of other questions about their wellbeing, including subjective views on the impact </w:t>
      </w:r>
      <w:r w:rsidR="00817BCE">
        <w:rPr>
          <w:rFonts w:ascii="Times New Roman" w:hAnsi="Times New Roman" w:cs="Times New Roman"/>
          <w:sz w:val="24"/>
          <w:szCs w:val="24"/>
        </w:rPr>
        <w:t>Covid</w:t>
      </w:r>
      <w:r w:rsidRPr="00F56479">
        <w:rPr>
          <w:rFonts w:ascii="Times New Roman" w:hAnsi="Times New Roman" w:cs="Times New Roman"/>
          <w:sz w:val="24"/>
          <w:szCs w:val="24"/>
        </w:rPr>
        <w:t xml:space="preserve">-19 has had on their psychological health, as well as questions from other standardised survey instruments (e.g. from the Warwick-Edinburgh Mental Wellbeing Scale). We also report on responses to these questions in the results sections below. </w:t>
      </w:r>
    </w:p>
    <w:p w14:paraId="5DDF5D2B" w14:textId="77777777" w:rsidR="007F32A3" w:rsidRPr="00F56479" w:rsidRDefault="007F32A3" w:rsidP="008B4E20">
      <w:pPr>
        <w:spacing w:after="0" w:line="360" w:lineRule="auto"/>
        <w:rPr>
          <w:rFonts w:ascii="Times New Roman" w:hAnsi="Times New Roman" w:cs="Times New Roman"/>
          <w:b/>
          <w:sz w:val="24"/>
          <w:szCs w:val="24"/>
        </w:rPr>
      </w:pPr>
      <w:r>
        <w:rPr>
          <w:rFonts w:ascii="Times New Roman" w:hAnsi="Times New Roman" w:cs="Times New Roman"/>
          <w:b/>
          <w:sz w:val="24"/>
          <w:szCs w:val="24"/>
        </w:rPr>
        <w:t>13.3 How did teachers’ work-related anxiety change after the pandemic hit?</w:t>
      </w:r>
    </w:p>
    <w:p w14:paraId="5D06276A" w14:textId="6FF36C36" w:rsidR="007F32A3" w:rsidRDefault="007F32A3" w:rsidP="006C2C5E">
      <w:pPr>
        <w:spacing w:line="360" w:lineRule="auto"/>
        <w:jc w:val="both"/>
        <w:rPr>
          <w:rFonts w:ascii="Times New Roman" w:hAnsi="Times New Roman" w:cs="Times New Roman"/>
          <w:sz w:val="24"/>
          <w:szCs w:val="24"/>
        </w:rPr>
      </w:pPr>
      <w:r>
        <w:rPr>
          <w:rFonts w:ascii="Times New Roman" w:hAnsi="Times New Roman" w:cs="Times New Roman"/>
          <w:sz w:val="24"/>
          <w:szCs w:val="24"/>
        </w:rPr>
        <w:t>Figure 13.1 illustrates</w:t>
      </w:r>
      <w:r w:rsidRPr="00F56479">
        <w:rPr>
          <w:rFonts w:ascii="Times New Roman" w:hAnsi="Times New Roman" w:cs="Times New Roman"/>
          <w:sz w:val="24"/>
          <w:szCs w:val="24"/>
        </w:rPr>
        <w:t xml:space="preserve"> the proportion of teachers reporting very high work-related anxiety</w:t>
      </w:r>
      <w:r>
        <w:rPr>
          <w:rFonts w:ascii="Times New Roman" w:hAnsi="Times New Roman" w:cs="Times New Roman"/>
          <w:sz w:val="24"/>
          <w:szCs w:val="24"/>
        </w:rPr>
        <w:t xml:space="preserve"> (a score of eight or more on the 10-point scale)</w:t>
      </w:r>
      <w:r w:rsidRPr="00F56479">
        <w:rPr>
          <w:rFonts w:ascii="Times New Roman" w:hAnsi="Times New Roman" w:cs="Times New Roman"/>
          <w:sz w:val="24"/>
          <w:szCs w:val="24"/>
        </w:rPr>
        <w:t xml:space="preserve"> throughout the</w:t>
      </w:r>
      <w:r>
        <w:rPr>
          <w:rFonts w:ascii="Times New Roman" w:hAnsi="Times New Roman" w:cs="Times New Roman"/>
          <w:sz w:val="24"/>
          <w:szCs w:val="24"/>
        </w:rPr>
        <w:t xml:space="preserve"> 2019/20</w:t>
      </w:r>
      <w:r w:rsidRPr="00F56479">
        <w:rPr>
          <w:rFonts w:ascii="Times New Roman" w:hAnsi="Times New Roman" w:cs="Times New Roman"/>
          <w:sz w:val="24"/>
          <w:szCs w:val="24"/>
        </w:rPr>
        <w:t xml:space="preserve"> academic year.</w:t>
      </w:r>
      <w:r>
        <w:rPr>
          <w:rFonts w:ascii="Times New Roman" w:hAnsi="Times New Roman" w:cs="Times New Roman"/>
          <w:sz w:val="24"/>
          <w:szCs w:val="24"/>
        </w:rPr>
        <w:t xml:space="preserve"> Results are presented separately for state</w:t>
      </w:r>
      <w:r w:rsidR="00CE27C3">
        <w:rPr>
          <w:rFonts w:ascii="Times New Roman" w:hAnsi="Times New Roman" w:cs="Times New Roman"/>
          <w:sz w:val="24"/>
          <w:szCs w:val="24"/>
        </w:rPr>
        <w:t xml:space="preserve"> </w:t>
      </w:r>
      <w:r>
        <w:rPr>
          <w:rFonts w:ascii="Times New Roman" w:hAnsi="Times New Roman" w:cs="Times New Roman"/>
          <w:sz w:val="24"/>
          <w:szCs w:val="24"/>
        </w:rPr>
        <w:t xml:space="preserve">schoolteachers, independent (private) teachers and </w:t>
      </w:r>
      <w:proofErr w:type="spellStart"/>
      <w:r>
        <w:rPr>
          <w:rFonts w:ascii="Times New Roman" w:hAnsi="Times New Roman" w:cs="Times New Roman"/>
          <w:sz w:val="24"/>
          <w:szCs w:val="24"/>
        </w:rPr>
        <w:t>headteachers</w:t>
      </w:r>
      <w:proofErr w:type="spellEnd"/>
      <w:r>
        <w:rPr>
          <w:rFonts w:ascii="Times New Roman" w:hAnsi="Times New Roman" w:cs="Times New Roman"/>
          <w:sz w:val="24"/>
          <w:szCs w:val="24"/>
        </w:rPr>
        <w:t>. For all three groups,</w:t>
      </w:r>
      <w:r w:rsidRPr="00F56479">
        <w:rPr>
          <w:rFonts w:ascii="Times New Roman" w:hAnsi="Times New Roman" w:cs="Times New Roman"/>
          <w:sz w:val="24"/>
          <w:szCs w:val="24"/>
        </w:rPr>
        <w:t xml:space="preserve"> </w:t>
      </w:r>
      <w:r>
        <w:rPr>
          <w:rFonts w:ascii="Times New Roman" w:hAnsi="Times New Roman" w:cs="Times New Roman"/>
          <w:sz w:val="24"/>
          <w:szCs w:val="24"/>
        </w:rPr>
        <w:t>t</w:t>
      </w:r>
      <w:r w:rsidRPr="00F56479">
        <w:rPr>
          <w:rFonts w:ascii="Times New Roman" w:hAnsi="Times New Roman" w:cs="Times New Roman"/>
          <w:sz w:val="24"/>
          <w:szCs w:val="24"/>
        </w:rPr>
        <w:t>he</w:t>
      </w:r>
      <w:r>
        <w:rPr>
          <w:rFonts w:ascii="Times New Roman" w:hAnsi="Times New Roman" w:cs="Times New Roman"/>
          <w:sz w:val="24"/>
          <w:szCs w:val="24"/>
        </w:rPr>
        <w:t xml:space="preserve"> immediate</w:t>
      </w:r>
      <w:r w:rsidRPr="00F56479">
        <w:rPr>
          <w:rFonts w:ascii="Times New Roman" w:hAnsi="Times New Roman" w:cs="Times New Roman"/>
          <w:sz w:val="24"/>
          <w:szCs w:val="24"/>
        </w:rPr>
        <w:t xml:space="preserve"> impact of the pandemic</w:t>
      </w:r>
      <w:r>
        <w:rPr>
          <w:rFonts w:ascii="Times New Roman" w:hAnsi="Times New Roman" w:cs="Times New Roman"/>
          <w:sz w:val="24"/>
          <w:szCs w:val="24"/>
        </w:rPr>
        <w:t xml:space="preserve"> – as lockdown was announced </w:t>
      </w:r>
      <w:r w:rsidR="00766055">
        <w:rPr>
          <w:rFonts w:ascii="Times New Roman" w:hAnsi="Times New Roman" w:cs="Times New Roman"/>
          <w:sz w:val="24"/>
          <w:szCs w:val="24"/>
        </w:rPr>
        <w:t>–</w:t>
      </w:r>
      <w:r w:rsidRPr="00F56479">
        <w:rPr>
          <w:rFonts w:ascii="Times New Roman" w:hAnsi="Times New Roman" w:cs="Times New Roman"/>
          <w:sz w:val="24"/>
          <w:szCs w:val="24"/>
        </w:rPr>
        <w:t xml:space="preserve"> </w:t>
      </w:r>
      <w:r>
        <w:rPr>
          <w:rFonts w:ascii="Times New Roman" w:hAnsi="Times New Roman" w:cs="Times New Roman"/>
          <w:sz w:val="24"/>
          <w:szCs w:val="24"/>
        </w:rPr>
        <w:t>was</w:t>
      </w:r>
      <w:r w:rsidRPr="00F56479">
        <w:rPr>
          <w:rFonts w:ascii="Times New Roman" w:hAnsi="Times New Roman" w:cs="Times New Roman"/>
          <w:sz w:val="24"/>
          <w:szCs w:val="24"/>
        </w:rPr>
        <w:t xml:space="preserve"> stark.</w:t>
      </w:r>
      <w:r>
        <w:rPr>
          <w:rFonts w:ascii="Times New Roman" w:hAnsi="Times New Roman" w:cs="Times New Roman"/>
          <w:sz w:val="24"/>
          <w:szCs w:val="24"/>
        </w:rPr>
        <w:t xml:space="preserve"> From the start of the academic year in September 2019 through to the start of March 2020, there was little clear variation in teachers’ responses. However, as Figure 13.1 shows,</w:t>
      </w:r>
      <w:r w:rsidRPr="00F56479">
        <w:rPr>
          <w:rFonts w:ascii="Times New Roman" w:hAnsi="Times New Roman" w:cs="Times New Roman"/>
          <w:sz w:val="24"/>
          <w:szCs w:val="24"/>
        </w:rPr>
        <w:t xml:space="preserve"> the week before schools were asked to close, anxiety levels peaked as teachers tried to cope with high staff absence rates, emergency closures, worry about infection and </w:t>
      </w:r>
      <w:r w:rsidRPr="00F56479">
        <w:rPr>
          <w:rFonts w:ascii="Times New Roman" w:hAnsi="Times New Roman" w:cs="Times New Roman"/>
          <w:sz w:val="24"/>
          <w:szCs w:val="24"/>
        </w:rPr>
        <w:lastRenderedPageBreak/>
        <w:t>uncertainty about the future.</w:t>
      </w:r>
      <w:r>
        <w:rPr>
          <w:rFonts w:ascii="Times New Roman" w:hAnsi="Times New Roman" w:cs="Times New Roman"/>
          <w:sz w:val="24"/>
          <w:szCs w:val="24"/>
        </w:rPr>
        <w:t xml:space="preserve"> The jump in work-related anxiety levels for </w:t>
      </w:r>
      <w:proofErr w:type="spellStart"/>
      <w:r>
        <w:rPr>
          <w:rFonts w:ascii="Times New Roman" w:hAnsi="Times New Roman" w:cs="Times New Roman"/>
          <w:sz w:val="24"/>
          <w:szCs w:val="24"/>
        </w:rPr>
        <w:t>headteachers</w:t>
      </w:r>
      <w:proofErr w:type="spellEnd"/>
      <w:r>
        <w:rPr>
          <w:rFonts w:ascii="Times New Roman" w:hAnsi="Times New Roman" w:cs="Times New Roman"/>
          <w:sz w:val="24"/>
          <w:szCs w:val="24"/>
        </w:rPr>
        <w:t xml:space="preserve"> was particularly sharp; whereas just 15</w:t>
      </w:r>
      <w:r w:rsidR="006C2C5E">
        <w:rPr>
          <w:rFonts w:ascii="Times New Roman" w:hAnsi="Times New Roman" w:cs="Times New Roman"/>
          <w:sz w:val="24"/>
          <w:szCs w:val="24"/>
        </w:rPr>
        <w:t>%</w:t>
      </w:r>
      <w:r>
        <w:rPr>
          <w:rFonts w:ascii="Times New Roman" w:hAnsi="Times New Roman" w:cs="Times New Roman"/>
          <w:sz w:val="24"/>
          <w:szCs w:val="24"/>
        </w:rPr>
        <w:t xml:space="preserve"> had very high levels of work-related anxiety when the question was asked on </w:t>
      </w:r>
      <w:r w:rsidR="005273EE">
        <w:rPr>
          <w:rFonts w:ascii="Times New Roman" w:hAnsi="Times New Roman" w:cs="Times New Roman"/>
          <w:sz w:val="24"/>
          <w:szCs w:val="24"/>
        </w:rPr>
        <w:t>10</w:t>
      </w:r>
      <w:r w:rsidR="005273EE" w:rsidRPr="008B4E20">
        <w:rPr>
          <w:rFonts w:ascii="Times New Roman" w:hAnsi="Times New Roman" w:cs="Times New Roman"/>
          <w:sz w:val="24"/>
          <w:szCs w:val="24"/>
          <w:vertAlign w:val="superscript"/>
        </w:rPr>
        <w:t>th</w:t>
      </w:r>
      <w:r w:rsidR="005273EE">
        <w:rPr>
          <w:rFonts w:ascii="Times New Roman" w:hAnsi="Times New Roman" w:cs="Times New Roman"/>
          <w:sz w:val="24"/>
          <w:szCs w:val="24"/>
        </w:rPr>
        <w:t xml:space="preserve"> </w:t>
      </w:r>
      <w:r>
        <w:rPr>
          <w:rFonts w:ascii="Times New Roman" w:hAnsi="Times New Roman" w:cs="Times New Roman"/>
          <w:sz w:val="24"/>
          <w:szCs w:val="24"/>
        </w:rPr>
        <w:t>March, this had jumped up to 38</w:t>
      </w:r>
      <w:r w:rsidR="00192807">
        <w:rPr>
          <w:rFonts w:ascii="Times New Roman" w:hAnsi="Times New Roman" w:cs="Times New Roman"/>
          <w:sz w:val="24"/>
          <w:szCs w:val="24"/>
        </w:rPr>
        <w:t>%</w:t>
      </w:r>
      <w:r>
        <w:rPr>
          <w:rFonts w:ascii="Times New Roman" w:hAnsi="Times New Roman" w:cs="Times New Roman"/>
          <w:sz w:val="24"/>
          <w:szCs w:val="24"/>
        </w:rPr>
        <w:t xml:space="preserve"> on </w:t>
      </w:r>
      <w:r w:rsidR="005273EE">
        <w:rPr>
          <w:rFonts w:ascii="Times New Roman" w:hAnsi="Times New Roman" w:cs="Times New Roman"/>
          <w:sz w:val="24"/>
          <w:szCs w:val="24"/>
        </w:rPr>
        <w:t>17</w:t>
      </w:r>
      <w:r w:rsidR="005273EE" w:rsidRPr="008B4E20">
        <w:rPr>
          <w:rFonts w:ascii="Times New Roman" w:hAnsi="Times New Roman" w:cs="Times New Roman"/>
          <w:sz w:val="24"/>
          <w:szCs w:val="24"/>
          <w:vertAlign w:val="superscript"/>
        </w:rPr>
        <w:t>th</w:t>
      </w:r>
      <w:r w:rsidR="005273EE">
        <w:rPr>
          <w:rFonts w:ascii="Times New Roman" w:hAnsi="Times New Roman" w:cs="Times New Roman"/>
          <w:sz w:val="24"/>
          <w:szCs w:val="24"/>
        </w:rPr>
        <w:t xml:space="preserve"> </w:t>
      </w:r>
      <w:r>
        <w:rPr>
          <w:rFonts w:ascii="Times New Roman" w:hAnsi="Times New Roman" w:cs="Times New Roman"/>
          <w:sz w:val="24"/>
          <w:szCs w:val="24"/>
        </w:rPr>
        <w:t>March.</w:t>
      </w:r>
    </w:p>
    <w:p w14:paraId="502303D2" w14:textId="77777777" w:rsidR="007F32A3" w:rsidRPr="00B609DE" w:rsidRDefault="007F32A3" w:rsidP="007F32A3">
      <w:pPr>
        <w:jc w:val="center"/>
        <w:rPr>
          <w:rFonts w:ascii="Times New Roman" w:hAnsi="Times New Roman" w:cs="Times New Roman"/>
          <w:b/>
          <w:sz w:val="24"/>
          <w:szCs w:val="24"/>
        </w:rPr>
      </w:pPr>
      <w:r w:rsidRPr="00B609DE">
        <w:rPr>
          <w:rFonts w:ascii="Times New Roman" w:hAnsi="Times New Roman" w:cs="Times New Roman"/>
          <w:b/>
          <w:sz w:val="24"/>
          <w:szCs w:val="24"/>
        </w:rPr>
        <w:t xml:space="preserve">Figure 13.1 </w:t>
      </w:r>
      <w:proofErr w:type="gramStart"/>
      <w:r w:rsidRPr="00B609DE">
        <w:rPr>
          <w:rFonts w:ascii="Times New Roman" w:hAnsi="Times New Roman" w:cs="Times New Roman"/>
          <w:b/>
          <w:sz w:val="24"/>
          <w:szCs w:val="24"/>
        </w:rPr>
        <w:t>The</w:t>
      </w:r>
      <w:proofErr w:type="gramEnd"/>
      <w:r w:rsidRPr="00B609DE">
        <w:rPr>
          <w:rFonts w:ascii="Times New Roman" w:hAnsi="Times New Roman" w:cs="Times New Roman"/>
          <w:b/>
          <w:sz w:val="24"/>
          <w:szCs w:val="24"/>
        </w:rPr>
        <w:t xml:space="preserve"> work-related anxiety of teachers throughout the 2019/2020 academic year</w:t>
      </w:r>
    </w:p>
    <w:p w14:paraId="6A5661DC" w14:textId="77777777" w:rsidR="007F32A3" w:rsidRPr="00F56479" w:rsidRDefault="007F32A3" w:rsidP="007F32A3">
      <w:pPr>
        <w:jc w:val="both"/>
        <w:rPr>
          <w:rFonts w:ascii="Times New Roman" w:hAnsi="Times New Roman" w:cs="Times New Roman"/>
          <w:sz w:val="24"/>
          <w:szCs w:val="24"/>
        </w:rPr>
      </w:pPr>
      <w:r w:rsidRPr="00F56479">
        <w:rPr>
          <w:rFonts w:ascii="Times New Roman" w:hAnsi="Times New Roman" w:cs="Times New Roman"/>
          <w:noProof/>
          <w:sz w:val="24"/>
          <w:szCs w:val="24"/>
          <w:lang w:eastAsia="en-GB"/>
        </w:rPr>
        <w:drawing>
          <wp:inline distT="0" distB="0" distL="0" distR="0" wp14:anchorId="6B954F0E" wp14:editId="5A06AB05">
            <wp:extent cx="6289053" cy="41973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297540" cy="4203014"/>
                    </a:xfrm>
                    <a:prstGeom prst="rect">
                      <a:avLst/>
                    </a:prstGeom>
                    <a:noFill/>
                    <a:ln>
                      <a:noFill/>
                    </a:ln>
                  </pic:spPr>
                </pic:pic>
              </a:graphicData>
            </a:graphic>
          </wp:inline>
        </w:drawing>
      </w:r>
    </w:p>
    <w:p w14:paraId="0EF51535" w14:textId="725AAA7B" w:rsidR="007F32A3" w:rsidRPr="00875EB6" w:rsidRDefault="00875EB6" w:rsidP="008B4E20">
      <w:pPr>
        <w:spacing w:after="240" w:line="257" w:lineRule="auto"/>
        <w:jc w:val="both"/>
        <w:rPr>
          <w:rFonts w:ascii="Times New Roman" w:hAnsi="Times New Roman" w:cs="Times New Roman"/>
          <w:sz w:val="20"/>
          <w:szCs w:val="20"/>
        </w:rPr>
      </w:pPr>
      <w:r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Pr="00875EB6">
        <w:rPr>
          <w:rFonts w:ascii="Times New Roman" w:hAnsi="Times New Roman" w:cs="Times New Roman"/>
          <w:sz w:val="20"/>
          <w:szCs w:val="20"/>
        </w:rPr>
        <w:t>Tapp</w:t>
      </w:r>
      <w:proofErr w:type="spellEnd"/>
      <w:r w:rsidRPr="00875EB6">
        <w:rPr>
          <w:rFonts w:ascii="Times New Roman" w:hAnsi="Times New Roman" w:cs="Times New Roman"/>
          <w:sz w:val="20"/>
          <w:szCs w:val="20"/>
        </w:rPr>
        <w:t xml:space="preserve"> data.</w:t>
      </w:r>
    </w:p>
    <w:p w14:paraId="6B3B5563" w14:textId="2565A24C" w:rsidR="007F32A3" w:rsidRDefault="007F32A3" w:rsidP="007F32A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Interestingly, this initial jump in work-related anxiety amongst teachers in March was actually quite short-lived. By </w:t>
      </w:r>
      <w:r w:rsidR="005273EE">
        <w:rPr>
          <w:rFonts w:ascii="Times New Roman" w:hAnsi="Times New Roman" w:cs="Times New Roman"/>
          <w:sz w:val="24"/>
          <w:szCs w:val="24"/>
        </w:rPr>
        <w:t>24</w:t>
      </w:r>
      <w:r w:rsidR="005273EE" w:rsidRPr="008B4E20">
        <w:rPr>
          <w:rFonts w:ascii="Times New Roman" w:hAnsi="Times New Roman" w:cs="Times New Roman"/>
          <w:sz w:val="24"/>
          <w:szCs w:val="24"/>
          <w:vertAlign w:val="superscript"/>
        </w:rPr>
        <w:t>th</w:t>
      </w:r>
      <w:r w:rsidR="005273EE">
        <w:rPr>
          <w:rFonts w:ascii="Times New Roman" w:hAnsi="Times New Roman" w:cs="Times New Roman"/>
          <w:sz w:val="24"/>
          <w:szCs w:val="24"/>
        </w:rPr>
        <w:t xml:space="preserve"> </w:t>
      </w:r>
      <w:r>
        <w:rPr>
          <w:rFonts w:ascii="Times New Roman" w:hAnsi="Times New Roman" w:cs="Times New Roman"/>
          <w:sz w:val="24"/>
          <w:szCs w:val="24"/>
        </w:rPr>
        <w:t>March, the work-related anxiety of state</w:t>
      </w:r>
      <w:r w:rsidR="00094768">
        <w:rPr>
          <w:rFonts w:ascii="Times New Roman" w:hAnsi="Times New Roman" w:cs="Times New Roman"/>
          <w:sz w:val="24"/>
          <w:szCs w:val="24"/>
        </w:rPr>
        <w:t xml:space="preserve"> </w:t>
      </w:r>
      <w:r>
        <w:rPr>
          <w:rFonts w:ascii="Times New Roman" w:hAnsi="Times New Roman" w:cs="Times New Roman"/>
          <w:sz w:val="24"/>
          <w:szCs w:val="24"/>
        </w:rPr>
        <w:t>schoolteachers had returned to its pre-</w:t>
      </w:r>
      <w:proofErr w:type="spellStart"/>
      <w:r w:rsidR="00817BCE">
        <w:rPr>
          <w:rFonts w:ascii="Times New Roman" w:hAnsi="Times New Roman" w:cs="Times New Roman"/>
          <w:sz w:val="24"/>
          <w:szCs w:val="24"/>
        </w:rPr>
        <w:t>Covid</w:t>
      </w:r>
      <w:proofErr w:type="spellEnd"/>
      <w:r>
        <w:rPr>
          <w:rFonts w:ascii="Times New Roman" w:hAnsi="Times New Roman" w:cs="Times New Roman"/>
          <w:sz w:val="24"/>
          <w:szCs w:val="24"/>
        </w:rPr>
        <w:t xml:space="preserve"> level and, throughout April, was actually slightly below it.</w:t>
      </w:r>
    </w:p>
    <w:p w14:paraId="5E47AD93" w14:textId="140AFD98" w:rsidR="007F32A3" w:rsidRDefault="007F32A3" w:rsidP="007F32A3">
      <w:pPr>
        <w:spacing w:line="360" w:lineRule="auto"/>
        <w:jc w:val="both"/>
        <w:rPr>
          <w:rFonts w:ascii="Times New Roman" w:hAnsi="Times New Roman" w:cs="Times New Roman"/>
          <w:sz w:val="24"/>
          <w:szCs w:val="24"/>
        </w:rPr>
      </w:pPr>
      <w:r>
        <w:rPr>
          <w:rFonts w:ascii="Times New Roman" w:hAnsi="Times New Roman" w:cs="Times New Roman"/>
          <w:sz w:val="24"/>
          <w:szCs w:val="24"/>
        </w:rPr>
        <w:t>Figure 13.1 also illustrates clearly how there was a ‘second</w:t>
      </w:r>
      <w:r w:rsidR="004B14FB">
        <w:rPr>
          <w:rFonts w:ascii="Times New Roman" w:hAnsi="Times New Roman" w:cs="Times New Roman"/>
          <w:sz w:val="24"/>
          <w:szCs w:val="24"/>
        </w:rPr>
        <w:t xml:space="preserve"> </w:t>
      </w:r>
      <w:r>
        <w:rPr>
          <w:rFonts w:ascii="Times New Roman" w:hAnsi="Times New Roman" w:cs="Times New Roman"/>
          <w:sz w:val="24"/>
          <w:szCs w:val="24"/>
        </w:rPr>
        <w:t xml:space="preserve">wave’ of work-related anxiety – that particularly affected </w:t>
      </w:r>
      <w:proofErr w:type="spellStart"/>
      <w:r>
        <w:rPr>
          <w:rFonts w:ascii="Times New Roman" w:hAnsi="Times New Roman" w:cs="Times New Roman"/>
          <w:sz w:val="24"/>
          <w:szCs w:val="24"/>
        </w:rPr>
        <w:t>headteachers</w:t>
      </w:r>
      <w:proofErr w:type="spellEnd"/>
      <w:r>
        <w:rPr>
          <w:rFonts w:ascii="Times New Roman" w:hAnsi="Times New Roman" w:cs="Times New Roman"/>
          <w:sz w:val="24"/>
          <w:szCs w:val="24"/>
        </w:rPr>
        <w:t xml:space="preserve"> – in mid-June. This coincided with when the government announced that some primary schools would be reopening to Reception, Year 1 and Year 6 pupils. For instance, the percentage of </w:t>
      </w:r>
      <w:proofErr w:type="spellStart"/>
      <w:r>
        <w:rPr>
          <w:rFonts w:ascii="Times New Roman" w:hAnsi="Times New Roman" w:cs="Times New Roman"/>
          <w:sz w:val="24"/>
          <w:szCs w:val="24"/>
        </w:rPr>
        <w:t>headteachers</w:t>
      </w:r>
      <w:proofErr w:type="spellEnd"/>
      <w:r>
        <w:rPr>
          <w:rFonts w:ascii="Times New Roman" w:hAnsi="Times New Roman" w:cs="Times New Roman"/>
          <w:sz w:val="24"/>
          <w:szCs w:val="24"/>
        </w:rPr>
        <w:t xml:space="preserve"> with very</w:t>
      </w:r>
      <w:r w:rsidR="004B14FB">
        <w:rPr>
          <w:rFonts w:ascii="Times New Roman" w:hAnsi="Times New Roman" w:cs="Times New Roman"/>
          <w:sz w:val="24"/>
          <w:szCs w:val="24"/>
        </w:rPr>
        <w:t xml:space="preserve"> </w:t>
      </w:r>
      <w:r>
        <w:rPr>
          <w:rFonts w:ascii="Times New Roman" w:hAnsi="Times New Roman" w:cs="Times New Roman"/>
          <w:sz w:val="24"/>
          <w:szCs w:val="24"/>
        </w:rPr>
        <w:t>high levels of work-related anxiety shot up from 15</w:t>
      </w:r>
      <w:r w:rsidR="004B14FB">
        <w:rPr>
          <w:rFonts w:ascii="Times New Roman" w:hAnsi="Times New Roman" w:cs="Times New Roman"/>
          <w:sz w:val="24"/>
          <w:szCs w:val="24"/>
        </w:rPr>
        <w:t>%</w:t>
      </w:r>
      <w:r>
        <w:rPr>
          <w:rFonts w:ascii="Times New Roman" w:hAnsi="Times New Roman" w:cs="Times New Roman"/>
          <w:sz w:val="24"/>
          <w:szCs w:val="24"/>
        </w:rPr>
        <w:t xml:space="preserve"> on May 5</w:t>
      </w:r>
      <w:r w:rsidRPr="00B609DE">
        <w:rPr>
          <w:rFonts w:ascii="Times New Roman" w:hAnsi="Times New Roman" w:cs="Times New Roman"/>
          <w:sz w:val="24"/>
          <w:szCs w:val="24"/>
          <w:vertAlign w:val="superscript"/>
        </w:rPr>
        <w:t>th</w:t>
      </w:r>
      <w:r>
        <w:rPr>
          <w:rFonts w:ascii="Times New Roman" w:hAnsi="Times New Roman" w:cs="Times New Roman"/>
          <w:sz w:val="24"/>
          <w:szCs w:val="24"/>
        </w:rPr>
        <w:t xml:space="preserve"> to 40</w:t>
      </w:r>
      <w:r w:rsidR="004B14FB">
        <w:rPr>
          <w:rFonts w:ascii="Times New Roman" w:hAnsi="Times New Roman" w:cs="Times New Roman"/>
          <w:sz w:val="24"/>
          <w:szCs w:val="24"/>
        </w:rPr>
        <w:t>%</w:t>
      </w:r>
      <w:r>
        <w:rPr>
          <w:rFonts w:ascii="Times New Roman" w:hAnsi="Times New Roman" w:cs="Times New Roman"/>
          <w:sz w:val="24"/>
          <w:szCs w:val="24"/>
        </w:rPr>
        <w:t xml:space="preserve"> a week later. Although a similar uptick can be observed around these dates for state</w:t>
      </w:r>
      <w:r w:rsidR="00094768">
        <w:rPr>
          <w:rFonts w:ascii="Times New Roman" w:hAnsi="Times New Roman" w:cs="Times New Roman"/>
          <w:sz w:val="24"/>
          <w:szCs w:val="24"/>
        </w:rPr>
        <w:t xml:space="preserve"> </w:t>
      </w:r>
      <w:r>
        <w:rPr>
          <w:rFonts w:ascii="Times New Roman" w:hAnsi="Times New Roman" w:cs="Times New Roman"/>
          <w:sz w:val="24"/>
          <w:szCs w:val="24"/>
        </w:rPr>
        <w:t xml:space="preserve">schoolteachers, it is much smaller and not notably above pre-pandemic levels. </w:t>
      </w:r>
    </w:p>
    <w:p w14:paraId="7EDACEEB" w14:textId="06F7C981" w:rsidR="007F32A3" w:rsidRDefault="007F32A3" w:rsidP="007F32A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Finally, what happened as the new (2020/21) academic year </w:t>
      </w:r>
      <w:r w:rsidR="00085DFD">
        <w:rPr>
          <w:rFonts w:ascii="Times New Roman" w:hAnsi="Times New Roman" w:cs="Times New Roman"/>
          <w:sz w:val="24"/>
          <w:szCs w:val="24"/>
        </w:rPr>
        <w:t>began</w:t>
      </w:r>
      <w:r>
        <w:rPr>
          <w:rFonts w:ascii="Times New Roman" w:hAnsi="Times New Roman" w:cs="Times New Roman"/>
          <w:sz w:val="24"/>
          <w:szCs w:val="24"/>
        </w:rPr>
        <w:t>? While state and private schoolteachers had enjoyed a period between June and August where fewer were feeling very high</w:t>
      </w:r>
      <w:r w:rsidR="00766055">
        <w:rPr>
          <w:rFonts w:ascii="Times New Roman" w:hAnsi="Times New Roman" w:cs="Times New Roman"/>
          <w:sz w:val="24"/>
          <w:szCs w:val="24"/>
        </w:rPr>
        <w:t xml:space="preserve"> </w:t>
      </w:r>
      <w:r>
        <w:rPr>
          <w:rFonts w:ascii="Times New Roman" w:hAnsi="Times New Roman" w:cs="Times New Roman"/>
          <w:sz w:val="24"/>
          <w:szCs w:val="24"/>
        </w:rPr>
        <w:t>levels of work-related stress, this shot</w:t>
      </w:r>
      <w:r w:rsidR="00085DFD">
        <w:rPr>
          <w:rFonts w:ascii="Times New Roman" w:hAnsi="Times New Roman" w:cs="Times New Roman"/>
          <w:sz w:val="24"/>
          <w:szCs w:val="24"/>
        </w:rPr>
        <w:t xml:space="preserve"> </w:t>
      </w:r>
      <w:r>
        <w:rPr>
          <w:rFonts w:ascii="Times New Roman" w:hAnsi="Times New Roman" w:cs="Times New Roman"/>
          <w:sz w:val="24"/>
          <w:szCs w:val="24"/>
        </w:rPr>
        <w:t xml:space="preserve">up (above trend) come September. Specifically, pre-pandemic around </w:t>
      </w:r>
      <w:r w:rsidR="00085DFD">
        <w:rPr>
          <w:rFonts w:ascii="Times New Roman" w:hAnsi="Times New Roman" w:cs="Times New Roman"/>
          <w:sz w:val="24"/>
          <w:szCs w:val="24"/>
        </w:rPr>
        <w:t>7%</w:t>
      </w:r>
      <w:r>
        <w:rPr>
          <w:rFonts w:ascii="Times New Roman" w:hAnsi="Times New Roman" w:cs="Times New Roman"/>
          <w:sz w:val="24"/>
          <w:szCs w:val="24"/>
        </w:rPr>
        <w:t xml:space="preserve"> of private schoolteachers and 13</w:t>
      </w:r>
      <w:r w:rsidR="00085DFD">
        <w:rPr>
          <w:rFonts w:ascii="Times New Roman" w:hAnsi="Times New Roman" w:cs="Times New Roman"/>
          <w:sz w:val="24"/>
          <w:szCs w:val="24"/>
        </w:rPr>
        <w:t>%</w:t>
      </w:r>
      <w:r>
        <w:rPr>
          <w:rFonts w:ascii="Times New Roman" w:hAnsi="Times New Roman" w:cs="Times New Roman"/>
          <w:sz w:val="24"/>
          <w:szCs w:val="24"/>
        </w:rPr>
        <w:t xml:space="preserve"> of state schoolteachers had very high levels of work-related anxiety. During June to August, the analogous figures were around </w:t>
      </w:r>
      <w:r w:rsidR="00085DFD">
        <w:rPr>
          <w:rFonts w:ascii="Times New Roman" w:hAnsi="Times New Roman" w:cs="Times New Roman"/>
          <w:sz w:val="24"/>
          <w:szCs w:val="24"/>
        </w:rPr>
        <w:t>3%</w:t>
      </w:r>
      <w:r>
        <w:rPr>
          <w:rFonts w:ascii="Times New Roman" w:hAnsi="Times New Roman" w:cs="Times New Roman"/>
          <w:sz w:val="24"/>
          <w:szCs w:val="24"/>
        </w:rPr>
        <w:t xml:space="preserve"> (private) and </w:t>
      </w:r>
      <w:r w:rsidR="00085DFD">
        <w:rPr>
          <w:rFonts w:ascii="Times New Roman" w:hAnsi="Times New Roman" w:cs="Times New Roman"/>
          <w:sz w:val="24"/>
          <w:szCs w:val="24"/>
        </w:rPr>
        <w:t>6%</w:t>
      </w:r>
      <w:r>
        <w:rPr>
          <w:rFonts w:ascii="Times New Roman" w:hAnsi="Times New Roman" w:cs="Times New Roman"/>
          <w:sz w:val="24"/>
          <w:szCs w:val="24"/>
        </w:rPr>
        <w:t xml:space="preserve"> (state) respectively. Once September hit, however, a big increase occurred (see the right-hand side of Figure 13.1). Now 17</w:t>
      </w:r>
      <w:r w:rsidR="00085DFD">
        <w:rPr>
          <w:rFonts w:ascii="Times New Roman" w:hAnsi="Times New Roman" w:cs="Times New Roman"/>
          <w:sz w:val="24"/>
          <w:szCs w:val="24"/>
        </w:rPr>
        <w:t>%</w:t>
      </w:r>
      <w:r>
        <w:rPr>
          <w:rFonts w:ascii="Times New Roman" w:hAnsi="Times New Roman" w:cs="Times New Roman"/>
          <w:sz w:val="24"/>
          <w:szCs w:val="24"/>
        </w:rPr>
        <w:t xml:space="preserve"> of private schoolteachers (a percentage well above the pre-</w:t>
      </w:r>
      <w:proofErr w:type="spellStart"/>
      <w:r w:rsidR="00817BCE">
        <w:rPr>
          <w:rFonts w:ascii="Times New Roman" w:hAnsi="Times New Roman" w:cs="Times New Roman"/>
          <w:sz w:val="24"/>
          <w:szCs w:val="24"/>
        </w:rPr>
        <w:t>Covid</w:t>
      </w:r>
      <w:proofErr w:type="spellEnd"/>
      <w:r>
        <w:rPr>
          <w:rFonts w:ascii="Times New Roman" w:hAnsi="Times New Roman" w:cs="Times New Roman"/>
          <w:sz w:val="24"/>
          <w:szCs w:val="24"/>
        </w:rPr>
        <w:t xml:space="preserve"> trend level) and 19</w:t>
      </w:r>
      <w:r w:rsidR="00085DFD">
        <w:rPr>
          <w:rFonts w:ascii="Times New Roman" w:hAnsi="Times New Roman" w:cs="Times New Roman"/>
          <w:sz w:val="24"/>
          <w:szCs w:val="24"/>
        </w:rPr>
        <w:t>%</w:t>
      </w:r>
      <w:r>
        <w:rPr>
          <w:rFonts w:ascii="Times New Roman" w:hAnsi="Times New Roman" w:cs="Times New Roman"/>
          <w:sz w:val="24"/>
          <w:szCs w:val="24"/>
        </w:rPr>
        <w:t xml:space="preserve"> of state teachers were highly</w:t>
      </w:r>
      <w:r w:rsidR="00085DFD">
        <w:rPr>
          <w:rFonts w:ascii="Times New Roman" w:hAnsi="Times New Roman" w:cs="Times New Roman"/>
          <w:sz w:val="24"/>
          <w:szCs w:val="24"/>
        </w:rPr>
        <w:t xml:space="preserve"> </w:t>
      </w:r>
      <w:r>
        <w:rPr>
          <w:rFonts w:ascii="Times New Roman" w:hAnsi="Times New Roman" w:cs="Times New Roman"/>
          <w:sz w:val="24"/>
          <w:szCs w:val="24"/>
        </w:rPr>
        <w:t>anxious about work.</w:t>
      </w:r>
    </w:p>
    <w:p w14:paraId="2B410A81" w14:textId="6AFA1A86" w:rsidR="007F32A3" w:rsidRPr="00F56479" w:rsidRDefault="007F32A3" w:rsidP="007F32A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One of the standout features of Figure 13.1 is how </w:t>
      </w:r>
      <w:proofErr w:type="spellStart"/>
      <w:r>
        <w:rPr>
          <w:rFonts w:ascii="Times New Roman" w:hAnsi="Times New Roman" w:cs="Times New Roman"/>
          <w:sz w:val="24"/>
          <w:szCs w:val="24"/>
        </w:rPr>
        <w:t>h</w:t>
      </w:r>
      <w:r w:rsidRPr="00F56479">
        <w:rPr>
          <w:rFonts w:ascii="Times New Roman" w:hAnsi="Times New Roman" w:cs="Times New Roman"/>
          <w:sz w:val="24"/>
          <w:szCs w:val="24"/>
        </w:rPr>
        <w:t>eadteachers</w:t>
      </w:r>
      <w:proofErr w:type="spellEnd"/>
      <w:r w:rsidRPr="00F56479">
        <w:rPr>
          <w:rFonts w:ascii="Times New Roman" w:hAnsi="Times New Roman" w:cs="Times New Roman"/>
          <w:sz w:val="24"/>
          <w:szCs w:val="24"/>
        </w:rPr>
        <w:t xml:space="preserve"> had a very different experience of work thr</w:t>
      </w:r>
      <w:r>
        <w:rPr>
          <w:rFonts w:ascii="Times New Roman" w:hAnsi="Times New Roman" w:cs="Times New Roman"/>
          <w:sz w:val="24"/>
          <w:szCs w:val="24"/>
        </w:rPr>
        <w:t>oughout lockdown than teachers – with much higher (and more sharply increasing) anxiety levels. This was likely due to having to manage</w:t>
      </w:r>
      <w:r w:rsidRPr="00F56479">
        <w:rPr>
          <w:rFonts w:ascii="Times New Roman" w:hAnsi="Times New Roman" w:cs="Times New Roman"/>
          <w:sz w:val="24"/>
          <w:szCs w:val="24"/>
        </w:rPr>
        <w:t xml:space="preserve"> a number of novel complex administrative and pastoral tasks. Their duty of care towards their staff and students, especially the vulnerable ones, </w:t>
      </w:r>
      <w:r>
        <w:rPr>
          <w:rFonts w:ascii="Times New Roman" w:hAnsi="Times New Roman" w:cs="Times New Roman"/>
          <w:sz w:val="24"/>
          <w:szCs w:val="24"/>
        </w:rPr>
        <w:t xml:space="preserve">likely </w:t>
      </w:r>
      <w:r w:rsidRPr="00F56479">
        <w:rPr>
          <w:rFonts w:ascii="Times New Roman" w:hAnsi="Times New Roman" w:cs="Times New Roman"/>
          <w:sz w:val="24"/>
          <w:szCs w:val="24"/>
        </w:rPr>
        <w:t xml:space="preserve">became hard to manage. It </w:t>
      </w:r>
      <w:r>
        <w:rPr>
          <w:rFonts w:ascii="Times New Roman" w:hAnsi="Times New Roman" w:cs="Times New Roman"/>
          <w:sz w:val="24"/>
          <w:szCs w:val="24"/>
        </w:rPr>
        <w:t>is also</w:t>
      </w:r>
      <w:r w:rsidRPr="00F56479">
        <w:rPr>
          <w:rFonts w:ascii="Times New Roman" w:hAnsi="Times New Roman" w:cs="Times New Roman"/>
          <w:sz w:val="24"/>
          <w:szCs w:val="24"/>
        </w:rPr>
        <w:t xml:space="preserve"> noticeable </w:t>
      </w:r>
      <w:r>
        <w:rPr>
          <w:rFonts w:ascii="Times New Roman" w:hAnsi="Times New Roman" w:cs="Times New Roman"/>
          <w:sz w:val="24"/>
          <w:szCs w:val="24"/>
        </w:rPr>
        <w:t>how</w:t>
      </w:r>
      <w:r w:rsidRPr="00F56479">
        <w:rPr>
          <w:rFonts w:ascii="Times New Roman" w:hAnsi="Times New Roman" w:cs="Times New Roman"/>
          <w:sz w:val="24"/>
          <w:szCs w:val="24"/>
        </w:rPr>
        <w:t xml:space="preserve"> their anxiety often rose in response to rumours rather than policy changes: for example, it rose on July 21</w:t>
      </w:r>
      <w:r w:rsidRPr="00F56479">
        <w:rPr>
          <w:rFonts w:ascii="Times New Roman" w:hAnsi="Times New Roman" w:cs="Times New Roman"/>
          <w:sz w:val="24"/>
          <w:szCs w:val="24"/>
          <w:vertAlign w:val="superscript"/>
        </w:rPr>
        <w:t>st</w:t>
      </w:r>
      <w:r w:rsidRPr="00F56479">
        <w:rPr>
          <w:rFonts w:ascii="Times New Roman" w:hAnsi="Times New Roman" w:cs="Times New Roman"/>
          <w:sz w:val="24"/>
          <w:szCs w:val="24"/>
        </w:rPr>
        <w:t xml:space="preserve"> in response to the media leaking the plans for September </w:t>
      </w:r>
      <w:proofErr w:type="spellStart"/>
      <w:r w:rsidRPr="00F56479">
        <w:rPr>
          <w:rFonts w:ascii="Times New Roman" w:hAnsi="Times New Roman" w:cs="Times New Roman"/>
          <w:sz w:val="24"/>
          <w:szCs w:val="24"/>
        </w:rPr>
        <w:t>reopenings</w:t>
      </w:r>
      <w:proofErr w:type="spellEnd"/>
      <w:r w:rsidRPr="00F56479">
        <w:rPr>
          <w:rFonts w:ascii="Times New Roman" w:hAnsi="Times New Roman" w:cs="Times New Roman"/>
          <w:sz w:val="24"/>
          <w:szCs w:val="24"/>
        </w:rPr>
        <w:t>, which were then announced towards the end of the week.</w:t>
      </w:r>
    </w:p>
    <w:p w14:paraId="170BDAFD" w14:textId="7B581872" w:rsidR="00373355" w:rsidRDefault="007F32A3" w:rsidP="007F32A3">
      <w:pPr>
        <w:spacing w:line="360" w:lineRule="auto"/>
        <w:jc w:val="both"/>
        <w:rPr>
          <w:rFonts w:ascii="Times New Roman" w:hAnsi="Times New Roman" w:cs="Times New Roman"/>
          <w:sz w:val="24"/>
          <w:szCs w:val="24"/>
        </w:rPr>
      </w:pPr>
      <w:r w:rsidRPr="00F56479">
        <w:rPr>
          <w:rFonts w:ascii="Times New Roman" w:hAnsi="Times New Roman" w:cs="Times New Roman"/>
          <w:sz w:val="24"/>
          <w:szCs w:val="24"/>
        </w:rPr>
        <w:t>This</w:t>
      </w:r>
      <w:r>
        <w:rPr>
          <w:rFonts w:ascii="Times New Roman" w:hAnsi="Times New Roman" w:cs="Times New Roman"/>
          <w:sz w:val="24"/>
          <w:szCs w:val="24"/>
        </w:rPr>
        <w:t xml:space="preserve"> extended period of stress for </w:t>
      </w:r>
      <w:proofErr w:type="spellStart"/>
      <w:r>
        <w:rPr>
          <w:rFonts w:ascii="Times New Roman" w:hAnsi="Times New Roman" w:cs="Times New Roman"/>
          <w:sz w:val="24"/>
          <w:szCs w:val="24"/>
        </w:rPr>
        <w:t>h</w:t>
      </w:r>
      <w:r w:rsidRPr="00F56479">
        <w:rPr>
          <w:rFonts w:ascii="Times New Roman" w:hAnsi="Times New Roman" w:cs="Times New Roman"/>
          <w:sz w:val="24"/>
          <w:szCs w:val="24"/>
        </w:rPr>
        <w:t>eadteachers</w:t>
      </w:r>
      <w:proofErr w:type="spellEnd"/>
      <w:r w:rsidRPr="00F56479">
        <w:rPr>
          <w:rFonts w:ascii="Times New Roman" w:hAnsi="Times New Roman" w:cs="Times New Roman"/>
          <w:sz w:val="24"/>
          <w:szCs w:val="24"/>
        </w:rPr>
        <w:t>, which has extended throughout school holidays, may have long-term consequences for retention.</w:t>
      </w:r>
      <w:r>
        <w:rPr>
          <w:rFonts w:ascii="Times New Roman" w:hAnsi="Times New Roman" w:cs="Times New Roman"/>
          <w:sz w:val="24"/>
          <w:szCs w:val="24"/>
        </w:rPr>
        <w:t xml:space="preserve"> This is illustrated in Figure 13.2, where results are presented for a question asked to the Teacher</w:t>
      </w:r>
      <w:r w:rsidR="00257815">
        <w:rPr>
          <w:rFonts w:ascii="Times New Roman" w:hAnsi="Times New Roman" w:cs="Times New Roman"/>
          <w:sz w:val="24"/>
          <w:szCs w:val="24"/>
        </w:rPr>
        <w:t xml:space="preserve"> </w:t>
      </w:r>
      <w:proofErr w:type="spellStart"/>
      <w:r>
        <w:rPr>
          <w:rFonts w:ascii="Times New Roman" w:hAnsi="Times New Roman" w:cs="Times New Roman"/>
          <w:sz w:val="24"/>
          <w:szCs w:val="24"/>
        </w:rPr>
        <w:t>Tapp</w:t>
      </w:r>
      <w:proofErr w:type="spellEnd"/>
      <w:r>
        <w:rPr>
          <w:rFonts w:ascii="Times New Roman" w:hAnsi="Times New Roman" w:cs="Times New Roman"/>
          <w:sz w:val="24"/>
          <w:szCs w:val="24"/>
        </w:rPr>
        <w:t xml:space="preserve"> panel about their plans to reduce hours or leave the profession in the future (asked on 24</w:t>
      </w:r>
      <w:r w:rsidRPr="00271A49">
        <w:rPr>
          <w:rFonts w:ascii="Times New Roman" w:hAnsi="Times New Roman" w:cs="Times New Roman"/>
          <w:sz w:val="24"/>
          <w:szCs w:val="24"/>
          <w:vertAlign w:val="superscript"/>
        </w:rPr>
        <w:t>th</w:t>
      </w:r>
      <w:r>
        <w:rPr>
          <w:rFonts w:ascii="Times New Roman" w:hAnsi="Times New Roman" w:cs="Times New Roman"/>
          <w:sz w:val="24"/>
          <w:szCs w:val="24"/>
        </w:rPr>
        <w:t xml:space="preserve"> June 2020).</w:t>
      </w:r>
      <w:r w:rsidRPr="00F56479">
        <w:rPr>
          <w:rFonts w:ascii="Times New Roman" w:hAnsi="Times New Roman" w:cs="Times New Roman"/>
          <w:sz w:val="24"/>
          <w:szCs w:val="24"/>
        </w:rPr>
        <w:t xml:space="preserve"> </w:t>
      </w:r>
      <w:r>
        <w:rPr>
          <w:rFonts w:ascii="Times New Roman" w:hAnsi="Times New Roman" w:cs="Times New Roman"/>
          <w:sz w:val="24"/>
          <w:szCs w:val="24"/>
        </w:rPr>
        <w:t>At this point,</w:t>
      </w:r>
      <w:r w:rsidRPr="00F56479">
        <w:rPr>
          <w:rFonts w:ascii="Times New Roman" w:hAnsi="Times New Roman" w:cs="Times New Roman"/>
          <w:sz w:val="24"/>
          <w:szCs w:val="24"/>
        </w:rPr>
        <w:t xml:space="preserve"> one</w:t>
      </w:r>
      <w:r w:rsidR="001F36F8">
        <w:rPr>
          <w:rFonts w:ascii="Times New Roman" w:hAnsi="Times New Roman" w:cs="Times New Roman"/>
          <w:sz w:val="24"/>
          <w:szCs w:val="24"/>
        </w:rPr>
        <w:t xml:space="preserve"> </w:t>
      </w:r>
      <w:r w:rsidRPr="00F56479">
        <w:rPr>
          <w:rFonts w:ascii="Times New Roman" w:hAnsi="Times New Roman" w:cs="Times New Roman"/>
          <w:sz w:val="24"/>
          <w:szCs w:val="24"/>
        </w:rPr>
        <w:t>in</w:t>
      </w:r>
      <w:r w:rsidR="001F36F8">
        <w:rPr>
          <w:rFonts w:ascii="Times New Roman" w:hAnsi="Times New Roman" w:cs="Times New Roman"/>
          <w:sz w:val="24"/>
          <w:szCs w:val="24"/>
        </w:rPr>
        <w:t xml:space="preserve"> </w:t>
      </w:r>
      <w:r w:rsidRPr="00F56479">
        <w:rPr>
          <w:rFonts w:ascii="Times New Roman" w:hAnsi="Times New Roman" w:cs="Times New Roman"/>
          <w:sz w:val="24"/>
          <w:szCs w:val="24"/>
        </w:rPr>
        <w:t xml:space="preserve">five </w:t>
      </w:r>
      <w:proofErr w:type="spellStart"/>
      <w:r>
        <w:rPr>
          <w:rFonts w:ascii="Times New Roman" w:hAnsi="Times New Roman" w:cs="Times New Roman"/>
          <w:sz w:val="24"/>
          <w:szCs w:val="24"/>
        </w:rPr>
        <w:t>headteachers</w:t>
      </w:r>
      <w:proofErr w:type="spellEnd"/>
      <w:r w:rsidRPr="00F56479">
        <w:rPr>
          <w:rFonts w:ascii="Times New Roman" w:hAnsi="Times New Roman" w:cs="Times New Roman"/>
          <w:sz w:val="24"/>
          <w:szCs w:val="24"/>
        </w:rPr>
        <w:t xml:space="preserve"> felt that the experience has made it more likely that they will seek to leave the profession</w:t>
      </w:r>
      <w:r>
        <w:rPr>
          <w:rFonts w:ascii="Times New Roman" w:hAnsi="Times New Roman" w:cs="Times New Roman"/>
          <w:sz w:val="24"/>
          <w:szCs w:val="24"/>
        </w:rPr>
        <w:t>, compared to around one</w:t>
      </w:r>
      <w:r w:rsidR="00373355">
        <w:rPr>
          <w:rFonts w:ascii="Times New Roman" w:hAnsi="Times New Roman" w:cs="Times New Roman"/>
          <w:sz w:val="24"/>
          <w:szCs w:val="24"/>
        </w:rPr>
        <w:t xml:space="preserve"> </w:t>
      </w:r>
      <w:r>
        <w:rPr>
          <w:rFonts w:ascii="Times New Roman" w:hAnsi="Times New Roman" w:cs="Times New Roman"/>
          <w:sz w:val="24"/>
          <w:szCs w:val="24"/>
        </w:rPr>
        <w:t>in</w:t>
      </w:r>
      <w:r w:rsidR="00373355">
        <w:rPr>
          <w:rFonts w:ascii="Times New Roman" w:hAnsi="Times New Roman" w:cs="Times New Roman"/>
          <w:sz w:val="24"/>
          <w:szCs w:val="24"/>
        </w:rPr>
        <w:t xml:space="preserve"> </w:t>
      </w:r>
      <w:r>
        <w:rPr>
          <w:rFonts w:ascii="Times New Roman" w:hAnsi="Times New Roman" w:cs="Times New Roman"/>
          <w:sz w:val="24"/>
          <w:szCs w:val="24"/>
        </w:rPr>
        <w:t>ten of middle leaders and class teachers</w:t>
      </w:r>
      <w:r w:rsidRPr="00F56479">
        <w:rPr>
          <w:rFonts w:ascii="Times New Roman" w:hAnsi="Times New Roman" w:cs="Times New Roman"/>
          <w:sz w:val="24"/>
          <w:szCs w:val="24"/>
        </w:rPr>
        <w:t>. Whilst moving professions is particular</w:t>
      </w:r>
      <w:r>
        <w:rPr>
          <w:rFonts w:ascii="Times New Roman" w:hAnsi="Times New Roman" w:cs="Times New Roman"/>
          <w:sz w:val="24"/>
          <w:szCs w:val="24"/>
        </w:rPr>
        <w:t>ly</w:t>
      </w:r>
      <w:r w:rsidRPr="00F56479">
        <w:rPr>
          <w:rFonts w:ascii="Times New Roman" w:hAnsi="Times New Roman" w:cs="Times New Roman"/>
          <w:sz w:val="24"/>
          <w:szCs w:val="24"/>
        </w:rPr>
        <w:t xml:space="preserve"> difficult during an economic downturn, </w:t>
      </w:r>
      <w:r>
        <w:rPr>
          <w:rFonts w:ascii="Times New Roman" w:hAnsi="Times New Roman" w:cs="Times New Roman"/>
          <w:sz w:val="24"/>
          <w:szCs w:val="24"/>
        </w:rPr>
        <w:t xml:space="preserve">this may mean that </w:t>
      </w:r>
      <w:proofErr w:type="spellStart"/>
      <w:r>
        <w:rPr>
          <w:rFonts w:ascii="Times New Roman" w:hAnsi="Times New Roman" w:cs="Times New Roman"/>
          <w:sz w:val="24"/>
          <w:szCs w:val="24"/>
        </w:rPr>
        <w:t>headteachers</w:t>
      </w:r>
      <w:proofErr w:type="spellEnd"/>
      <w:r w:rsidRPr="00F56479">
        <w:rPr>
          <w:rFonts w:ascii="Times New Roman" w:hAnsi="Times New Roman" w:cs="Times New Roman"/>
          <w:sz w:val="24"/>
          <w:szCs w:val="24"/>
        </w:rPr>
        <w:t xml:space="preserve"> who are closer to retirement might choose to leave</w:t>
      </w:r>
      <w:r>
        <w:rPr>
          <w:rFonts w:ascii="Times New Roman" w:hAnsi="Times New Roman" w:cs="Times New Roman"/>
          <w:sz w:val="24"/>
          <w:szCs w:val="24"/>
        </w:rPr>
        <w:t xml:space="preserve"> their jobs</w:t>
      </w:r>
      <w:r w:rsidRPr="00F56479">
        <w:rPr>
          <w:rFonts w:ascii="Times New Roman" w:hAnsi="Times New Roman" w:cs="Times New Roman"/>
          <w:sz w:val="24"/>
          <w:szCs w:val="24"/>
        </w:rPr>
        <w:t xml:space="preserve"> earlier than</w:t>
      </w:r>
      <w:r>
        <w:rPr>
          <w:rFonts w:ascii="Times New Roman" w:hAnsi="Times New Roman" w:cs="Times New Roman"/>
          <w:sz w:val="24"/>
          <w:szCs w:val="24"/>
        </w:rPr>
        <w:t xml:space="preserve"> previously</w:t>
      </w:r>
      <w:r w:rsidRPr="00F56479">
        <w:rPr>
          <w:rFonts w:ascii="Times New Roman" w:hAnsi="Times New Roman" w:cs="Times New Roman"/>
          <w:sz w:val="24"/>
          <w:szCs w:val="24"/>
        </w:rPr>
        <w:t xml:space="preserve"> planned.</w:t>
      </w:r>
    </w:p>
    <w:p w14:paraId="768E0CAE" w14:textId="77777777" w:rsidR="00373355" w:rsidRDefault="00373355">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29598685" w14:textId="03D26D71" w:rsidR="007F32A3" w:rsidRDefault="007F32A3" w:rsidP="007F32A3">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Figure 13.2 </w:t>
      </w:r>
      <w:proofErr w:type="gramStart"/>
      <w:r>
        <w:rPr>
          <w:rFonts w:ascii="Times New Roman" w:hAnsi="Times New Roman" w:cs="Times New Roman"/>
          <w:b/>
          <w:sz w:val="24"/>
          <w:szCs w:val="24"/>
        </w:rPr>
        <w:t>The</w:t>
      </w:r>
      <w:proofErr w:type="gramEnd"/>
      <w:r>
        <w:rPr>
          <w:rFonts w:ascii="Times New Roman" w:hAnsi="Times New Roman" w:cs="Times New Roman"/>
          <w:b/>
          <w:sz w:val="24"/>
          <w:szCs w:val="24"/>
        </w:rPr>
        <w:t xml:space="preserve"> impact of the </w:t>
      </w:r>
      <w:r w:rsidR="00817BCE">
        <w:rPr>
          <w:rFonts w:ascii="Times New Roman" w:hAnsi="Times New Roman" w:cs="Times New Roman"/>
          <w:b/>
          <w:sz w:val="24"/>
          <w:szCs w:val="24"/>
        </w:rPr>
        <w:t>Covid</w:t>
      </w:r>
      <w:r>
        <w:rPr>
          <w:rFonts w:ascii="Times New Roman" w:hAnsi="Times New Roman" w:cs="Times New Roman"/>
          <w:b/>
          <w:sz w:val="24"/>
          <w:szCs w:val="24"/>
        </w:rPr>
        <w:t>-19 pandemic on teachers</w:t>
      </w:r>
      <w:r w:rsidR="00373355">
        <w:rPr>
          <w:rFonts w:ascii="Times New Roman" w:hAnsi="Times New Roman" w:cs="Times New Roman"/>
          <w:b/>
          <w:sz w:val="24"/>
          <w:szCs w:val="24"/>
        </w:rPr>
        <w:t>’</w:t>
      </w:r>
      <w:r>
        <w:rPr>
          <w:rFonts w:ascii="Times New Roman" w:hAnsi="Times New Roman" w:cs="Times New Roman"/>
          <w:b/>
          <w:sz w:val="24"/>
          <w:szCs w:val="24"/>
        </w:rPr>
        <w:t xml:space="preserve"> and </w:t>
      </w:r>
      <w:proofErr w:type="spellStart"/>
      <w:r>
        <w:rPr>
          <w:rFonts w:ascii="Times New Roman" w:hAnsi="Times New Roman" w:cs="Times New Roman"/>
          <w:b/>
          <w:sz w:val="24"/>
          <w:szCs w:val="24"/>
        </w:rPr>
        <w:t>headteachers</w:t>
      </w:r>
      <w:proofErr w:type="spellEnd"/>
      <w:r w:rsidR="00373355">
        <w:rPr>
          <w:rFonts w:ascii="Times New Roman" w:hAnsi="Times New Roman" w:cs="Times New Roman"/>
          <w:b/>
          <w:sz w:val="24"/>
          <w:szCs w:val="24"/>
        </w:rPr>
        <w:t>’</w:t>
      </w:r>
      <w:r>
        <w:rPr>
          <w:rFonts w:ascii="Times New Roman" w:hAnsi="Times New Roman" w:cs="Times New Roman"/>
          <w:b/>
          <w:sz w:val="24"/>
          <w:szCs w:val="24"/>
        </w:rPr>
        <w:t xml:space="preserve"> future work plans</w:t>
      </w:r>
    </w:p>
    <w:p w14:paraId="6A8A5316" w14:textId="38E1BA1C" w:rsidR="007F32A3" w:rsidRDefault="007F32A3" w:rsidP="007F32A3">
      <w:pPr>
        <w:rPr>
          <w:rFonts w:ascii="Times New Roman" w:hAnsi="Times New Roman" w:cs="Times New Roman"/>
          <w:b/>
          <w:sz w:val="24"/>
          <w:szCs w:val="24"/>
        </w:rPr>
      </w:pPr>
      <w:r>
        <w:rPr>
          <w:noProof/>
          <w:lang w:eastAsia="en-GB"/>
        </w:rPr>
        <w:drawing>
          <wp:inline distT="0" distB="0" distL="0" distR="0" wp14:anchorId="4CDBBE0D" wp14:editId="2516CD65">
            <wp:extent cx="5937250" cy="2705100"/>
            <wp:effectExtent l="0" t="0" r="6350" b="0"/>
            <wp:docPr id="20" name="Picture 2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60"/>
                    <a:stretch>
                      <a:fillRect/>
                    </a:stretch>
                  </pic:blipFill>
                  <pic:spPr>
                    <a:xfrm>
                      <a:off x="0" y="0"/>
                      <a:ext cx="5937250" cy="2705100"/>
                    </a:xfrm>
                    <a:prstGeom prst="rect">
                      <a:avLst/>
                    </a:prstGeom>
                  </pic:spPr>
                </pic:pic>
              </a:graphicData>
            </a:graphic>
          </wp:inline>
        </w:drawing>
      </w:r>
    </w:p>
    <w:p w14:paraId="46AD9937" w14:textId="7DAED27C" w:rsidR="00875EB6" w:rsidRDefault="00875EB6">
      <w:pPr>
        <w:spacing w:after="0" w:line="257" w:lineRule="auto"/>
        <w:jc w:val="both"/>
        <w:rPr>
          <w:rFonts w:ascii="Times New Roman" w:hAnsi="Times New Roman" w:cs="Times New Roman"/>
          <w:sz w:val="20"/>
          <w:szCs w:val="20"/>
        </w:rPr>
      </w:pPr>
      <w:r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Pr="00875EB6">
        <w:rPr>
          <w:rFonts w:ascii="Times New Roman" w:hAnsi="Times New Roman" w:cs="Times New Roman"/>
          <w:sz w:val="20"/>
          <w:szCs w:val="20"/>
        </w:rPr>
        <w:t>Tapp</w:t>
      </w:r>
      <w:proofErr w:type="spellEnd"/>
      <w:r w:rsidRPr="00875EB6">
        <w:rPr>
          <w:rFonts w:ascii="Times New Roman" w:hAnsi="Times New Roman" w:cs="Times New Roman"/>
          <w:sz w:val="20"/>
          <w:szCs w:val="20"/>
        </w:rPr>
        <w:t xml:space="preserve"> data.</w:t>
      </w:r>
    </w:p>
    <w:p w14:paraId="427ED4E6" w14:textId="77777777" w:rsidR="0082406F" w:rsidRDefault="0082406F" w:rsidP="008B4E20">
      <w:pPr>
        <w:spacing w:after="0" w:line="257" w:lineRule="auto"/>
        <w:jc w:val="both"/>
        <w:rPr>
          <w:rFonts w:ascii="Times New Roman" w:hAnsi="Times New Roman" w:cs="Times New Roman"/>
          <w:b/>
          <w:sz w:val="24"/>
          <w:szCs w:val="24"/>
        </w:rPr>
      </w:pPr>
    </w:p>
    <w:p w14:paraId="57A26ABA" w14:textId="7AF11E15" w:rsidR="007F32A3" w:rsidRDefault="007F32A3" w:rsidP="007F32A3">
      <w:pPr>
        <w:spacing w:line="360" w:lineRule="auto"/>
        <w:jc w:val="both"/>
        <w:rPr>
          <w:rFonts w:ascii="Times New Roman" w:hAnsi="Times New Roman" w:cs="Times New Roman"/>
          <w:sz w:val="24"/>
          <w:szCs w:val="24"/>
        </w:rPr>
      </w:pPr>
      <w:r w:rsidRPr="00E01AA0">
        <w:rPr>
          <w:rFonts w:ascii="Times New Roman" w:hAnsi="Times New Roman" w:cs="Times New Roman"/>
          <w:sz w:val="24"/>
          <w:szCs w:val="24"/>
        </w:rPr>
        <w:t xml:space="preserve">Another key feature of Figure 13.1 worthy of further consideration is the difference between private and state schoolteachers. In </w:t>
      </w:r>
      <w:r w:rsidR="00817BCE">
        <w:rPr>
          <w:rFonts w:ascii="Times New Roman" w:hAnsi="Times New Roman" w:cs="Times New Roman"/>
          <w:sz w:val="24"/>
          <w:szCs w:val="24"/>
        </w:rPr>
        <w:t>p</w:t>
      </w:r>
      <w:r w:rsidR="00817BCE" w:rsidRPr="00E01AA0">
        <w:rPr>
          <w:rFonts w:ascii="Times New Roman" w:hAnsi="Times New Roman" w:cs="Times New Roman"/>
          <w:sz w:val="24"/>
          <w:szCs w:val="24"/>
        </w:rPr>
        <w:t>re</w:t>
      </w:r>
      <w:r w:rsidRPr="00E01AA0">
        <w:rPr>
          <w:rFonts w:ascii="Times New Roman" w:hAnsi="Times New Roman" w:cs="Times New Roman"/>
          <w:sz w:val="24"/>
          <w:szCs w:val="24"/>
        </w:rPr>
        <w:t>-</w:t>
      </w:r>
      <w:proofErr w:type="spellStart"/>
      <w:r w:rsidR="00817BCE">
        <w:rPr>
          <w:rFonts w:ascii="Times New Roman" w:hAnsi="Times New Roman" w:cs="Times New Roman"/>
          <w:sz w:val="24"/>
          <w:szCs w:val="24"/>
        </w:rPr>
        <w:t>Covid</w:t>
      </w:r>
      <w:proofErr w:type="spellEnd"/>
      <w:r w:rsidRPr="00E01AA0">
        <w:rPr>
          <w:rFonts w:ascii="Times New Roman" w:hAnsi="Times New Roman" w:cs="Times New Roman"/>
          <w:sz w:val="24"/>
          <w:szCs w:val="24"/>
        </w:rPr>
        <w:t xml:space="preserve"> times, private schoolteachers tend to report lower work-related anxiety than those in the state sector. This, however, switched during lockdown. </w:t>
      </w:r>
      <w:r>
        <w:rPr>
          <w:rFonts w:ascii="Times New Roman" w:hAnsi="Times New Roman" w:cs="Times New Roman"/>
          <w:sz w:val="24"/>
          <w:szCs w:val="24"/>
        </w:rPr>
        <w:t>One potential explanation for this finding is offered in Figure 13.3, which documents the percentage of teachers with high</w:t>
      </w:r>
      <w:r w:rsidR="00FC74E0">
        <w:rPr>
          <w:rFonts w:ascii="Times New Roman" w:hAnsi="Times New Roman" w:cs="Times New Roman"/>
          <w:sz w:val="24"/>
          <w:szCs w:val="24"/>
        </w:rPr>
        <w:t xml:space="preserve"> </w:t>
      </w:r>
      <w:r>
        <w:rPr>
          <w:rFonts w:ascii="Times New Roman" w:hAnsi="Times New Roman" w:cs="Times New Roman"/>
          <w:sz w:val="24"/>
          <w:szCs w:val="24"/>
        </w:rPr>
        <w:t xml:space="preserve">levels of work-related anxiety by the type of teaching they delivered (question asked </w:t>
      </w:r>
      <w:r w:rsidR="00ED7440">
        <w:rPr>
          <w:rFonts w:ascii="Times New Roman" w:hAnsi="Times New Roman" w:cs="Times New Roman"/>
          <w:sz w:val="24"/>
          <w:szCs w:val="24"/>
        </w:rPr>
        <w:t>5</w:t>
      </w:r>
      <w:r w:rsidR="00ED7440" w:rsidRPr="008B4E20">
        <w:rPr>
          <w:rFonts w:ascii="Times New Roman" w:hAnsi="Times New Roman" w:cs="Times New Roman"/>
          <w:sz w:val="24"/>
          <w:szCs w:val="24"/>
          <w:vertAlign w:val="superscript"/>
        </w:rPr>
        <w:t>th</w:t>
      </w:r>
      <w:r w:rsidR="00ED7440">
        <w:rPr>
          <w:rFonts w:ascii="Times New Roman" w:hAnsi="Times New Roman" w:cs="Times New Roman"/>
          <w:sz w:val="24"/>
          <w:szCs w:val="24"/>
        </w:rPr>
        <w:t xml:space="preserve"> </w:t>
      </w:r>
      <w:r>
        <w:rPr>
          <w:rFonts w:ascii="Times New Roman" w:hAnsi="Times New Roman" w:cs="Times New Roman"/>
          <w:sz w:val="24"/>
          <w:szCs w:val="24"/>
        </w:rPr>
        <w:t xml:space="preserve">May 2020). </w:t>
      </w:r>
    </w:p>
    <w:p w14:paraId="0CE54574" w14:textId="2C7B7246" w:rsidR="007F32A3" w:rsidRDefault="007F32A3" w:rsidP="007F32A3">
      <w:pPr>
        <w:spacing w:line="360" w:lineRule="auto"/>
        <w:jc w:val="both"/>
        <w:rPr>
          <w:rFonts w:ascii="Times New Roman" w:hAnsi="Times New Roman" w:cs="Times New Roman"/>
          <w:sz w:val="24"/>
          <w:szCs w:val="24"/>
        </w:rPr>
      </w:pPr>
      <w:r>
        <w:rPr>
          <w:rFonts w:ascii="Times New Roman" w:hAnsi="Times New Roman" w:cs="Times New Roman"/>
          <w:sz w:val="24"/>
          <w:szCs w:val="24"/>
        </w:rPr>
        <w:t>From this graph, two key features stand out. First, providing live</w:t>
      </w:r>
      <w:r w:rsidR="00ED7440">
        <w:rPr>
          <w:rFonts w:ascii="Times New Roman" w:hAnsi="Times New Roman" w:cs="Times New Roman"/>
          <w:sz w:val="24"/>
          <w:szCs w:val="24"/>
        </w:rPr>
        <w:t xml:space="preserve"> </w:t>
      </w:r>
      <w:r>
        <w:rPr>
          <w:rFonts w:ascii="Times New Roman" w:hAnsi="Times New Roman" w:cs="Times New Roman"/>
          <w:sz w:val="24"/>
          <w:szCs w:val="24"/>
        </w:rPr>
        <w:t>teaching with student interaction was generally the most stressful activity, followed by pre-recorded videos. Second, such activities were much more likely to be delivered by private schoolteachers than their state school peers. For instance, Figure 13.3 suggests that almost three</w:t>
      </w:r>
      <w:r w:rsidR="00846B3E">
        <w:rPr>
          <w:rFonts w:ascii="Times New Roman" w:hAnsi="Times New Roman" w:cs="Times New Roman"/>
          <w:sz w:val="24"/>
          <w:szCs w:val="24"/>
        </w:rPr>
        <w:t xml:space="preserve"> </w:t>
      </w:r>
      <w:r>
        <w:rPr>
          <w:rFonts w:ascii="Times New Roman" w:hAnsi="Times New Roman" w:cs="Times New Roman"/>
          <w:sz w:val="24"/>
          <w:szCs w:val="24"/>
        </w:rPr>
        <w:t>quarters of private school pupils received live, interactive teaching during lockdown, compared to around one</w:t>
      </w:r>
      <w:r w:rsidR="00A85515">
        <w:rPr>
          <w:rFonts w:ascii="Times New Roman" w:hAnsi="Times New Roman" w:cs="Times New Roman"/>
          <w:sz w:val="24"/>
          <w:szCs w:val="24"/>
        </w:rPr>
        <w:t xml:space="preserve"> </w:t>
      </w:r>
      <w:r>
        <w:rPr>
          <w:rFonts w:ascii="Times New Roman" w:hAnsi="Times New Roman" w:cs="Times New Roman"/>
          <w:sz w:val="24"/>
          <w:szCs w:val="24"/>
        </w:rPr>
        <w:t>in</w:t>
      </w:r>
      <w:r w:rsidR="00A85515">
        <w:rPr>
          <w:rFonts w:ascii="Times New Roman" w:hAnsi="Times New Roman" w:cs="Times New Roman"/>
          <w:sz w:val="24"/>
          <w:szCs w:val="24"/>
        </w:rPr>
        <w:t xml:space="preserve"> </w:t>
      </w:r>
      <w:r>
        <w:rPr>
          <w:rFonts w:ascii="Times New Roman" w:hAnsi="Times New Roman" w:cs="Times New Roman"/>
          <w:sz w:val="24"/>
          <w:szCs w:val="24"/>
        </w:rPr>
        <w:t>twenty state schoolteachers. This</w:t>
      </w:r>
      <w:r w:rsidRPr="00B873D1">
        <w:rPr>
          <w:rFonts w:ascii="Times New Roman" w:hAnsi="Times New Roman" w:cs="Times New Roman"/>
          <w:sz w:val="24"/>
          <w:szCs w:val="24"/>
        </w:rPr>
        <w:t xml:space="preserve"> may explain differences in anxiety levels between private and state teachers: one</w:t>
      </w:r>
      <w:r w:rsidR="00825EFB">
        <w:rPr>
          <w:rFonts w:ascii="Times New Roman" w:hAnsi="Times New Roman" w:cs="Times New Roman"/>
          <w:sz w:val="24"/>
          <w:szCs w:val="24"/>
        </w:rPr>
        <w:t xml:space="preserve"> </w:t>
      </w:r>
      <w:r w:rsidRPr="00B873D1">
        <w:rPr>
          <w:rFonts w:ascii="Times New Roman" w:hAnsi="Times New Roman" w:cs="Times New Roman"/>
          <w:sz w:val="24"/>
          <w:szCs w:val="24"/>
        </w:rPr>
        <w:t xml:space="preserve">third of teachers who were delivering ‘live’ instruction reported relatively high anxiety levels that day. </w:t>
      </w:r>
      <w:r>
        <w:rPr>
          <w:rFonts w:ascii="Times New Roman" w:hAnsi="Times New Roman" w:cs="Times New Roman"/>
          <w:sz w:val="24"/>
          <w:szCs w:val="24"/>
        </w:rPr>
        <w:t>One important caveat</w:t>
      </w:r>
      <w:r w:rsidRPr="00B873D1">
        <w:rPr>
          <w:rFonts w:ascii="Times New Roman" w:hAnsi="Times New Roman" w:cs="Times New Roman"/>
          <w:sz w:val="24"/>
          <w:szCs w:val="24"/>
        </w:rPr>
        <w:t>,</w:t>
      </w:r>
      <w:r>
        <w:rPr>
          <w:rFonts w:ascii="Times New Roman" w:hAnsi="Times New Roman" w:cs="Times New Roman"/>
          <w:sz w:val="24"/>
          <w:szCs w:val="24"/>
        </w:rPr>
        <w:t xml:space="preserve"> however, is that</w:t>
      </w:r>
      <w:r w:rsidRPr="00B873D1">
        <w:rPr>
          <w:rFonts w:ascii="Times New Roman" w:hAnsi="Times New Roman" w:cs="Times New Roman"/>
          <w:sz w:val="24"/>
          <w:szCs w:val="24"/>
        </w:rPr>
        <w:t xml:space="preserve"> these levels of anxiety are actually quite similar to the levels reported by teachers earlier in the year before lockdown.</w:t>
      </w:r>
    </w:p>
    <w:p w14:paraId="4CFD24AE" w14:textId="77777777" w:rsidR="00A85515" w:rsidRDefault="00A85515">
      <w:pPr>
        <w:spacing w:line="259" w:lineRule="auto"/>
        <w:rPr>
          <w:rFonts w:ascii="Times New Roman" w:hAnsi="Times New Roman" w:cs="Times New Roman"/>
          <w:b/>
          <w:sz w:val="24"/>
          <w:szCs w:val="24"/>
        </w:rPr>
      </w:pPr>
      <w:r>
        <w:rPr>
          <w:rFonts w:ascii="Times New Roman" w:hAnsi="Times New Roman" w:cs="Times New Roman"/>
          <w:b/>
          <w:sz w:val="24"/>
          <w:szCs w:val="24"/>
        </w:rPr>
        <w:br w:type="page"/>
      </w:r>
    </w:p>
    <w:p w14:paraId="52A62B7C" w14:textId="0495A825" w:rsidR="007F32A3" w:rsidRPr="00E01AA0" w:rsidRDefault="007F32A3" w:rsidP="007F32A3">
      <w:pPr>
        <w:jc w:val="center"/>
        <w:rPr>
          <w:rFonts w:ascii="Times New Roman" w:hAnsi="Times New Roman" w:cs="Times New Roman"/>
          <w:b/>
          <w:sz w:val="24"/>
          <w:szCs w:val="24"/>
        </w:rPr>
      </w:pPr>
      <w:r w:rsidRPr="00E01AA0">
        <w:rPr>
          <w:rFonts w:ascii="Times New Roman" w:hAnsi="Times New Roman" w:cs="Times New Roman"/>
          <w:b/>
          <w:sz w:val="24"/>
          <w:szCs w:val="24"/>
        </w:rPr>
        <w:lastRenderedPageBreak/>
        <w:t xml:space="preserve">Figure 13.3 </w:t>
      </w:r>
      <w:proofErr w:type="gramStart"/>
      <w:r w:rsidRPr="00E01AA0">
        <w:rPr>
          <w:rFonts w:ascii="Times New Roman" w:hAnsi="Times New Roman" w:cs="Times New Roman"/>
          <w:b/>
          <w:sz w:val="24"/>
          <w:szCs w:val="24"/>
        </w:rPr>
        <w:t>The</w:t>
      </w:r>
      <w:proofErr w:type="gramEnd"/>
      <w:r w:rsidRPr="00E01AA0">
        <w:rPr>
          <w:rFonts w:ascii="Times New Roman" w:hAnsi="Times New Roman" w:cs="Times New Roman"/>
          <w:b/>
          <w:sz w:val="24"/>
          <w:szCs w:val="24"/>
        </w:rPr>
        <w:t xml:space="preserve"> percentage of private and state schoolteachers reporting high</w:t>
      </w:r>
      <w:r w:rsidR="00FC74E0">
        <w:rPr>
          <w:rFonts w:ascii="Times New Roman" w:hAnsi="Times New Roman" w:cs="Times New Roman"/>
          <w:b/>
          <w:sz w:val="24"/>
          <w:szCs w:val="24"/>
        </w:rPr>
        <w:t xml:space="preserve"> </w:t>
      </w:r>
      <w:r w:rsidRPr="00E01AA0">
        <w:rPr>
          <w:rFonts w:ascii="Times New Roman" w:hAnsi="Times New Roman" w:cs="Times New Roman"/>
          <w:b/>
          <w:sz w:val="24"/>
          <w:szCs w:val="24"/>
        </w:rPr>
        <w:t>levels of work-related anxiety during lockdown, by teaching activity</w:t>
      </w:r>
    </w:p>
    <w:p w14:paraId="4BDF24AA" w14:textId="45C8566A" w:rsidR="007F32A3" w:rsidRDefault="007F32A3" w:rsidP="007F32A3">
      <w:pPr>
        <w:rPr>
          <w:rFonts w:ascii="Times New Roman" w:hAnsi="Times New Roman" w:cs="Times New Roman"/>
          <w:sz w:val="24"/>
          <w:szCs w:val="24"/>
        </w:rPr>
      </w:pPr>
      <w:r>
        <w:rPr>
          <w:noProof/>
          <w:lang w:eastAsia="en-GB"/>
        </w:rPr>
        <w:drawing>
          <wp:inline distT="0" distB="0" distL="0" distR="0" wp14:anchorId="76D258E8" wp14:editId="7EA9A57A">
            <wp:extent cx="5731510" cy="2865755"/>
            <wp:effectExtent l="0" t="0" r="2540" b="0"/>
            <wp:docPr id="21" name="Picture 2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1"/>
                    <a:stretch>
                      <a:fillRect/>
                    </a:stretch>
                  </pic:blipFill>
                  <pic:spPr>
                    <a:xfrm>
                      <a:off x="0" y="0"/>
                      <a:ext cx="5731510" cy="2865755"/>
                    </a:xfrm>
                    <a:prstGeom prst="rect">
                      <a:avLst/>
                    </a:prstGeom>
                  </pic:spPr>
                </pic:pic>
              </a:graphicData>
            </a:graphic>
          </wp:inline>
        </w:drawing>
      </w:r>
    </w:p>
    <w:p w14:paraId="6BEA4051" w14:textId="7C603621" w:rsidR="00257815" w:rsidRPr="00875EB6" w:rsidRDefault="00875EB6" w:rsidP="008B4E20">
      <w:pPr>
        <w:spacing w:after="0" w:line="257" w:lineRule="auto"/>
        <w:jc w:val="both"/>
        <w:rPr>
          <w:rFonts w:ascii="Times New Roman" w:hAnsi="Times New Roman" w:cs="Times New Roman"/>
          <w:sz w:val="20"/>
          <w:szCs w:val="20"/>
        </w:rPr>
      </w:pPr>
      <w:r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Pr="00875EB6">
        <w:rPr>
          <w:rFonts w:ascii="Times New Roman" w:hAnsi="Times New Roman" w:cs="Times New Roman"/>
          <w:sz w:val="20"/>
          <w:szCs w:val="20"/>
        </w:rPr>
        <w:t>Tapp</w:t>
      </w:r>
      <w:proofErr w:type="spellEnd"/>
      <w:r w:rsidRPr="00875EB6">
        <w:rPr>
          <w:rFonts w:ascii="Times New Roman" w:hAnsi="Times New Roman" w:cs="Times New Roman"/>
          <w:sz w:val="20"/>
          <w:szCs w:val="20"/>
        </w:rPr>
        <w:t xml:space="preserve"> data.</w:t>
      </w:r>
    </w:p>
    <w:p w14:paraId="31A80C8E" w14:textId="77777777" w:rsidR="00875EB6" w:rsidRPr="00E01AA0" w:rsidRDefault="00875EB6" w:rsidP="008B4E20">
      <w:pPr>
        <w:spacing w:after="0" w:line="257" w:lineRule="auto"/>
        <w:jc w:val="both"/>
        <w:rPr>
          <w:rFonts w:ascii="Times New Roman" w:hAnsi="Times New Roman" w:cs="Times New Roman"/>
          <w:sz w:val="24"/>
          <w:szCs w:val="24"/>
        </w:rPr>
      </w:pPr>
    </w:p>
    <w:p w14:paraId="4A8E67D2" w14:textId="14801308" w:rsidR="007F32A3" w:rsidRDefault="007F32A3" w:rsidP="007F32A3">
      <w:pPr>
        <w:spacing w:line="360" w:lineRule="auto"/>
        <w:jc w:val="both"/>
        <w:rPr>
          <w:rFonts w:ascii="Times New Roman" w:hAnsi="Times New Roman" w:cs="Times New Roman"/>
          <w:sz w:val="24"/>
          <w:szCs w:val="24"/>
        </w:rPr>
      </w:pPr>
      <w:r>
        <w:rPr>
          <w:rFonts w:ascii="Times New Roman" w:hAnsi="Times New Roman" w:cs="Times New Roman"/>
          <w:sz w:val="24"/>
          <w:szCs w:val="24"/>
        </w:rPr>
        <w:t>Finally, to what extent were the high work-related anxiety levels observed at certain points during lockdown associated with some teachers still having to physically be in school? (Recall that schools remained open to the children of key</w:t>
      </w:r>
      <w:r w:rsidR="008F52A8">
        <w:rPr>
          <w:rFonts w:ascii="Times New Roman" w:hAnsi="Times New Roman" w:cs="Times New Roman"/>
          <w:sz w:val="24"/>
          <w:szCs w:val="24"/>
        </w:rPr>
        <w:t xml:space="preserve"> </w:t>
      </w:r>
      <w:r>
        <w:rPr>
          <w:rFonts w:ascii="Times New Roman" w:hAnsi="Times New Roman" w:cs="Times New Roman"/>
          <w:sz w:val="24"/>
          <w:szCs w:val="24"/>
        </w:rPr>
        <w:t>workers throughout and thus were operating with a skeleton staff). As the Teacher</w:t>
      </w:r>
      <w:r w:rsidR="00257815">
        <w:rPr>
          <w:rFonts w:ascii="Times New Roman" w:hAnsi="Times New Roman" w:cs="Times New Roman"/>
          <w:sz w:val="24"/>
          <w:szCs w:val="24"/>
        </w:rPr>
        <w:t xml:space="preserve"> </w:t>
      </w:r>
      <w:proofErr w:type="spellStart"/>
      <w:r>
        <w:rPr>
          <w:rFonts w:ascii="Times New Roman" w:hAnsi="Times New Roman" w:cs="Times New Roman"/>
          <w:sz w:val="24"/>
          <w:szCs w:val="24"/>
        </w:rPr>
        <w:t>Tapp</w:t>
      </w:r>
      <w:proofErr w:type="spellEnd"/>
      <w:r>
        <w:rPr>
          <w:rFonts w:ascii="Times New Roman" w:hAnsi="Times New Roman" w:cs="Times New Roman"/>
          <w:sz w:val="24"/>
          <w:szCs w:val="24"/>
        </w:rPr>
        <w:t xml:space="preserve"> panel were asked a question about </w:t>
      </w:r>
      <w:r>
        <w:rPr>
          <w:rFonts w:ascii="Times New Roman" w:hAnsi="Times New Roman" w:cs="Times New Roman"/>
          <w:i/>
          <w:sz w:val="24"/>
          <w:szCs w:val="24"/>
        </w:rPr>
        <w:t>where</w:t>
      </w:r>
      <w:r>
        <w:rPr>
          <w:rFonts w:ascii="Times New Roman" w:hAnsi="Times New Roman" w:cs="Times New Roman"/>
          <w:sz w:val="24"/>
          <w:szCs w:val="24"/>
        </w:rPr>
        <w:t xml:space="preserve"> they were working (i.e. whether they had to still be in school or could work from home) we can provide some evidence about how this was associated with their anxiety levels. These results are presented in Figure 13.4, documenting the percentage of teachers with very high work</w:t>
      </w:r>
      <w:r w:rsidR="009E0010">
        <w:rPr>
          <w:rFonts w:ascii="Times New Roman" w:hAnsi="Times New Roman" w:cs="Times New Roman"/>
          <w:sz w:val="24"/>
          <w:szCs w:val="24"/>
        </w:rPr>
        <w:t>-</w:t>
      </w:r>
      <w:r>
        <w:rPr>
          <w:rFonts w:ascii="Times New Roman" w:hAnsi="Times New Roman" w:cs="Times New Roman"/>
          <w:sz w:val="24"/>
          <w:szCs w:val="24"/>
        </w:rPr>
        <w:t xml:space="preserve">related anxiety levels by location of work throughout lockdown. </w:t>
      </w:r>
    </w:p>
    <w:p w14:paraId="5431C9DD" w14:textId="426A45ED" w:rsidR="00F81FE8" w:rsidRDefault="007F32A3" w:rsidP="007F32A3">
      <w:pPr>
        <w:spacing w:line="360" w:lineRule="auto"/>
        <w:jc w:val="both"/>
        <w:rPr>
          <w:rFonts w:ascii="Times New Roman" w:hAnsi="Times New Roman" w:cs="Times New Roman"/>
          <w:sz w:val="24"/>
          <w:szCs w:val="24"/>
        </w:rPr>
      </w:pPr>
      <w:r w:rsidRPr="001E1BE9">
        <w:rPr>
          <w:rFonts w:ascii="Times New Roman" w:hAnsi="Times New Roman" w:cs="Times New Roman"/>
          <w:sz w:val="24"/>
          <w:szCs w:val="24"/>
        </w:rPr>
        <w:t>At the very start of lockdown, teachers who went into school to look after key</w:t>
      </w:r>
      <w:r w:rsidR="00F81FE8">
        <w:rPr>
          <w:rFonts w:ascii="Times New Roman" w:hAnsi="Times New Roman" w:cs="Times New Roman"/>
          <w:sz w:val="24"/>
          <w:szCs w:val="24"/>
        </w:rPr>
        <w:t>-</w:t>
      </w:r>
      <w:r w:rsidRPr="001E1BE9">
        <w:rPr>
          <w:rFonts w:ascii="Times New Roman" w:hAnsi="Times New Roman" w:cs="Times New Roman"/>
          <w:sz w:val="24"/>
          <w:szCs w:val="24"/>
        </w:rPr>
        <w:t>worker and vulnerable children reported much higher anxiety</w:t>
      </w:r>
      <w:r>
        <w:rPr>
          <w:rFonts w:ascii="Times New Roman" w:hAnsi="Times New Roman" w:cs="Times New Roman"/>
          <w:sz w:val="24"/>
          <w:szCs w:val="24"/>
        </w:rPr>
        <w:t xml:space="preserve"> levels</w:t>
      </w:r>
      <w:r w:rsidRPr="001E1BE9">
        <w:rPr>
          <w:rFonts w:ascii="Times New Roman" w:hAnsi="Times New Roman" w:cs="Times New Roman"/>
          <w:sz w:val="24"/>
          <w:szCs w:val="24"/>
        </w:rPr>
        <w:t xml:space="preserve"> than those at home (23</w:t>
      </w:r>
      <w:r w:rsidR="00F81FE8">
        <w:rPr>
          <w:rFonts w:ascii="Times New Roman" w:hAnsi="Times New Roman" w:cs="Times New Roman"/>
          <w:sz w:val="24"/>
          <w:szCs w:val="24"/>
        </w:rPr>
        <w:t>%</w:t>
      </w:r>
      <w:r w:rsidRPr="001E1BE9">
        <w:rPr>
          <w:rFonts w:ascii="Times New Roman" w:hAnsi="Times New Roman" w:cs="Times New Roman"/>
          <w:sz w:val="24"/>
          <w:szCs w:val="24"/>
        </w:rPr>
        <w:t xml:space="preserve"> versus </w:t>
      </w:r>
      <w:r w:rsidR="00F81FE8">
        <w:rPr>
          <w:rFonts w:ascii="Times New Roman" w:hAnsi="Times New Roman" w:cs="Times New Roman"/>
          <w:sz w:val="24"/>
          <w:szCs w:val="24"/>
        </w:rPr>
        <w:t>9%</w:t>
      </w:r>
      <w:r w:rsidRPr="001E1BE9">
        <w:rPr>
          <w:rFonts w:ascii="Times New Roman" w:hAnsi="Times New Roman" w:cs="Times New Roman"/>
          <w:sz w:val="24"/>
          <w:szCs w:val="24"/>
        </w:rPr>
        <w:t xml:space="preserve"> on </w:t>
      </w:r>
      <w:r w:rsidR="002F6979">
        <w:rPr>
          <w:rFonts w:ascii="Times New Roman" w:hAnsi="Times New Roman" w:cs="Times New Roman"/>
          <w:sz w:val="24"/>
          <w:szCs w:val="24"/>
        </w:rPr>
        <w:t>23</w:t>
      </w:r>
      <w:r w:rsidR="002F6979" w:rsidRPr="008B4E20">
        <w:rPr>
          <w:rFonts w:ascii="Times New Roman" w:hAnsi="Times New Roman" w:cs="Times New Roman"/>
          <w:sz w:val="24"/>
          <w:szCs w:val="24"/>
          <w:vertAlign w:val="superscript"/>
        </w:rPr>
        <w:t>rd</w:t>
      </w:r>
      <w:r w:rsidR="002F6979">
        <w:rPr>
          <w:rFonts w:ascii="Times New Roman" w:hAnsi="Times New Roman" w:cs="Times New Roman"/>
          <w:sz w:val="24"/>
          <w:szCs w:val="24"/>
        </w:rPr>
        <w:t xml:space="preserve"> </w:t>
      </w:r>
      <w:r w:rsidRPr="001E1BE9">
        <w:rPr>
          <w:rFonts w:ascii="Times New Roman" w:hAnsi="Times New Roman" w:cs="Times New Roman"/>
          <w:sz w:val="24"/>
          <w:szCs w:val="24"/>
        </w:rPr>
        <w:t>March). Whilst this pattern of higher anxiety for those working in schools persisted, the differences gradually became less stark. By the end of June when most teachers had regularly spent time in school again, there were no difference</w:t>
      </w:r>
      <w:r>
        <w:rPr>
          <w:rFonts w:ascii="Times New Roman" w:hAnsi="Times New Roman" w:cs="Times New Roman"/>
          <w:sz w:val="24"/>
          <w:szCs w:val="24"/>
        </w:rPr>
        <w:t>s</w:t>
      </w:r>
      <w:r w:rsidRPr="001E1BE9">
        <w:rPr>
          <w:rFonts w:ascii="Times New Roman" w:hAnsi="Times New Roman" w:cs="Times New Roman"/>
          <w:sz w:val="24"/>
          <w:szCs w:val="24"/>
        </w:rPr>
        <w:t xml:space="preserve"> in anxiety levels reported between those who were, and were not, in school.</w:t>
      </w:r>
    </w:p>
    <w:p w14:paraId="1471BB18" w14:textId="77777777" w:rsidR="00F81FE8" w:rsidRDefault="00F81FE8">
      <w:pPr>
        <w:spacing w:line="259" w:lineRule="auto"/>
        <w:rPr>
          <w:rFonts w:ascii="Times New Roman" w:hAnsi="Times New Roman" w:cs="Times New Roman"/>
          <w:sz w:val="24"/>
          <w:szCs w:val="24"/>
        </w:rPr>
      </w:pPr>
      <w:r>
        <w:rPr>
          <w:rFonts w:ascii="Times New Roman" w:hAnsi="Times New Roman" w:cs="Times New Roman"/>
          <w:sz w:val="24"/>
          <w:szCs w:val="24"/>
        </w:rPr>
        <w:br w:type="page"/>
      </w:r>
    </w:p>
    <w:p w14:paraId="57A2B6B9" w14:textId="77777777" w:rsidR="007F32A3" w:rsidRPr="00B727B4" w:rsidRDefault="007F32A3" w:rsidP="007F32A3">
      <w:pPr>
        <w:jc w:val="center"/>
        <w:rPr>
          <w:rFonts w:ascii="Times New Roman" w:hAnsi="Times New Roman" w:cs="Times New Roman"/>
          <w:b/>
          <w:sz w:val="24"/>
          <w:szCs w:val="24"/>
        </w:rPr>
      </w:pPr>
      <w:r w:rsidRPr="00B727B4">
        <w:rPr>
          <w:rFonts w:ascii="Times New Roman" w:hAnsi="Times New Roman" w:cs="Times New Roman"/>
          <w:b/>
          <w:sz w:val="24"/>
          <w:szCs w:val="24"/>
        </w:rPr>
        <w:lastRenderedPageBreak/>
        <w:t xml:space="preserve">Figure 13.4 </w:t>
      </w:r>
      <w:proofErr w:type="gramStart"/>
      <w:r w:rsidRPr="00B727B4">
        <w:rPr>
          <w:rFonts w:ascii="Times New Roman" w:hAnsi="Times New Roman" w:cs="Times New Roman"/>
          <w:b/>
          <w:sz w:val="24"/>
          <w:szCs w:val="24"/>
        </w:rPr>
        <w:t>The</w:t>
      </w:r>
      <w:proofErr w:type="gramEnd"/>
      <w:r w:rsidRPr="00B727B4">
        <w:rPr>
          <w:rFonts w:ascii="Times New Roman" w:hAnsi="Times New Roman" w:cs="Times New Roman"/>
          <w:b/>
          <w:sz w:val="24"/>
          <w:szCs w:val="24"/>
        </w:rPr>
        <w:t xml:space="preserve"> percentage of teachers with very high levels of work-related anxiety during the pandemic, by location of their work</w:t>
      </w:r>
    </w:p>
    <w:p w14:paraId="1848CA99" w14:textId="241479B9" w:rsidR="007F32A3" w:rsidRDefault="007F32A3" w:rsidP="007F32A3">
      <w:pPr>
        <w:jc w:val="both"/>
        <w:rPr>
          <w:rFonts w:ascii="Times New Roman" w:hAnsi="Times New Roman" w:cs="Times New Roman"/>
          <w:sz w:val="24"/>
          <w:szCs w:val="24"/>
        </w:rPr>
      </w:pPr>
      <w:r>
        <w:rPr>
          <w:noProof/>
          <w:lang w:eastAsia="en-GB"/>
        </w:rPr>
        <w:drawing>
          <wp:inline distT="0" distB="0" distL="0" distR="0" wp14:anchorId="4D3E3A6C" wp14:editId="675419DF">
            <wp:extent cx="5731510" cy="3820795"/>
            <wp:effectExtent l="0" t="0" r="2540" b="8255"/>
            <wp:docPr id="22" name="Picture 22"/>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62"/>
                    <a:stretch>
                      <a:fillRect/>
                    </a:stretch>
                  </pic:blipFill>
                  <pic:spPr>
                    <a:xfrm>
                      <a:off x="0" y="0"/>
                      <a:ext cx="5731510" cy="3820795"/>
                    </a:xfrm>
                    <a:prstGeom prst="rect">
                      <a:avLst/>
                    </a:prstGeom>
                  </pic:spPr>
                </pic:pic>
              </a:graphicData>
            </a:graphic>
          </wp:inline>
        </w:drawing>
      </w:r>
    </w:p>
    <w:p w14:paraId="408E85A6" w14:textId="02097157" w:rsidR="00875EB6" w:rsidRPr="001E1BE9" w:rsidRDefault="00875EB6" w:rsidP="008B4E20">
      <w:pPr>
        <w:spacing w:after="240" w:line="257" w:lineRule="auto"/>
        <w:jc w:val="both"/>
        <w:rPr>
          <w:rFonts w:ascii="Times New Roman" w:hAnsi="Times New Roman" w:cs="Times New Roman"/>
          <w:sz w:val="24"/>
          <w:szCs w:val="24"/>
        </w:rPr>
      </w:pPr>
      <w:r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Pr="00875EB6">
        <w:rPr>
          <w:rFonts w:ascii="Times New Roman" w:hAnsi="Times New Roman" w:cs="Times New Roman"/>
          <w:sz w:val="20"/>
          <w:szCs w:val="20"/>
        </w:rPr>
        <w:t>Tapp</w:t>
      </w:r>
      <w:proofErr w:type="spellEnd"/>
      <w:r w:rsidRPr="00875EB6">
        <w:rPr>
          <w:rFonts w:ascii="Times New Roman" w:hAnsi="Times New Roman" w:cs="Times New Roman"/>
          <w:sz w:val="20"/>
          <w:szCs w:val="20"/>
        </w:rPr>
        <w:t xml:space="preserve"> data.</w:t>
      </w:r>
    </w:p>
    <w:p w14:paraId="3B911EEF" w14:textId="3F4DBAB9" w:rsidR="007F32A3" w:rsidRDefault="007F32A3" w:rsidP="007F32A3">
      <w:pPr>
        <w:spacing w:line="360" w:lineRule="auto"/>
        <w:rPr>
          <w:rFonts w:ascii="Times New Roman" w:hAnsi="Times New Roman" w:cs="Times New Roman"/>
          <w:b/>
          <w:sz w:val="24"/>
          <w:szCs w:val="24"/>
        </w:rPr>
      </w:pPr>
      <w:r>
        <w:rPr>
          <w:rFonts w:ascii="Times New Roman" w:hAnsi="Times New Roman" w:cs="Times New Roman"/>
          <w:b/>
          <w:sz w:val="24"/>
          <w:szCs w:val="24"/>
        </w:rPr>
        <w:t>13.4 How did lockdown affect teachers’ psychological wellbeing?</w:t>
      </w:r>
    </w:p>
    <w:p w14:paraId="495C7803" w14:textId="240113D1" w:rsidR="007F32A3" w:rsidRDefault="007F32A3" w:rsidP="007F32A3">
      <w:pPr>
        <w:spacing w:line="360" w:lineRule="auto"/>
        <w:jc w:val="both"/>
        <w:rPr>
          <w:rFonts w:ascii="Times New Roman" w:hAnsi="Times New Roman" w:cs="Times New Roman"/>
          <w:sz w:val="24"/>
          <w:szCs w:val="24"/>
        </w:rPr>
      </w:pPr>
      <w:r w:rsidRPr="001E1BE9">
        <w:rPr>
          <w:rFonts w:ascii="Times New Roman" w:hAnsi="Times New Roman" w:cs="Times New Roman"/>
          <w:sz w:val="24"/>
          <w:szCs w:val="24"/>
        </w:rPr>
        <w:t xml:space="preserve">The previous section of this chapter focused specifically upon work-related anxiety before and during the </w:t>
      </w:r>
      <w:r w:rsidR="00817BCE">
        <w:rPr>
          <w:rFonts w:ascii="Times New Roman" w:hAnsi="Times New Roman" w:cs="Times New Roman"/>
          <w:sz w:val="24"/>
          <w:szCs w:val="24"/>
        </w:rPr>
        <w:t>Covid</w:t>
      </w:r>
      <w:r w:rsidRPr="001E1BE9">
        <w:rPr>
          <w:rFonts w:ascii="Times New Roman" w:hAnsi="Times New Roman" w:cs="Times New Roman"/>
          <w:sz w:val="24"/>
          <w:szCs w:val="24"/>
        </w:rPr>
        <w:t>-19 pandemic. Of course, work-related anxiety is just one narrow aspect of mental wellbeing. In this section, we turn to whether lockdown was damaging for teachers</w:t>
      </w:r>
      <w:r w:rsidR="00527AAE">
        <w:rPr>
          <w:rFonts w:ascii="Times New Roman" w:hAnsi="Times New Roman" w:cs="Times New Roman"/>
          <w:sz w:val="24"/>
          <w:szCs w:val="24"/>
        </w:rPr>
        <w:t>’</w:t>
      </w:r>
      <w:r w:rsidRPr="001E1BE9">
        <w:rPr>
          <w:rFonts w:ascii="Times New Roman" w:hAnsi="Times New Roman" w:cs="Times New Roman"/>
          <w:sz w:val="24"/>
          <w:szCs w:val="24"/>
        </w:rPr>
        <w:t xml:space="preserve"> psychological wellbeing overall</w:t>
      </w:r>
      <w:r>
        <w:rPr>
          <w:rFonts w:ascii="Times New Roman" w:hAnsi="Times New Roman" w:cs="Times New Roman"/>
          <w:sz w:val="24"/>
          <w:szCs w:val="24"/>
        </w:rPr>
        <w:t xml:space="preserve"> – drawing upon broader measures of mental health</w:t>
      </w:r>
      <w:r w:rsidRPr="001E1BE9">
        <w:rPr>
          <w:rFonts w:ascii="Times New Roman" w:hAnsi="Times New Roman" w:cs="Times New Roman"/>
          <w:sz w:val="24"/>
          <w:szCs w:val="24"/>
        </w:rPr>
        <w:t>.</w:t>
      </w:r>
    </w:p>
    <w:p w14:paraId="7B74E5F9" w14:textId="5420DC47" w:rsidR="007F32A3" w:rsidRPr="00F953FC" w:rsidRDefault="007F32A3" w:rsidP="007F32A3">
      <w:pPr>
        <w:spacing w:line="360" w:lineRule="auto"/>
        <w:jc w:val="both"/>
        <w:rPr>
          <w:rFonts w:ascii="Times New Roman" w:hAnsi="Times New Roman" w:cs="Times New Roman"/>
          <w:sz w:val="24"/>
          <w:szCs w:val="24"/>
        </w:rPr>
      </w:pPr>
      <w:r w:rsidRPr="00F953FC">
        <w:rPr>
          <w:rFonts w:ascii="Times New Roman" w:hAnsi="Times New Roman" w:cs="Times New Roman"/>
          <w:sz w:val="24"/>
          <w:szCs w:val="24"/>
        </w:rPr>
        <w:t xml:space="preserve">To begin, we use responses teachers provided to the Warwick-Edinburgh </w:t>
      </w:r>
      <w:r w:rsidR="00981AF0">
        <w:rPr>
          <w:rFonts w:ascii="Times New Roman" w:hAnsi="Times New Roman" w:cs="Times New Roman"/>
          <w:sz w:val="24"/>
          <w:szCs w:val="24"/>
        </w:rPr>
        <w:t>M</w:t>
      </w:r>
      <w:r w:rsidRPr="00F953FC">
        <w:rPr>
          <w:rFonts w:ascii="Times New Roman" w:hAnsi="Times New Roman" w:cs="Times New Roman"/>
          <w:sz w:val="24"/>
          <w:szCs w:val="24"/>
        </w:rPr>
        <w:t xml:space="preserve">ental </w:t>
      </w:r>
      <w:r w:rsidR="00981AF0">
        <w:rPr>
          <w:rFonts w:ascii="Times New Roman" w:hAnsi="Times New Roman" w:cs="Times New Roman"/>
          <w:sz w:val="24"/>
          <w:szCs w:val="24"/>
        </w:rPr>
        <w:t>W</w:t>
      </w:r>
      <w:r w:rsidRPr="00F953FC">
        <w:rPr>
          <w:rFonts w:ascii="Times New Roman" w:hAnsi="Times New Roman" w:cs="Times New Roman"/>
          <w:sz w:val="24"/>
          <w:szCs w:val="24"/>
        </w:rPr>
        <w:t xml:space="preserve">ellbeing </w:t>
      </w:r>
      <w:r w:rsidR="00981AF0">
        <w:rPr>
          <w:rFonts w:ascii="Times New Roman" w:hAnsi="Times New Roman" w:cs="Times New Roman"/>
          <w:sz w:val="24"/>
          <w:szCs w:val="24"/>
        </w:rPr>
        <w:t>S</w:t>
      </w:r>
      <w:r w:rsidR="00981AF0" w:rsidRPr="00F953FC">
        <w:rPr>
          <w:rFonts w:ascii="Times New Roman" w:hAnsi="Times New Roman" w:cs="Times New Roman"/>
          <w:sz w:val="24"/>
          <w:szCs w:val="24"/>
        </w:rPr>
        <w:t>cale</w:t>
      </w:r>
      <w:r w:rsidRPr="00F953FC">
        <w:rPr>
          <w:rFonts w:ascii="Times New Roman" w:hAnsi="Times New Roman" w:cs="Times New Roman"/>
          <w:sz w:val="24"/>
          <w:szCs w:val="24"/>
        </w:rPr>
        <w:t xml:space="preserve">. This includes 14 questions, all starting with the phrase </w:t>
      </w:r>
      <w:r w:rsidR="00981AF0">
        <w:rPr>
          <w:rFonts w:ascii="Times New Roman" w:hAnsi="Times New Roman" w:cs="Times New Roman"/>
          <w:sz w:val="24"/>
          <w:szCs w:val="24"/>
        </w:rPr>
        <w:t>‘</w:t>
      </w:r>
      <w:proofErr w:type="gramStart"/>
      <w:r w:rsidRPr="00F953FC">
        <w:rPr>
          <w:rFonts w:ascii="Times New Roman" w:hAnsi="Times New Roman" w:cs="Times New Roman"/>
          <w:sz w:val="24"/>
          <w:szCs w:val="24"/>
        </w:rPr>
        <w:t>In</w:t>
      </w:r>
      <w:proofErr w:type="gramEnd"/>
      <w:r w:rsidRPr="00F953FC">
        <w:rPr>
          <w:rFonts w:ascii="Times New Roman" w:hAnsi="Times New Roman" w:cs="Times New Roman"/>
          <w:sz w:val="24"/>
          <w:szCs w:val="24"/>
        </w:rPr>
        <w:t xml:space="preserve"> the last two weeks I’ve…</w:t>
      </w:r>
      <w:r w:rsidR="00981AF0">
        <w:rPr>
          <w:rFonts w:ascii="Times New Roman" w:hAnsi="Times New Roman" w:cs="Times New Roman"/>
          <w:sz w:val="24"/>
          <w:szCs w:val="24"/>
        </w:rPr>
        <w:t>’</w:t>
      </w:r>
      <w:r w:rsidRPr="00F953FC">
        <w:rPr>
          <w:rFonts w:ascii="Times New Roman" w:hAnsi="Times New Roman" w:cs="Times New Roman"/>
          <w:sz w:val="24"/>
          <w:szCs w:val="24"/>
        </w:rPr>
        <w:t xml:space="preserve"> and include</w:t>
      </w:r>
      <w:r w:rsidR="00F40D5E">
        <w:rPr>
          <w:rFonts w:ascii="Times New Roman" w:hAnsi="Times New Roman" w:cs="Times New Roman"/>
          <w:sz w:val="24"/>
          <w:szCs w:val="24"/>
        </w:rPr>
        <w:t>s</w:t>
      </w:r>
      <w:r w:rsidRPr="00F953FC">
        <w:rPr>
          <w:rFonts w:ascii="Times New Roman" w:hAnsi="Times New Roman" w:cs="Times New Roman"/>
          <w:sz w:val="24"/>
          <w:szCs w:val="24"/>
        </w:rPr>
        <w:t xml:space="preserve"> some statements closely related with </w:t>
      </w:r>
      <w:r w:rsidR="00F40D5E">
        <w:rPr>
          <w:rFonts w:ascii="Times New Roman" w:hAnsi="Times New Roman" w:cs="Times New Roman"/>
          <w:sz w:val="24"/>
          <w:szCs w:val="24"/>
        </w:rPr>
        <w:t>their</w:t>
      </w:r>
      <w:r w:rsidR="00F40D5E" w:rsidRPr="00F953FC">
        <w:rPr>
          <w:rFonts w:ascii="Times New Roman" w:hAnsi="Times New Roman" w:cs="Times New Roman"/>
          <w:sz w:val="24"/>
          <w:szCs w:val="24"/>
        </w:rPr>
        <w:t xml:space="preserve"> </w:t>
      </w:r>
      <w:r w:rsidRPr="00F953FC">
        <w:rPr>
          <w:rFonts w:ascii="Times New Roman" w:hAnsi="Times New Roman" w:cs="Times New Roman"/>
          <w:sz w:val="24"/>
          <w:szCs w:val="24"/>
        </w:rPr>
        <w:t xml:space="preserve">single work-anxiety score, e.g. </w:t>
      </w:r>
      <w:r w:rsidR="00C548E3">
        <w:rPr>
          <w:rFonts w:ascii="Times New Roman" w:hAnsi="Times New Roman" w:cs="Times New Roman"/>
          <w:sz w:val="24"/>
          <w:szCs w:val="24"/>
        </w:rPr>
        <w:t>‘</w:t>
      </w:r>
      <w:r w:rsidRPr="00F953FC">
        <w:rPr>
          <w:rFonts w:ascii="Times New Roman" w:hAnsi="Times New Roman" w:cs="Times New Roman"/>
          <w:sz w:val="24"/>
          <w:szCs w:val="24"/>
        </w:rPr>
        <w:t>Over the last two weeks I’ve been feeling relaxed</w:t>
      </w:r>
      <w:r w:rsidR="00C548E3">
        <w:rPr>
          <w:rFonts w:ascii="Times New Roman" w:hAnsi="Times New Roman" w:cs="Times New Roman"/>
          <w:sz w:val="24"/>
          <w:szCs w:val="24"/>
        </w:rPr>
        <w:t>’</w:t>
      </w:r>
      <w:r w:rsidRPr="00F953FC">
        <w:rPr>
          <w:rFonts w:ascii="Times New Roman" w:hAnsi="Times New Roman" w:cs="Times New Roman"/>
          <w:sz w:val="24"/>
          <w:szCs w:val="24"/>
        </w:rPr>
        <w:t xml:space="preserve"> and </w:t>
      </w:r>
      <w:r w:rsidR="00C548E3">
        <w:rPr>
          <w:rFonts w:ascii="Times New Roman" w:hAnsi="Times New Roman" w:cs="Times New Roman"/>
          <w:sz w:val="24"/>
          <w:szCs w:val="24"/>
        </w:rPr>
        <w:t>‘</w:t>
      </w:r>
      <w:r w:rsidRPr="00F953FC">
        <w:rPr>
          <w:rFonts w:ascii="Times New Roman" w:hAnsi="Times New Roman" w:cs="Times New Roman"/>
          <w:sz w:val="24"/>
          <w:szCs w:val="24"/>
        </w:rPr>
        <w:t>Over the last two weeks I’ve been feeling confident</w:t>
      </w:r>
      <w:r w:rsidR="00C548E3">
        <w:rPr>
          <w:rFonts w:ascii="Times New Roman" w:hAnsi="Times New Roman" w:cs="Times New Roman"/>
          <w:sz w:val="24"/>
          <w:szCs w:val="24"/>
        </w:rPr>
        <w:t>’</w:t>
      </w:r>
      <w:r w:rsidRPr="00F953FC">
        <w:rPr>
          <w:rFonts w:ascii="Times New Roman" w:hAnsi="Times New Roman" w:cs="Times New Roman"/>
          <w:sz w:val="24"/>
          <w:szCs w:val="24"/>
        </w:rPr>
        <w:t>. These questions were originally asked to the Teacher</w:t>
      </w:r>
      <w:r w:rsidR="00257815">
        <w:rPr>
          <w:rFonts w:ascii="Times New Roman" w:hAnsi="Times New Roman" w:cs="Times New Roman"/>
          <w:sz w:val="24"/>
          <w:szCs w:val="24"/>
        </w:rPr>
        <w:t xml:space="preserve"> </w:t>
      </w:r>
      <w:proofErr w:type="spellStart"/>
      <w:r w:rsidRPr="00F953FC">
        <w:rPr>
          <w:rFonts w:ascii="Times New Roman" w:hAnsi="Times New Roman" w:cs="Times New Roman"/>
          <w:sz w:val="24"/>
          <w:szCs w:val="24"/>
        </w:rPr>
        <w:t>Tapp</w:t>
      </w:r>
      <w:proofErr w:type="spellEnd"/>
      <w:r w:rsidRPr="00F953FC">
        <w:rPr>
          <w:rFonts w:ascii="Times New Roman" w:hAnsi="Times New Roman" w:cs="Times New Roman"/>
          <w:sz w:val="24"/>
          <w:szCs w:val="24"/>
        </w:rPr>
        <w:t xml:space="preserve"> panel in October 2019 (during term</w:t>
      </w:r>
      <w:r w:rsidR="00FA7950">
        <w:rPr>
          <w:rFonts w:ascii="Times New Roman" w:hAnsi="Times New Roman" w:cs="Times New Roman"/>
          <w:sz w:val="24"/>
          <w:szCs w:val="24"/>
        </w:rPr>
        <w:t xml:space="preserve"> </w:t>
      </w:r>
      <w:r w:rsidRPr="00E56887">
        <w:rPr>
          <w:rFonts w:ascii="Times New Roman" w:hAnsi="Times New Roman" w:cs="Times New Roman"/>
          <w:sz w:val="24"/>
          <w:szCs w:val="24"/>
        </w:rPr>
        <w:t>time), when the average score on the scale was 47 (which is actually slightly lower than the average of 51 for the population</w:t>
      </w:r>
      <w:r>
        <w:rPr>
          <w:rFonts w:ascii="Times New Roman" w:hAnsi="Times New Roman" w:cs="Times New Roman"/>
          <w:sz w:val="24"/>
          <w:szCs w:val="24"/>
        </w:rPr>
        <w:t xml:space="preserve"> </w:t>
      </w:r>
      <w:r w:rsidR="006267F3">
        <w:rPr>
          <w:rFonts w:ascii="Times New Roman" w:hAnsi="Times New Roman" w:cs="Times New Roman"/>
          <w:sz w:val="24"/>
          <w:szCs w:val="24"/>
        </w:rPr>
        <w:t>(</w:t>
      </w:r>
      <w:r>
        <w:rPr>
          <w:rFonts w:ascii="Times New Roman" w:hAnsi="Times New Roman" w:cs="Times New Roman"/>
          <w:sz w:val="24"/>
          <w:szCs w:val="24"/>
        </w:rPr>
        <w:t>Warwick Medical School</w:t>
      </w:r>
      <w:r w:rsidR="00C732DD">
        <w:rPr>
          <w:rFonts w:ascii="Times New Roman" w:hAnsi="Times New Roman" w:cs="Times New Roman"/>
          <w:sz w:val="24"/>
          <w:szCs w:val="24"/>
        </w:rPr>
        <w:t>,</w:t>
      </w:r>
      <w:r>
        <w:rPr>
          <w:rFonts w:ascii="Times New Roman" w:hAnsi="Times New Roman" w:cs="Times New Roman"/>
          <w:sz w:val="24"/>
          <w:szCs w:val="24"/>
        </w:rPr>
        <w:t xml:space="preserve"> 2020</w:t>
      </w:r>
      <w:r w:rsidRPr="00F953FC">
        <w:rPr>
          <w:rFonts w:ascii="Times New Roman" w:hAnsi="Times New Roman" w:cs="Times New Roman"/>
          <w:sz w:val="24"/>
          <w:szCs w:val="24"/>
        </w:rPr>
        <w:t>). The same questions were then asked to the same teachers during the height of lockdown (in the term-time part of April 2020). This enables us to investigate how teacher mental wellbeing changed.</w:t>
      </w:r>
    </w:p>
    <w:p w14:paraId="4EA78E52" w14:textId="77777777" w:rsidR="007F32A3" w:rsidRDefault="007F32A3" w:rsidP="007F32A3">
      <w:pPr>
        <w:spacing w:line="360" w:lineRule="auto"/>
        <w:jc w:val="both"/>
        <w:rPr>
          <w:rFonts w:ascii="Times New Roman" w:hAnsi="Times New Roman" w:cs="Times New Roman"/>
          <w:sz w:val="24"/>
          <w:szCs w:val="24"/>
        </w:rPr>
      </w:pPr>
      <w:r w:rsidRPr="00F953FC">
        <w:rPr>
          <w:rFonts w:ascii="Times New Roman" w:hAnsi="Times New Roman" w:cs="Times New Roman"/>
          <w:sz w:val="24"/>
          <w:szCs w:val="24"/>
        </w:rPr>
        <w:lastRenderedPageBreak/>
        <w:t>Interestingly, the overall scale score</w:t>
      </w:r>
      <w:r>
        <w:rPr>
          <w:rFonts w:ascii="Times New Roman" w:hAnsi="Times New Roman" w:cs="Times New Roman"/>
          <w:sz w:val="24"/>
          <w:szCs w:val="24"/>
        </w:rPr>
        <w:t xml:space="preserve"> between the two occasions did not alter; the average score was 47 in October 2019 (pre-pandemic) compared to a very slight increase in wellbeing up to 48 in April 2020 (height of lockdown).</w:t>
      </w:r>
    </w:p>
    <w:p w14:paraId="0D0BCC37" w14:textId="0C449EEB" w:rsidR="007F32A3" w:rsidRPr="00221894" w:rsidRDefault="007F32A3" w:rsidP="007F32A3">
      <w:pPr>
        <w:spacing w:line="360" w:lineRule="auto"/>
        <w:jc w:val="both"/>
        <w:rPr>
          <w:rFonts w:ascii="Times New Roman" w:hAnsi="Times New Roman" w:cs="Times New Roman"/>
          <w:sz w:val="24"/>
          <w:szCs w:val="24"/>
        </w:rPr>
      </w:pPr>
      <w:r w:rsidRPr="00221894">
        <w:rPr>
          <w:rFonts w:ascii="Times New Roman" w:hAnsi="Times New Roman" w:cs="Times New Roman"/>
          <w:sz w:val="24"/>
          <w:szCs w:val="24"/>
        </w:rPr>
        <w:t>This, however, masks some very large changes in a few of the 14 sub-questions that form the scale.</w:t>
      </w:r>
      <w:r>
        <w:rPr>
          <w:rFonts w:ascii="Times New Roman" w:hAnsi="Times New Roman" w:cs="Times New Roman"/>
          <w:sz w:val="24"/>
          <w:szCs w:val="24"/>
        </w:rPr>
        <w:t xml:space="preserve"> Specifically, Figure 13.5</w:t>
      </w:r>
      <w:r w:rsidRPr="00221894">
        <w:rPr>
          <w:rFonts w:ascii="Times New Roman" w:hAnsi="Times New Roman" w:cs="Times New Roman"/>
          <w:sz w:val="24"/>
          <w:szCs w:val="24"/>
        </w:rPr>
        <w:t xml:space="preserve"> illustrates the six questions where the biggest swings were observed. It seems that the lockdown may have impacted different aspects of teachers’ wellbeing in different ways. </w:t>
      </w:r>
      <w:r>
        <w:rPr>
          <w:rFonts w:ascii="Times New Roman" w:hAnsi="Times New Roman" w:cs="Times New Roman"/>
          <w:sz w:val="24"/>
          <w:szCs w:val="24"/>
        </w:rPr>
        <w:t>Teachers</w:t>
      </w:r>
      <w:r w:rsidRPr="00221894">
        <w:rPr>
          <w:rFonts w:ascii="Times New Roman" w:hAnsi="Times New Roman" w:cs="Times New Roman"/>
          <w:sz w:val="24"/>
          <w:szCs w:val="24"/>
        </w:rPr>
        <w:t xml:space="preserve"> were, for instance, more likely to say they felt loved often or all of the time in April 2020 (69</w:t>
      </w:r>
      <w:r w:rsidR="007F01C4">
        <w:rPr>
          <w:rFonts w:ascii="Times New Roman" w:hAnsi="Times New Roman" w:cs="Times New Roman"/>
          <w:sz w:val="24"/>
          <w:szCs w:val="24"/>
        </w:rPr>
        <w:t>%</w:t>
      </w:r>
      <w:r w:rsidRPr="00221894">
        <w:rPr>
          <w:rFonts w:ascii="Times New Roman" w:hAnsi="Times New Roman" w:cs="Times New Roman"/>
          <w:sz w:val="24"/>
          <w:szCs w:val="24"/>
        </w:rPr>
        <w:t>) than in October 2019 (58</w:t>
      </w:r>
      <w:r w:rsidR="007F01C4">
        <w:rPr>
          <w:rFonts w:ascii="Times New Roman" w:hAnsi="Times New Roman" w:cs="Times New Roman"/>
          <w:sz w:val="24"/>
          <w:szCs w:val="24"/>
        </w:rPr>
        <w:t>%</w:t>
      </w:r>
      <w:r w:rsidRPr="00221894">
        <w:rPr>
          <w:rFonts w:ascii="Times New Roman" w:hAnsi="Times New Roman" w:cs="Times New Roman"/>
          <w:sz w:val="24"/>
          <w:szCs w:val="24"/>
        </w:rPr>
        <w:t>). A similar improvement can be observed for whether teachers felt they had energy to spare (</w:t>
      </w:r>
      <w:r w:rsidR="00320113">
        <w:rPr>
          <w:rFonts w:ascii="Times New Roman" w:hAnsi="Times New Roman" w:cs="Times New Roman"/>
          <w:sz w:val="24"/>
          <w:szCs w:val="24"/>
        </w:rPr>
        <w:t>34</w:t>
      </w:r>
      <w:r w:rsidR="007F01C4">
        <w:rPr>
          <w:rFonts w:ascii="Times New Roman" w:hAnsi="Times New Roman" w:cs="Times New Roman"/>
          <w:sz w:val="24"/>
          <w:szCs w:val="24"/>
        </w:rPr>
        <w:t>%</w:t>
      </w:r>
      <w:r w:rsidRPr="00221894">
        <w:rPr>
          <w:rFonts w:ascii="Times New Roman" w:hAnsi="Times New Roman" w:cs="Times New Roman"/>
          <w:sz w:val="24"/>
          <w:szCs w:val="24"/>
        </w:rPr>
        <w:t xml:space="preserve"> versus </w:t>
      </w:r>
      <w:r w:rsidR="007F01C4">
        <w:rPr>
          <w:rFonts w:ascii="Times New Roman" w:hAnsi="Times New Roman" w:cs="Times New Roman"/>
          <w:sz w:val="24"/>
          <w:szCs w:val="24"/>
        </w:rPr>
        <w:t>7%</w:t>
      </w:r>
      <w:r w:rsidRPr="00221894">
        <w:rPr>
          <w:rFonts w:ascii="Times New Roman" w:hAnsi="Times New Roman" w:cs="Times New Roman"/>
          <w:sz w:val="24"/>
          <w:szCs w:val="24"/>
        </w:rPr>
        <w:t>), were feeling relaxed (</w:t>
      </w:r>
      <w:r w:rsidR="00320113">
        <w:rPr>
          <w:rFonts w:ascii="Times New Roman" w:hAnsi="Times New Roman" w:cs="Times New Roman"/>
          <w:sz w:val="24"/>
          <w:szCs w:val="24"/>
        </w:rPr>
        <w:t>37</w:t>
      </w:r>
      <w:r w:rsidR="007F01C4">
        <w:rPr>
          <w:rFonts w:ascii="Times New Roman" w:hAnsi="Times New Roman" w:cs="Times New Roman"/>
          <w:sz w:val="24"/>
          <w:szCs w:val="24"/>
        </w:rPr>
        <w:t>%</w:t>
      </w:r>
      <w:r w:rsidRPr="00221894">
        <w:rPr>
          <w:rFonts w:ascii="Times New Roman" w:hAnsi="Times New Roman" w:cs="Times New Roman"/>
          <w:sz w:val="24"/>
          <w:szCs w:val="24"/>
        </w:rPr>
        <w:t xml:space="preserve"> versus </w:t>
      </w:r>
      <w:r w:rsidR="00320113">
        <w:rPr>
          <w:rFonts w:ascii="Times New Roman" w:hAnsi="Times New Roman" w:cs="Times New Roman"/>
          <w:sz w:val="24"/>
          <w:szCs w:val="24"/>
        </w:rPr>
        <w:t>15</w:t>
      </w:r>
      <w:r w:rsidR="007F01C4">
        <w:rPr>
          <w:rFonts w:ascii="Times New Roman" w:hAnsi="Times New Roman" w:cs="Times New Roman"/>
          <w:sz w:val="24"/>
          <w:szCs w:val="24"/>
        </w:rPr>
        <w:t>%</w:t>
      </w:r>
      <w:r w:rsidRPr="00221894">
        <w:rPr>
          <w:rFonts w:ascii="Times New Roman" w:hAnsi="Times New Roman" w:cs="Times New Roman"/>
          <w:sz w:val="24"/>
          <w:szCs w:val="24"/>
        </w:rPr>
        <w:t>) and had been thinking clearly (</w:t>
      </w:r>
      <w:r w:rsidR="00320113">
        <w:rPr>
          <w:rFonts w:ascii="Times New Roman" w:hAnsi="Times New Roman" w:cs="Times New Roman"/>
          <w:sz w:val="24"/>
          <w:szCs w:val="24"/>
        </w:rPr>
        <w:t>57</w:t>
      </w:r>
      <w:r w:rsidR="007F01C4">
        <w:rPr>
          <w:rFonts w:ascii="Times New Roman" w:hAnsi="Times New Roman" w:cs="Times New Roman"/>
          <w:sz w:val="24"/>
          <w:szCs w:val="24"/>
        </w:rPr>
        <w:t>%</w:t>
      </w:r>
      <w:r w:rsidR="00320113">
        <w:rPr>
          <w:rFonts w:ascii="Times New Roman" w:hAnsi="Times New Roman" w:cs="Times New Roman"/>
          <w:sz w:val="24"/>
          <w:szCs w:val="24"/>
        </w:rPr>
        <w:t xml:space="preserve"> </w:t>
      </w:r>
      <w:r w:rsidRPr="00221894">
        <w:rPr>
          <w:rFonts w:ascii="Times New Roman" w:hAnsi="Times New Roman" w:cs="Times New Roman"/>
          <w:sz w:val="24"/>
          <w:szCs w:val="24"/>
        </w:rPr>
        <w:t xml:space="preserve">versus </w:t>
      </w:r>
      <w:r w:rsidR="00320113" w:rsidRPr="00221894">
        <w:rPr>
          <w:rFonts w:ascii="Times New Roman" w:hAnsi="Times New Roman" w:cs="Times New Roman"/>
          <w:sz w:val="24"/>
          <w:szCs w:val="24"/>
        </w:rPr>
        <w:t>45</w:t>
      </w:r>
      <w:r w:rsidR="007F01C4">
        <w:rPr>
          <w:rFonts w:ascii="Times New Roman" w:hAnsi="Times New Roman" w:cs="Times New Roman"/>
          <w:sz w:val="24"/>
          <w:szCs w:val="24"/>
        </w:rPr>
        <w:t>%</w:t>
      </w:r>
      <w:r w:rsidRPr="00221894">
        <w:rPr>
          <w:rFonts w:ascii="Times New Roman" w:hAnsi="Times New Roman" w:cs="Times New Roman"/>
          <w:sz w:val="24"/>
          <w:szCs w:val="24"/>
        </w:rPr>
        <w:t>). Balancing this out in the other direction, however, was the fact that teachers were less likely to say they were feeling useful in April 2020 than in October 2019 (decline from 60</w:t>
      </w:r>
      <w:r w:rsidR="007F01C4">
        <w:rPr>
          <w:rFonts w:ascii="Times New Roman" w:hAnsi="Times New Roman" w:cs="Times New Roman"/>
          <w:sz w:val="24"/>
          <w:szCs w:val="24"/>
        </w:rPr>
        <w:t>%</w:t>
      </w:r>
      <w:r w:rsidRPr="00221894">
        <w:rPr>
          <w:rFonts w:ascii="Times New Roman" w:hAnsi="Times New Roman" w:cs="Times New Roman"/>
          <w:sz w:val="24"/>
          <w:szCs w:val="24"/>
        </w:rPr>
        <w:t xml:space="preserve"> to 44</w:t>
      </w:r>
      <w:r w:rsidR="007F01C4">
        <w:rPr>
          <w:rFonts w:ascii="Times New Roman" w:hAnsi="Times New Roman" w:cs="Times New Roman"/>
          <w:sz w:val="24"/>
          <w:szCs w:val="24"/>
        </w:rPr>
        <w:t>%</w:t>
      </w:r>
      <w:r w:rsidRPr="00221894">
        <w:rPr>
          <w:rFonts w:ascii="Times New Roman" w:hAnsi="Times New Roman" w:cs="Times New Roman"/>
          <w:sz w:val="24"/>
          <w:szCs w:val="24"/>
        </w:rPr>
        <w:t>), optimistic about the future (</w:t>
      </w:r>
      <w:r w:rsidR="008213E3">
        <w:rPr>
          <w:rFonts w:ascii="Times New Roman" w:hAnsi="Times New Roman" w:cs="Times New Roman"/>
          <w:sz w:val="24"/>
          <w:szCs w:val="24"/>
        </w:rPr>
        <w:t xml:space="preserve">decline from </w:t>
      </w:r>
      <w:r w:rsidRPr="00221894">
        <w:rPr>
          <w:rFonts w:ascii="Times New Roman" w:hAnsi="Times New Roman" w:cs="Times New Roman"/>
          <w:sz w:val="24"/>
          <w:szCs w:val="24"/>
        </w:rPr>
        <w:t>39</w:t>
      </w:r>
      <w:r w:rsidR="007F01C4">
        <w:rPr>
          <w:rFonts w:ascii="Times New Roman" w:hAnsi="Times New Roman" w:cs="Times New Roman"/>
          <w:sz w:val="24"/>
          <w:szCs w:val="24"/>
        </w:rPr>
        <w:t>%</w:t>
      </w:r>
      <w:r w:rsidRPr="00221894">
        <w:rPr>
          <w:rFonts w:ascii="Times New Roman" w:hAnsi="Times New Roman" w:cs="Times New Roman"/>
          <w:sz w:val="24"/>
          <w:szCs w:val="24"/>
        </w:rPr>
        <w:t xml:space="preserve"> to 30</w:t>
      </w:r>
      <w:r w:rsidR="007F01C4">
        <w:rPr>
          <w:rFonts w:ascii="Times New Roman" w:hAnsi="Times New Roman" w:cs="Times New Roman"/>
          <w:sz w:val="24"/>
          <w:szCs w:val="24"/>
        </w:rPr>
        <w:t>%</w:t>
      </w:r>
      <w:r w:rsidRPr="00221894">
        <w:rPr>
          <w:rFonts w:ascii="Times New Roman" w:hAnsi="Times New Roman" w:cs="Times New Roman"/>
          <w:sz w:val="24"/>
          <w:szCs w:val="24"/>
        </w:rPr>
        <w:t>), or interested in new things (</w:t>
      </w:r>
      <w:r w:rsidR="008213E3">
        <w:rPr>
          <w:rFonts w:ascii="Times New Roman" w:hAnsi="Times New Roman" w:cs="Times New Roman"/>
          <w:sz w:val="24"/>
          <w:szCs w:val="24"/>
        </w:rPr>
        <w:t xml:space="preserve">decline from </w:t>
      </w:r>
      <w:r w:rsidRPr="00221894">
        <w:rPr>
          <w:rFonts w:ascii="Times New Roman" w:hAnsi="Times New Roman" w:cs="Times New Roman"/>
          <w:sz w:val="24"/>
          <w:szCs w:val="24"/>
        </w:rPr>
        <w:t>42</w:t>
      </w:r>
      <w:r w:rsidR="007F01C4">
        <w:rPr>
          <w:rFonts w:ascii="Times New Roman" w:hAnsi="Times New Roman" w:cs="Times New Roman"/>
          <w:sz w:val="24"/>
          <w:szCs w:val="24"/>
        </w:rPr>
        <w:t>%</w:t>
      </w:r>
      <w:r w:rsidRPr="00221894">
        <w:rPr>
          <w:rFonts w:ascii="Times New Roman" w:hAnsi="Times New Roman" w:cs="Times New Roman"/>
          <w:sz w:val="24"/>
          <w:szCs w:val="24"/>
        </w:rPr>
        <w:t xml:space="preserve"> to 27</w:t>
      </w:r>
      <w:r w:rsidR="00C548E3">
        <w:rPr>
          <w:rFonts w:ascii="Times New Roman" w:hAnsi="Times New Roman" w:cs="Times New Roman"/>
          <w:sz w:val="24"/>
          <w:szCs w:val="24"/>
        </w:rPr>
        <w:t>%</w:t>
      </w:r>
      <w:r w:rsidRPr="00221894">
        <w:rPr>
          <w:rFonts w:ascii="Times New Roman" w:hAnsi="Times New Roman" w:cs="Times New Roman"/>
          <w:sz w:val="24"/>
          <w:szCs w:val="24"/>
        </w:rPr>
        <w:t>).</w:t>
      </w:r>
    </w:p>
    <w:p w14:paraId="18A60717" w14:textId="2DF27E8E" w:rsidR="007F32A3" w:rsidRPr="00221894" w:rsidRDefault="007F32A3" w:rsidP="007F32A3">
      <w:pPr>
        <w:jc w:val="center"/>
        <w:rPr>
          <w:rFonts w:ascii="Times New Roman" w:hAnsi="Times New Roman" w:cs="Times New Roman"/>
          <w:b/>
          <w:sz w:val="24"/>
          <w:szCs w:val="24"/>
        </w:rPr>
      </w:pPr>
      <w:r>
        <w:rPr>
          <w:rFonts w:ascii="Times New Roman" w:hAnsi="Times New Roman" w:cs="Times New Roman"/>
          <w:b/>
          <w:sz w:val="24"/>
          <w:szCs w:val="24"/>
        </w:rPr>
        <w:t>Figure 13.5</w:t>
      </w:r>
      <w:r w:rsidRPr="00221894">
        <w:rPr>
          <w:rFonts w:ascii="Times New Roman" w:hAnsi="Times New Roman" w:cs="Times New Roman"/>
          <w:b/>
          <w:sz w:val="24"/>
          <w:szCs w:val="24"/>
        </w:rPr>
        <w:t xml:space="preserve"> Questions on the Warwick-Edinburgh </w:t>
      </w:r>
      <w:r w:rsidR="00981AF0">
        <w:rPr>
          <w:rFonts w:ascii="Times New Roman" w:hAnsi="Times New Roman" w:cs="Times New Roman"/>
          <w:b/>
          <w:sz w:val="24"/>
          <w:szCs w:val="24"/>
        </w:rPr>
        <w:t>M</w:t>
      </w:r>
      <w:r w:rsidRPr="00221894">
        <w:rPr>
          <w:rFonts w:ascii="Times New Roman" w:hAnsi="Times New Roman" w:cs="Times New Roman"/>
          <w:b/>
          <w:sz w:val="24"/>
          <w:szCs w:val="24"/>
        </w:rPr>
        <w:t xml:space="preserve">ental </w:t>
      </w:r>
      <w:r w:rsidR="00981AF0">
        <w:rPr>
          <w:rFonts w:ascii="Times New Roman" w:hAnsi="Times New Roman" w:cs="Times New Roman"/>
          <w:b/>
          <w:sz w:val="24"/>
          <w:szCs w:val="24"/>
        </w:rPr>
        <w:t>W</w:t>
      </w:r>
      <w:r w:rsidRPr="00221894">
        <w:rPr>
          <w:rFonts w:ascii="Times New Roman" w:hAnsi="Times New Roman" w:cs="Times New Roman"/>
          <w:b/>
          <w:sz w:val="24"/>
          <w:szCs w:val="24"/>
        </w:rPr>
        <w:t xml:space="preserve">ellbeing </w:t>
      </w:r>
      <w:r w:rsidR="00981AF0">
        <w:rPr>
          <w:rFonts w:ascii="Times New Roman" w:hAnsi="Times New Roman" w:cs="Times New Roman"/>
          <w:b/>
          <w:sz w:val="24"/>
          <w:szCs w:val="24"/>
        </w:rPr>
        <w:t>S</w:t>
      </w:r>
      <w:r w:rsidRPr="00221894">
        <w:rPr>
          <w:rFonts w:ascii="Times New Roman" w:hAnsi="Times New Roman" w:cs="Times New Roman"/>
          <w:b/>
          <w:sz w:val="24"/>
          <w:szCs w:val="24"/>
        </w:rPr>
        <w:t>cale with the biggest changes during lockdown</w:t>
      </w:r>
    </w:p>
    <w:p w14:paraId="346ABE2B" w14:textId="386D365F" w:rsidR="007F32A3" w:rsidRDefault="007F32A3" w:rsidP="007F32A3">
      <w:pPr>
        <w:rPr>
          <w:rFonts w:ascii="Times New Roman" w:hAnsi="Times New Roman" w:cs="Times New Roman"/>
          <w:sz w:val="24"/>
          <w:szCs w:val="24"/>
        </w:rPr>
      </w:pPr>
      <w:r>
        <w:rPr>
          <w:noProof/>
          <w:lang w:eastAsia="en-GB"/>
        </w:rPr>
        <w:drawing>
          <wp:inline distT="0" distB="0" distL="0" distR="0" wp14:anchorId="20717BA5" wp14:editId="3CA1378B">
            <wp:extent cx="5731510" cy="3820795"/>
            <wp:effectExtent l="0" t="0" r="2540" b="8255"/>
            <wp:docPr id="23" name="Picture 2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3"/>
                    <a:stretch>
                      <a:fillRect/>
                    </a:stretch>
                  </pic:blipFill>
                  <pic:spPr>
                    <a:xfrm>
                      <a:off x="0" y="0"/>
                      <a:ext cx="5731510" cy="3820795"/>
                    </a:xfrm>
                    <a:prstGeom prst="rect">
                      <a:avLst/>
                    </a:prstGeom>
                  </pic:spPr>
                </pic:pic>
              </a:graphicData>
            </a:graphic>
          </wp:inline>
        </w:drawing>
      </w:r>
    </w:p>
    <w:p w14:paraId="5E5E1CF4" w14:textId="1E0E8C71" w:rsidR="00875EB6" w:rsidRPr="00875EB6" w:rsidRDefault="00875EB6" w:rsidP="00875EB6">
      <w:pPr>
        <w:jc w:val="both"/>
        <w:rPr>
          <w:rFonts w:ascii="Times New Roman" w:hAnsi="Times New Roman" w:cs="Times New Roman"/>
          <w:sz w:val="20"/>
          <w:szCs w:val="20"/>
        </w:rPr>
      </w:pPr>
      <w:r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Pr="00875EB6">
        <w:rPr>
          <w:rFonts w:ascii="Times New Roman" w:hAnsi="Times New Roman" w:cs="Times New Roman"/>
          <w:sz w:val="20"/>
          <w:szCs w:val="20"/>
        </w:rPr>
        <w:t>Tapp</w:t>
      </w:r>
      <w:proofErr w:type="spellEnd"/>
      <w:r w:rsidRPr="00875EB6">
        <w:rPr>
          <w:rFonts w:ascii="Times New Roman" w:hAnsi="Times New Roman" w:cs="Times New Roman"/>
          <w:sz w:val="20"/>
          <w:szCs w:val="20"/>
        </w:rPr>
        <w:t xml:space="preserve"> data.</w:t>
      </w:r>
    </w:p>
    <w:p w14:paraId="50CBAFDB" w14:textId="77777777" w:rsidR="00875EB6" w:rsidRPr="00F953FC" w:rsidRDefault="00875EB6" w:rsidP="007F32A3">
      <w:pPr>
        <w:rPr>
          <w:rFonts w:ascii="Times New Roman" w:hAnsi="Times New Roman" w:cs="Times New Roman"/>
          <w:sz w:val="24"/>
          <w:szCs w:val="24"/>
        </w:rPr>
      </w:pPr>
    </w:p>
    <w:p w14:paraId="7E0E5607" w14:textId="77777777" w:rsidR="007F32A3" w:rsidRDefault="007F32A3" w:rsidP="007F32A3"/>
    <w:p w14:paraId="070745A7" w14:textId="4AEDDD89" w:rsidR="007F32A3" w:rsidRPr="003C5AC3" w:rsidRDefault="007F32A3" w:rsidP="007F32A3">
      <w:pPr>
        <w:spacing w:line="360" w:lineRule="auto"/>
        <w:jc w:val="both"/>
        <w:rPr>
          <w:rFonts w:ascii="Times New Roman" w:hAnsi="Times New Roman" w:cs="Times New Roman"/>
          <w:sz w:val="24"/>
          <w:szCs w:val="24"/>
        </w:rPr>
      </w:pPr>
      <w:r w:rsidRPr="003C5AC3">
        <w:rPr>
          <w:rFonts w:ascii="Times New Roman" w:hAnsi="Times New Roman" w:cs="Times New Roman"/>
          <w:sz w:val="24"/>
          <w:szCs w:val="24"/>
        </w:rPr>
        <w:t>One inference one can draw from the above seems to be that, although the huge change in the day-to-day activities may have changed specific aspects of teachers’ mental wellbeing, it may not have caused it to materially deteriorate overall. However, the Teacher</w:t>
      </w:r>
      <w:r w:rsidR="00257815">
        <w:rPr>
          <w:rFonts w:ascii="Times New Roman" w:hAnsi="Times New Roman" w:cs="Times New Roman"/>
          <w:sz w:val="24"/>
          <w:szCs w:val="24"/>
        </w:rPr>
        <w:t xml:space="preserve"> </w:t>
      </w:r>
      <w:proofErr w:type="spellStart"/>
      <w:r w:rsidRPr="003C5AC3">
        <w:rPr>
          <w:rFonts w:ascii="Times New Roman" w:hAnsi="Times New Roman" w:cs="Times New Roman"/>
          <w:sz w:val="24"/>
          <w:szCs w:val="24"/>
        </w:rPr>
        <w:t>Tapp</w:t>
      </w:r>
      <w:proofErr w:type="spellEnd"/>
      <w:r w:rsidRPr="003C5AC3">
        <w:rPr>
          <w:rFonts w:ascii="Times New Roman" w:hAnsi="Times New Roman" w:cs="Times New Roman"/>
          <w:sz w:val="24"/>
          <w:szCs w:val="24"/>
        </w:rPr>
        <w:t xml:space="preserve"> panel were also asked at three points during lockdown (10</w:t>
      </w:r>
      <w:r w:rsidRPr="003C5AC3">
        <w:rPr>
          <w:rFonts w:ascii="Times New Roman" w:hAnsi="Times New Roman" w:cs="Times New Roman"/>
          <w:sz w:val="24"/>
          <w:szCs w:val="24"/>
          <w:vertAlign w:val="superscript"/>
        </w:rPr>
        <w:t>th</w:t>
      </w:r>
      <w:r w:rsidRPr="003C5AC3">
        <w:rPr>
          <w:rFonts w:ascii="Times New Roman" w:hAnsi="Times New Roman" w:cs="Times New Roman"/>
          <w:sz w:val="24"/>
          <w:szCs w:val="24"/>
        </w:rPr>
        <w:t xml:space="preserve"> April, 14</w:t>
      </w:r>
      <w:r w:rsidRPr="003C5AC3">
        <w:rPr>
          <w:rFonts w:ascii="Times New Roman" w:hAnsi="Times New Roman" w:cs="Times New Roman"/>
          <w:sz w:val="24"/>
          <w:szCs w:val="24"/>
          <w:vertAlign w:val="superscript"/>
        </w:rPr>
        <w:t>th</w:t>
      </w:r>
      <w:r w:rsidRPr="003C5AC3">
        <w:rPr>
          <w:rFonts w:ascii="Times New Roman" w:hAnsi="Times New Roman" w:cs="Times New Roman"/>
          <w:sz w:val="24"/>
          <w:szCs w:val="24"/>
        </w:rPr>
        <w:t xml:space="preserve"> May and 17</w:t>
      </w:r>
      <w:r w:rsidRPr="003C5AC3">
        <w:rPr>
          <w:rFonts w:ascii="Times New Roman" w:hAnsi="Times New Roman" w:cs="Times New Roman"/>
          <w:sz w:val="24"/>
          <w:szCs w:val="24"/>
          <w:vertAlign w:val="superscript"/>
        </w:rPr>
        <w:t>th</w:t>
      </w:r>
      <w:r w:rsidRPr="003C5AC3">
        <w:rPr>
          <w:rFonts w:ascii="Times New Roman" w:hAnsi="Times New Roman" w:cs="Times New Roman"/>
          <w:sz w:val="24"/>
          <w:szCs w:val="24"/>
        </w:rPr>
        <w:t xml:space="preserve"> June) about whether they felt that the </w:t>
      </w:r>
      <w:r w:rsidR="00817BCE">
        <w:rPr>
          <w:rFonts w:ascii="Times New Roman" w:hAnsi="Times New Roman" w:cs="Times New Roman"/>
          <w:sz w:val="24"/>
          <w:szCs w:val="24"/>
        </w:rPr>
        <w:t>Covid</w:t>
      </w:r>
      <w:r w:rsidRPr="003C5AC3">
        <w:rPr>
          <w:rFonts w:ascii="Times New Roman" w:hAnsi="Times New Roman" w:cs="Times New Roman"/>
          <w:sz w:val="24"/>
          <w:szCs w:val="24"/>
        </w:rPr>
        <w:t>-19 outbreak had a negative impact on their psychological health. Answer</w:t>
      </w:r>
      <w:r>
        <w:rPr>
          <w:rFonts w:ascii="Times New Roman" w:hAnsi="Times New Roman" w:cs="Times New Roman"/>
          <w:sz w:val="24"/>
          <w:szCs w:val="24"/>
        </w:rPr>
        <w:t>s</w:t>
      </w:r>
      <w:r w:rsidRPr="003C5AC3">
        <w:rPr>
          <w:rFonts w:ascii="Times New Roman" w:hAnsi="Times New Roman" w:cs="Times New Roman"/>
          <w:sz w:val="24"/>
          <w:szCs w:val="24"/>
        </w:rPr>
        <w:t xml:space="preserve"> to this more direct, subjective question about lockdown experiences were rather different, as illustrated by Figure 13.6. On each of the three occasions, over two</w:t>
      </w:r>
      <w:r w:rsidR="00825EFB">
        <w:rPr>
          <w:rFonts w:ascii="Times New Roman" w:hAnsi="Times New Roman" w:cs="Times New Roman"/>
          <w:sz w:val="24"/>
          <w:szCs w:val="24"/>
        </w:rPr>
        <w:t xml:space="preserve"> </w:t>
      </w:r>
      <w:r w:rsidRPr="003C5AC3">
        <w:rPr>
          <w:rFonts w:ascii="Times New Roman" w:hAnsi="Times New Roman" w:cs="Times New Roman"/>
          <w:sz w:val="24"/>
          <w:szCs w:val="24"/>
        </w:rPr>
        <w:t>thirds of teachers agreed that the impact had been negative, which is at odds with the changes in the Warwick-Edinburgh scale (see Figure 13.5 above) and their fall in work-related anxiety (see Figure 13.1).</w:t>
      </w:r>
    </w:p>
    <w:p w14:paraId="3D07DBEE" w14:textId="5225AFAE" w:rsidR="007F32A3" w:rsidRPr="003C5AC3" w:rsidRDefault="007F32A3" w:rsidP="007F32A3">
      <w:pPr>
        <w:jc w:val="center"/>
        <w:rPr>
          <w:rFonts w:ascii="Times New Roman" w:hAnsi="Times New Roman" w:cs="Times New Roman"/>
          <w:b/>
          <w:sz w:val="24"/>
          <w:szCs w:val="24"/>
        </w:rPr>
      </w:pPr>
      <w:r w:rsidRPr="003C5AC3">
        <w:rPr>
          <w:rFonts w:ascii="Times New Roman" w:hAnsi="Times New Roman" w:cs="Times New Roman"/>
          <w:b/>
          <w:sz w:val="24"/>
          <w:szCs w:val="24"/>
        </w:rPr>
        <w:t xml:space="preserve">Figure 13.6 Teachers subjective views on how the </w:t>
      </w:r>
      <w:r w:rsidR="00817BCE">
        <w:rPr>
          <w:rFonts w:ascii="Times New Roman" w:hAnsi="Times New Roman" w:cs="Times New Roman"/>
          <w:b/>
          <w:sz w:val="24"/>
          <w:szCs w:val="24"/>
        </w:rPr>
        <w:t>Covid</w:t>
      </w:r>
      <w:r w:rsidRPr="003C5AC3">
        <w:rPr>
          <w:rFonts w:ascii="Times New Roman" w:hAnsi="Times New Roman" w:cs="Times New Roman"/>
          <w:b/>
          <w:sz w:val="24"/>
          <w:szCs w:val="24"/>
        </w:rPr>
        <w:t>-19 pandemic had affected their psychological health during lockdown</w:t>
      </w:r>
    </w:p>
    <w:p w14:paraId="718CFF24" w14:textId="1934BDB4" w:rsidR="007F32A3" w:rsidRDefault="007F32A3" w:rsidP="007F32A3">
      <w:pPr>
        <w:jc w:val="center"/>
      </w:pPr>
      <w:r>
        <w:rPr>
          <w:noProof/>
          <w:lang w:eastAsia="en-GB"/>
        </w:rPr>
        <w:drawing>
          <wp:inline distT="0" distB="0" distL="0" distR="0" wp14:anchorId="0FDC97BB" wp14:editId="1CB5984F">
            <wp:extent cx="5731510" cy="2865755"/>
            <wp:effectExtent l="0" t="0" r="2540" b="0"/>
            <wp:docPr id="24" name="Picture 24"/>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4"/>
                    <a:stretch>
                      <a:fillRect/>
                    </a:stretch>
                  </pic:blipFill>
                  <pic:spPr>
                    <a:xfrm>
                      <a:off x="0" y="0"/>
                      <a:ext cx="5731510" cy="2865755"/>
                    </a:xfrm>
                    <a:prstGeom prst="rect">
                      <a:avLst/>
                    </a:prstGeom>
                  </pic:spPr>
                </pic:pic>
              </a:graphicData>
            </a:graphic>
          </wp:inline>
        </w:drawing>
      </w:r>
    </w:p>
    <w:p w14:paraId="4925056F" w14:textId="02D1738F" w:rsidR="007F32A3" w:rsidRDefault="00875EB6" w:rsidP="00D30CB6">
      <w:pPr>
        <w:spacing w:after="0" w:line="257" w:lineRule="auto"/>
        <w:jc w:val="both"/>
        <w:rPr>
          <w:rFonts w:ascii="Times New Roman" w:hAnsi="Times New Roman" w:cs="Times New Roman"/>
          <w:sz w:val="20"/>
          <w:szCs w:val="20"/>
        </w:rPr>
      </w:pPr>
      <w:r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Pr="00875EB6">
        <w:rPr>
          <w:rFonts w:ascii="Times New Roman" w:hAnsi="Times New Roman" w:cs="Times New Roman"/>
          <w:sz w:val="20"/>
          <w:szCs w:val="20"/>
        </w:rPr>
        <w:t>Tapp</w:t>
      </w:r>
      <w:proofErr w:type="spellEnd"/>
      <w:r w:rsidRPr="00875EB6">
        <w:rPr>
          <w:rFonts w:ascii="Times New Roman" w:hAnsi="Times New Roman" w:cs="Times New Roman"/>
          <w:sz w:val="20"/>
          <w:szCs w:val="20"/>
        </w:rPr>
        <w:t xml:space="preserve"> data.</w:t>
      </w:r>
    </w:p>
    <w:p w14:paraId="384ADDA3" w14:textId="77777777" w:rsidR="00D30CB6" w:rsidRPr="00875EB6" w:rsidRDefault="00D30CB6" w:rsidP="008B4E20">
      <w:pPr>
        <w:spacing w:line="257" w:lineRule="auto"/>
        <w:jc w:val="both"/>
        <w:rPr>
          <w:rFonts w:ascii="Times New Roman" w:hAnsi="Times New Roman" w:cs="Times New Roman"/>
          <w:sz w:val="20"/>
          <w:szCs w:val="20"/>
        </w:rPr>
      </w:pPr>
    </w:p>
    <w:p w14:paraId="2C4E48D2" w14:textId="77777777" w:rsidR="007F32A3" w:rsidRDefault="007F32A3" w:rsidP="007F32A3">
      <w:pPr>
        <w:rPr>
          <w:rFonts w:ascii="Times New Roman" w:hAnsi="Times New Roman" w:cs="Times New Roman"/>
          <w:b/>
          <w:sz w:val="24"/>
          <w:szCs w:val="24"/>
        </w:rPr>
      </w:pPr>
      <w:r>
        <w:rPr>
          <w:rFonts w:ascii="Times New Roman" w:hAnsi="Times New Roman" w:cs="Times New Roman"/>
          <w:b/>
          <w:sz w:val="24"/>
          <w:szCs w:val="24"/>
        </w:rPr>
        <w:t>13.5 Were female teachers more anxious about work during lockdown than men?</w:t>
      </w:r>
    </w:p>
    <w:p w14:paraId="524C5D6E" w14:textId="3D7F20E4" w:rsidR="007F32A3" w:rsidRPr="002026AC" w:rsidRDefault="007F32A3" w:rsidP="007F32A3">
      <w:pPr>
        <w:spacing w:line="360" w:lineRule="auto"/>
        <w:jc w:val="both"/>
        <w:rPr>
          <w:rFonts w:ascii="Times New Roman" w:hAnsi="Times New Roman" w:cs="Times New Roman"/>
          <w:noProof/>
          <w:sz w:val="24"/>
          <w:szCs w:val="24"/>
        </w:rPr>
      </w:pPr>
      <w:r w:rsidRPr="002026AC">
        <w:rPr>
          <w:rFonts w:ascii="Times New Roman" w:hAnsi="Times New Roman" w:cs="Times New Roman"/>
          <w:noProof/>
          <w:sz w:val="24"/>
          <w:szCs w:val="24"/>
        </w:rPr>
        <w:t xml:space="preserve">There has been much debate about the differential effect that the </w:t>
      </w:r>
      <w:r w:rsidR="00817BCE">
        <w:rPr>
          <w:rFonts w:ascii="Times New Roman" w:hAnsi="Times New Roman" w:cs="Times New Roman"/>
          <w:noProof/>
          <w:sz w:val="24"/>
          <w:szCs w:val="24"/>
        </w:rPr>
        <w:t>Covid</w:t>
      </w:r>
      <w:r w:rsidRPr="002026AC">
        <w:rPr>
          <w:rFonts w:ascii="Times New Roman" w:hAnsi="Times New Roman" w:cs="Times New Roman"/>
          <w:noProof/>
          <w:sz w:val="24"/>
          <w:szCs w:val="24"/>
        </w:rPr>
        <w:t xml:space="preserve">-19 crisis has had upon men and women. It has </w:t>
      </w:r>
      <w:r w:rsidRPr="004E3519">
        <w:rPr>
          <w:rFonts w:ascii="Times New Roman" w:hAnsi="Times New Roman" w:cs="Times New Roman"/>
          <w:noProof/>
          <w:sz w:val="24"/>
          <w:szCs w:val="24"/>
        </w:rPr>
        <w:t>been widely reported</w:t>
      </w:r>
      <w:r w:rsidRPr="002026AC">
        <w:rPr>
          <w:rFonts w:ascii="Times New Roman" w:hAnsi="Times New Roman" w:cs="Times New Roman"/>
          <w:noProof/>
          <w:sz w:val="24"/>
          <w:szCs w:val="24"/>
        </w:rPr>
        <w:t xml:space="preserve"> that women have borne the brunt of childcare and home </w:t>
      </w:r>
      <w:r w:rsidRPr="004E3519">
        <w:rPr>
          <w:rFonts w:ascii="Times New Roman" w:hAnsi="Times New Roman" w:cs="Times New Roman"/>
          <w:noProof/>
          <w:sz w:val="24"/>
          <w:szCs w:val="24"/>
        </w:rPr>
        <w:t>schooling during lockdown (Power</w:t>
      </w:r>
      <w:r w:rsidR="00463549">
        <w:rPr>
          <w:rFonts w:ascii="Times New Roman" w:hAnsi="Times New Roman" w:cs="Times New Roman"/>
          <w:noProof/>
          <w:sz w:val="24"/>
          <w:szCs w:val="24"/>
        </w:rPr>
        <w:t>,</w:t>
      </w:r>
      <w:r w:rsidRPr="004E3519">
        <w:rPr>
          <w:rFonts w:ascii="Times New Roman" w:hAnsi="Times New Roman" w:cs="Times New Roman"/>
          <w:noProof/>
          <w:sz w:val="24"/>
          <w:szCs w:val="24"/>
        </w:rPr>
        <w:t xml:space="preserve"> 2020), with many families trying to manage work and family responsibilties</w:t>
      </w:r>
      <w:r w:rsidRPr="002026AC">
        <w:rPr>
          <w:rFonts w:ascii="Times New Roman" w:hAnsi="Times New Roman" w:cs="Times New Roman"/>
          <w:noProof/>
          <w:sz w:val="24"/>
          <w:szCs w:val="24"/>
        </w:rPr>
        <w:t xml:space="preserve"> at the same time</w:t>
      </w:r>
      <w:r>
        <w:rPr>
          <w:rFonts w:ascii="Times New Roman" w:hAnsi="Times New Roman" w:cs="Times New Roman"/>
          <w:noProof/>
          <w:sz w:val="24"/>
          <w:szCs w:val="24"/>
        </w:rPr>
        <w:t xml:space="preserve"> (Oppenheim</w:t>
      </w:r>
      <w:r w:rsidR="00463549">
        <w:rPr>
          <w:rFonts w:ascii="Times New Roman" w:hAnsi="Times New Roman" w:cs="Times New Roman"/>
          <w:noProof/>
          <w:sz w:val="24"/>
          <w:szCs w:val="24"/>
        </w:rPr>
        <w:t>,</w:t>
      </w:r>
      <w:r>
        <w:rPr>
          <w:rFonts w:ascii="Times New Roman" w:hAnsi="Times New Roman" w:cs="Times New Roman"/>
          <w:noProof/>
          <w:sz w:val="24"/>
          <w:szCs w:val="24"/>
        </w:rPr>
        <w:t xml:space="preserve"> 2020)</w:t>
      </w:r>
      <w:r w:rsidRPr="002026AC">
        <w:rPr>
          <w:rFonts w:ascii="Times New Roman" w:hAnsi="Times New Roman" w:cs="Times New Roman"/>
          <w:noProof/>
          <w:sz w:val="24"/>
          <w:szCs w:val="24"/>
        </w:rPr>
        <w:t xml:space="preserve">. It has hence been suggested that </w:t>
      </w:r>
      <w:r w:rsidR="00817BCE">
        <w:rPr>
          <w:rFonts w:ascii="Times New Roman" w:hAnsi="Times New Roman" w:cs="Times New Roman"/>
          <w:noProof/>
          <w:sz w:val="24"/>
          <w:szCs w:val="24"/>
        </w:rPr>
        <w:t>Covid</w:t>
      </w:r>
      <w:r w:rsidRPr="002026AC">
        <w:rPr>
          <w:rFonts w:ascii="Times New Roman" w:hAnsi="Times New Roman" w:cs="Times New Roman"/>
          <w:noProof/>
          <w:sz w:val="24"/>
          <w:szCs w:val="24"/>
        </w:rPr>
        <w:t xml:space="preserve">-19 has the potential to be </w:t>
      </w:r>
      <w:r w:rsidRPr="004E3519">
        <w:rPr>
          <w:rFonts w:ascii="Times New Roman" w:hAnsi="Times New Roman" w:cs="Times New Roman"/>
          <w:noProof/>
          <w:sz w:val="24"/>
          <w:szCs w:val="24"/>
        </w:rPr>
        <w:t>disastrous for gender equality (Savage</w:t>
      </w:r>
      <w:r w:rsidR="00463549">
        <w:rPr>
          <w:rFonts w:ascii="Times New Roman" w:hAnsi="Times New Roman" w:cs="Times New Roman"/>
          <w:noProof/>
          <w:sz w:val="24"/>
          <w:szCs w:val="24"/>
        </w:rPr>
        <w:t>,</w:t>
      </w:r>
      <w:r w:rsidRPr="004E3519">
        <w:rPr>
          <w:rFonts w:ascii="Times New Roman" w:hAnsi="Times New Roman" w:cs="Times New Roman"/>
          <w:noProof/>
          <w:sz w:val="24"/>
          <w:szCs w:val="24"/>
        </w:rPr>
        <w:t xml:space="preserve"> 2020). Moreover, the burden of juggling home and work life throughout this crisis</w:t>
      </w:r>
      <w:r w:rsidRPr="002026AC">
        <w:rPr>
          <w:rFonts w:ascii="Times New Roman" w:hAnsi="Times New Roman" w:cs="Times New Roman"/>
          <w:noProof/>
          <w:sz w:val="24"/>
          <w:szCs w:val="24"/>
        </w:rPr>
        <w:t xml:space="preserve"> has clear potential implications for work-related anxiety, with many families having the same amount of time to cope with </w:t>
      </w:r>
      <w:r w:rsidRPr="002026AC">
        <w:rPr>
          <w:rFonts w:ascii="Times New Roman" w:hAnsi="Times New Roman" w:cs="Times New Roman"/>
          <w:noProof/>
          <w:sz w:val="24"/>
          <w:szCs w:val="24"/>
        </w:rPr>
        <w:lastRenderedPageBreak/>
        <w:t xml:space="preserve">more responsibilities. </w:t>
      </w:r>
      <w:r>
        <w:rPr>
          <w:rFonts w:ascii="Times New Roman" w:hAnsi="Times New Roman" w:cs="Times New Roman"/>
          <w:noProof/>
          <w:sz w:val="24"/>
          <w:szCs w:val="24"/>
        </w:rPr>
        <w:t xml:space="preserve">This section hence considers whether the pandemic differentially affected the work-related anxiety of male and female teachers. </w:t>
      </w:r>
    </w:p>
    <w:p w14:paraId="56A92731" w14:textId="511D8DF7" w:rsidR="007F32A3" w:rsidRPr="002026AC" w:rsidRDefault="007F32A3" w:rsidP="007F32A3">
      <w:pPr>
        <w:spacing w:line="360" w:lineRule="auto"/>
        <w:jc w:val="both"/>
        <w:rPr>
          <w:rFonts w:ascii="Times New Roman" w:hAnsi="Times New Roman" w:cs="Times New Roman"/>
          <w:sz w:val="24"/>
          <w:szCs w:val="24"/>
        </w:rPr>
      </w:pPr>
      <w:r w:rsidRPr="002026AC">
        <w:rPr>
          <w:rFonts w:ascii="Times New Roman" w:hAnsi="Times New Roman" w:cs="Times New Roman"/>
          <w:noProof/>
          <w:sz w:val="24"/>
          <w:szCs w:val="24"/>
        </w:rPr>
        <w:t xml:space="preserve">In total, 3,034 teachers (858 male and 2,176 female) answered the work-related anxiety question the 12 times it was asked between mid-March and the end of June. Figure 13.7 illustrates </w:t>
      </w:r>
      <w:r w:rsidRPr="002026AC">
        <w:rPr>
          <w:rFonts w:ascii="Times New Roman" w:hAnsi="Times New Roman" w:cs="Times New Roman"/>
          <w:sz w:val="24"/>
          <w:szCs w:val="24"/>
        </w:rPr>
        <w:t xml:space="preserve">how raw (unadjusted) gender gaps in work-related anxiety played out during the pandemic. </w:t>
      </w:r>
    </w:p>
    <w:p w14:paraId="325161A9" w14:textId="1141898B" w:rsidR="007F32A3" w:rsidRPr="002026AC" w:rsidRDefault="007F32A3" w:rsidP="007F32A3">
      <w:pPr>
        <w:jc w:val="center"/>
        <w:rPr>
          <w:rFonts w:ascii="Times New Roman" w:hAnsi="Times New Roman" w:cs="Times New Roman"/>
          <w:b/>
          <w:sz w:val="24"/>
          <w:szCs w:val="24"/>
        </w:rPr>
      </w:pPr>
      <w:r w:rsidRPr="002026AC">
        <w:rPr>
          <w:rFonts w:ascii="Times New Roman" w:hAnsi="Times New Roman" w:cs="Times New Roman"/>
          <w:b/>
          <w:sz w:val="24"/>
          <w:szCs w:val="24"/>
        </w:rPr>
        <w:t xml:space="preserve">Figure 13.7. </w:t>
      </w:r>
      <w:r w:rsidRPr="002026AC">
        <w:rPr>
          <w:rFonts w:ascii="Times New Roman" w:hAnsi="Times New Roman" w:cs="Times New Roman"/>
          <w:b/>
          <w:bCs/>
          <w:sz w:val="24"/>
          <w:szCs w:val="24"/>
        </w:rPr>
        <w:t xml:space="preserve">Gender differences in work-related anxiety during the </w:t>
      </w:r>
      <w:r w:rsidR="00817BCE">
        <w:rPr>
          <w:rFonts w:ascii="Times New Roman" w:hAnsi="Times New Roman" w:cs="Times New Roman"/>
          <w:b/>
          <w:bCs/>
          <w:sz w:val="24"/>
          <w:szCs w:val="24"/>
        </w:rPr>
        <w:t>Covid</w:t>
      </w:r>
      <w:r w:rsidRPr="002026AC">
        <w:rPr>
          <w:rFonts w:ascii="Times New Roman" w:hAnsi="Times New Roman" w:cs="Times New Roman"/>
          <w:b/>
          <w:bCs/>
          <w:sz w:val="24"/>
          <w:szCs w:val="24"/>
        </w:rPr>
        <w:t>-19 pandemic (unconditional)</w:t>
      </w:r>
    </w:p>
    <w:p w14:paraId="771C6895" w14:textId="77777777" w:rsidR="007F32A3" w:rsidRDefault="007F32A3" w:rsidP="007F32A3">
      <w:pPr>
        <w:jc w:val="center"/>
      </w:pPr>
      <w:r>
        <w:rPr>
          <w:noProof/>
          <w:lang w:eastAsia="en-GB"/>
        </w:rPr>
        <w:drawing>
          <wp:inline distT="0" distB="0" distL="0" distR="0" wp14:anchorId="7DA0CB17" wp14:editId="1C9C1AA2">
            <wp:extent cx="5943600" cy="3270250"/>
            <wp:effectExtent l="0" t="0" r="0" b="635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6DF41634" w14:textId="75DC0CFA" w:rsidR="00257815" w:rsidRPr="00875EB6" w:rsidRDefault="007F32A3" w:rsidP="008B4E20">
      <w:pPr>
        <w:spacing w:after="0" w:line="257" w:lineRule="auto"/>
        <w:jc w:val="both"/>
        <w:rPr>
          <w:rFonts w:ascii="Times New Roman" w:hAnsi="Times New Roman" w:cs="Times New Roman"/>
          <w:sz w:val="20"/>
          <w:szCs w:val="20"/>
        </w:rPr>
      </w:pPr>
      <w:r w:rsidRPr="00A07C32">
        <w:rPr>
          <w:rFonts w:ascii="Times New Roman" w:hAnsi="Times New Roman" w:cs="Times New Roman"/>
          <w:sz w:val="20"/>
          <w:szCs w:val="20"/>
        </w:rPr>
        <w:t xml:space="preserve">Notes: the breaks in the data represent Easter and half-term holidays where </w:t>
      </w:r>
      <w:r>
        <w:rPr>
          <w:rFonts w:ascii="Times New Roman" w:hAnsi="Times New Roman" w:cs="Times New Roman"/>
          <w:sz w:val="20"/>
          <w:szCs w:val="20"/>
        </w:rPr>
        <w:t xml:space="preserve">teachers were less likely to be </w:t>
      </w:r>
      <w:r w:rsidRPr="00A07C32">
        <w:rPr>
          <w:rFonts w:ascii="Times New Roman" w:hAnsi="Times New Roman" w:cs="Times New Roman"/>
          <w:sz w:val="20"/>
          <w:szCs w:val="20"/>
        </w:rPr>
        <w:t>working.</w:t>
      </w:r>
      <w:r w:rsidR="00875EB6" w:rsidRPr="00875EB6">
        <w:rPr>
          <w:rFonts w:ascii="Times New Roman" w:hAnsi="Times New Roman" w:cs="Times New Roman"/>
          <w:sz w:val="20"/>
          <w:szCs w:val="20"/>
        </w:rPr>
        <w:t xml:space="preserve"> Source: Teacher</w:t>
      </w:r>
      <w:r w:rsidR="00257815">
        <w:rPr>
          <w:rFonts w:ascii="Times New Roman" w:hAnsi="Times New Roman" w:cs="Times New Roman"/>
          <w:sz w:val="20"/>
          <w:szCs w:val="20"/>
        </w:rPr>
        <w:t xml:space="preserve"> </w:t>
      </w:r>
      <w:proofErr w:type="spellStart"/>
      <w:r w:rsidR="00875EB6" w:rsidRPr="00875EB6">
        <w:rPr>
          <w:rFonts w:ascii="Times New Roman" w:hAnsi="Times New Roman" w:cs="Times New Roman"/>
          <w:sz w:val="20"/>
          <w:szCs w:val="20"/>
        </w:rPr>
        <w:t>Tapp</w:t>
      </w:r>
      <w:proofErr w:type="spellEnd"/>
      <w:r w:rsidR="00875EB6" w:rsidRPr="00875EB6">
        <w:rPr>
          <w:rFonts w:ascii="Times New Roman" w:hAnsi="Times New Roman" w:cs="Times New Roman"/>
          <w:sz w:val="20"/>
          <w:szCs w:val="20"/>
        </w:rPr>
        <w:t xml:space="preserve"> data.</w:t>
      </w:r>
    </w:p>
    <w:p w14:paraId="4A492863" w14:textId="77777777" w:rsidR="007F32A3" w:rsidRDefault="007F32A3" w:rsidP="008B4E20">
      <w:pPr>
        <w:spacing w:after="0" w:line="257" w:lineRule="auto"/>
        <w:jc w:val="both"/>
      </w:pPr>
    </w:p>
    <w:p w14:paraId="739F4A4F" w14:textId="15637779" w:rsidR="007F32A3" w:rsidRPr="00A07C32" w:rsidRDefault="007F32A3" w:rsidP="007F32A3">
      <w:pPr>
        <w:spacing w:line="360" w:lineRule="auto"/>
        <w:jc w:val="both"/>
        <w:rPr>
          <w:rFonts w:ascii="Times New Roman" w:hAnsi="Times New Roman" w:cs="Times New Roman"/>
          <w:noProof/>
          <w:sz w:val="24"/>
          <w:szCs w:val="24"/>
        </w:rPr>
      </w:pPr>
      <w:r w:rsidRPr="00A07C32">
        <w:rPr>
          <w:rFonts w:ascii="Times New Roman" w:hAnsi="Times New Roman" w:cs="Times New Roman"/>
          <w:sz w:val="24"/>
          <w:szCs w:val="24"/>
        </w:rPr>
        <w:t xml:space="preserve">From Figure 13.7, there are two key points to note. First, for both men and women, work-related anxiety peaked just before lockdown was announced. The average anxiety score for men (women) was around five (six) out of ten on </w:t>
      </w:r>
      <w:r w:rsidR="002F6979">
        <w:rPr>
          <w:rFonts w:ascii="Times New Roman" w:hAnsi="Times New Roman" w:cs="Times New Roman"/>
          <w:sz w:val="24"/>
          <w:szCs w:val="24"/>
        </w:rPr>
        <w:t>17</w:t>
      </w:r>
      <w:r w:rsidR="002F6979" w:rsidRPr="008B4E20">
        <w:rPr>
          <w:rFonts w:ascii="Times New Roman" w:hAnsi="Times New Roman" w:cs="Times New Roman"/>
          <w:sz w:val="24"/>
          <w:szCs w:val="24"/>
          <w:vertAlign w:val="superscript"/>
        </w:rPr>
        <w:t>th</w:t>
      </w:r>
      <w:r w:rsidR="002F6979">
        <w:rPr>
          <w:rFonts w:ascii="Times New Roman" w:hAnsi="Times New Roman" w:cs="Times New Roman"/>
          <w:sz w:val="24"/>
          <w:szCs w:val="24"/>
        </w:rPr>
        <w:t xml:space="preserve"> </w:t>
      </w:r>
      <w:r w:rsidRPr="00A07C32">
        <w:rPr>
          <w:rFonts w:ascii="Times New Roman" w:hAnsi="Times New Roman" w:cs="Times New Roman"/>
          <w:sz w:val="24"/>
          <w:szCs w:val="24"/>
        </w:rPr>
        <w:t>March, but this fell by one whole point on the zero</w:t>
      </w:r>
      <w:r w:rsidR="00C42DC5">
        <w:rPr>
          <w:rFonts w:ascii="Times New Roman" w:hAnsi="Times New Roman" w:cs="Times New Roman"/>
          <w:sz w:val="24"/>
          <w:szCs w:val="24"/>
        </w:rPr>
        <w:t>-</w:t>
      </w:r>
      <w:r w:rsidRPr="00A07C32">
        <w:rPr>
          <w:rFonts w:ascii="Times New Roman" w:hAnsi="Times New Roman" w:cs="Times New Roman"/>
          <w:sz w:val="24"/>
          <w:szCs w:val="24"/>
        </w:rPr>
        <w:t>to</w:t>
      </w:r>
      <w:r w:rsidR="00C42DC5">
        <w:rPr>
          <w:rFonts w:ascii="Times New Roman" w:hAnsi="Times New Roman" w:cs="Times New Roman"/>
          <w:sz w:val="24"/>
          <w:szCs w:val="24"/>
        </w:rPr>
        <w:t>-</w:t>
      </w:r>
      <w:r w:rsidRPr="00A07C32">
        <w:rPr>
          <w:rFonts w:ascii="Times New Roman" w:hAnsi="Times New Roman" w:cs="Times New Roman"/>
          <w:sz w:val="24"/>
          <w:szCs w:val="24"/>
        </w:rPr>
        <w:t xml:space="preserve">ten scale by </w:t>
      </w:r>
      <w:r w:rsidR="002F6979">
        <w:rPr>
          <w:rFonts w:ascii="Times New Roman" w:hAnsi="Times New Roman" w:cs="Times New Roman"/>
          <w:sz w:val="24"/>
          <w:szCs w:val="24"/>
        </w:rPr>
        <w:t>24</w:t>
      </w:r>
      <w:r w:rsidR="002F6979" w:rsidRPr="008B4E20">
        <w:rPr>
          <w:rFonts w:ascii="Times New Roman" w:hAnsi="Times New Roman" w:cs="Times New Roman"/>
          <w:sz w:val="24"/>
          <w:szCs w:val="24"/>
          <w:vertAlign w:val="superscript"/>
        </w:rPr>
        <w:t>th</w:t>
      </w:r>
      <w:r w:rsidR="002F6979">
        <w:rPr>
          <w:rFonts w:ascii="Times New Roman" w:hAnsi="Times New Roman" w:cs="Times New Roman"/>
          <w:sz w:val="24"/>
          <w:szCs w:val="24"/>
        </w:rPr>
        <w:t xml:space="preserve"> </w:t>
      </w:r>
      <w:r w:rsidRPr="00A07C32">
        <w:rPr>
          <w:rFonts w:ascii="Times New Roman" w:hAnsi="Times New Roman" w:cs="Times New Roman"/>
          <w:sz w:val="24"/>
          <w:szCs w:val="24"/>
        </w:rPr>
        <w:t xml:space="preserve">March (the day after lockdown was announced). The trend in work-related anxiety has then been broadly flat thereafter. Second, the gender gap has been stable throughout the lockdown period. Women have consistently scored around 0.7 points higher on the work-related anxiety scale than men. </w:t>
      </w:r>
    </w:p>
    <w:p w14:paraId="40F2AB91" w14:textId="0EF8C06F" w:rsidR="007F32A3" w:rsidRPr="00DF3F24" w:rsidRDefault="007F32A3" w:rsidP="007F32A3">
      <w:pPr>
        <w:spacing w:line="360" w:lineRule="auto"/>
        <w:jc w:val="both"/>
        <w:rPr>
          <w:rFonts w:ascii="Times New Roman" w:hAnsi="Times New Roman" w:cs="Times New Roman"/>
          <w:sz w:val="24"/>
          <w:szCs w:val="24"/>
        </w:rPr>
      </w:pPr>
      <w:r w:rsidRPr="00DF3F24">
        <w:rPr>
          <w:rFonts w:ascii="Times New Roman" w:hAnsi="Times New Roman" w:cs="Times New Roman"/>
          <w:sz w:val="24"/>
          <w:szCs w:val="24"/>
        </w:rPr>
        <w:t xml:space="preserve">Of course, women may be more anxious about work than men during </w:t>
      </w:r>
      <w:r w:rsidR="00DF721A">
        <w:rPr>
          <w:rFonts w:ascii="Times New Roman" w:hAnsi="Times New Roman" w:cs="Times New Roman"/>
          <w:sz w:val="24"/>
          <w:szCs w:val="24"/>
        </w:rPr>
        <w:t>‘</w:t>
      </w:r>
      <w:r w:rsidRPr="00DF3F24">
        <w:rPr>
          <w:rFonts w:ascii="Times New Roman" w:hAnsi="Times New Roman" w:cs="Times New Roman"/>
          <w:sz w:val="24"/>
          <w:szCs w:val="24"/>
        </w:rPr>
        <w:t>normal</w:t>
      </w:r>
      <w:r w:rsidR="00DF721A">
        <w:rPr>
          <w:rFonts w:ascii="Times New Roman" w:hAnsi="Times New Roman" w:cs="Times New Roman"/>
          <w:sz w:val="24"/>
          <w:szCs w:val="24"/>
        </w:rPr>
        <w:t>’</w:t>
      </w:r>
      <w:r w:rsidRPr="00DF3F24">
        <w:rPr>
          <w:rFonts w:ascii="Times New Roman" w:hAnsi="Times New Roman" w:cs="Times New Roman"/>
          <w:sz w:val="24"/>
          <w:szCs w:val="24"/>
        </w:rPr>
        <w:t xml:space="preserve"> times. And the data we collected suggested that this is indeed the case. In the term before the pandemic, female teachers scored higher on the work-related anxiety scales than males (average anxiety scores </w:t>
      </w:r>
      <w:r w:rsidRPr="00DF3F24">
        <w:rPr>
          <w:rFonts w:ascii="Times New Roman" w:hAnsi="Times New Roman" w:cs="Times New Roman"/>
          <w:sz w:val="24"/>
          <w:szCs w:val="24"/>
        </w:rPr>
        <w:lastRenderedPageBreak/>
        <w:t xml:space="preserve">of 4.07 versus 3.63). There are, of course, other differences as well, such as women being more likely to work in primary schools than men, which may also be linked to anxiety levels during the pandemic. </w:t>
      </w:r>
    </w:p>
    <w:p w14:paraId="38AC9EAF" w14:textId="7545886D" w:rsidR="007F32A3" w:rsidRPr="00D27075" w:rsidRDefault="007F32A3" w:rsidP="007F32A3">
      <w:pPr>
        <w:spacing w:line="360" w:lineRule="auto"/>
        <w:jc w:val="both"/>
        <w:rPr>
          <w:rFonts w:ascii="Times New Roman" w:hAnsi="Times New Roman" w:cs="Times New Roman"/>
          <w:sz w:val="24"/>
          <w:szCs w:val="24"/>
        </w:rPr>
      </w:pPr>
      <w:r w:rsidRPr="00D27075">
        <w:rPr>
          <w:rFonts w:ascii="Times New Roman" w:hAnsi="Times New Roman" w:cs="Times New Roman"/>
          <w:sz w:val="24"/>
          <w:szCs w:val="24"/>
        </w:rPr>
        <w:t>Figure 13.8 hence replots lockdown trends in work-related anxiety for male and female teachers, but now accounting for gender differences in the school phase in which they work, whether they work in a private/state school, age and – critically – pre-</w:t>
      </w:r>
      <w:r w:rsidR="00817BCE">
        <w:rPr>
          <w:rFonts w:ascii="Times New Roman" w:hAnsi="Times New Roman" w:cs="Times New Roman"/>
          <w:sz w:val="24"/>
          <w:szCs w:val="24"/>
        </w:rPr>
        <w:t>Covid</w:t>
      </w:r>
      <w:r w:rsidRPr="00D27075">
        <w:rPr>
          <w:rFonts w:ascii="Times New Roman" w:hAnsi="Times New Roman" w:cs="Times New Roman"/>
          <w:sz w:val="24"/>
          <w:szCs w:val="24"/>
        </w:rPr>
        <w:t xml:space="preserve">-19 anxiety levels. It seems that these factors can explain some – although not all – of the gender gap in work-related anxiety during the pandemic. In other words, although the dashed and dotted trend lines are closer together in this second chart than they were in the first, there is still a clear and consistent difference between men and women. This, in turn, implies that the lockdown caused by the </w:t>
      </w:r>
      <w:r w:rsidR="00817BCE">
        <w:rPr>
          <w:rFonts w:ascii="Times New Roman" w:hAnsi="Times New Roman" w:cs="Times New Roman"/>
          <w:sz w:val="24"/>
          <w:szCs w:val="24"/>
        </w:rPr>
        <w:t>Covid</w:t>
      </w:r>
      <w:r w:rsidRPr="00D27075">
        <w:rPr>
          <w:rFonts w:ascii="Times New Roman" w:hAnsi="Times New Roman" w:cs="Times New Roman"/>
          <w:sz w:val="24"/>
          <w:szCs w:val="24"/>
        </w:rPr>
        <w:t xml:space="preserve">-19 crisis led gender differences in work-related anxiety amongst teachers to slightly increase.  </w:t>
      </w:r>
    </w:p>
    <w:p w14:paraId="51508494" w14:textId="4532768F" w:rsidR="007F32A3" w:rsidRDefault="007F32A3" w:rsidP="007F32A3">
      <w:pPr>
        <w:jc w:val="center"/>
        <w:rPr>
          <w:rFonts w:ascii="Times New Roman" w:hAnsi="Times New Roman" w:cs="Times New Roman"/>
          <w:b/>
          <w:sz w:val="24"/>
          <w:szCs w:val="24"/>
        </w:rPr>
      </w:pPr>
      <w:r>
        <w:rPr>
          <w:rFonts w:ascii="Times New Roman" w:hAnsi="Times New Roman" w:cs="Times New Roman"/>
          <w:b/>
          <w:bCs/>
          <w:sz w:val="24"/>
          <w:szCs w:val="24"/>
        </w:rPr>
        <w:t xml:space="preserve">Figure 13.8 </w:t>
      </w:r>
      <w:r w:rsidRPr="00D27075">
        <w:rPr>
          <w:rFonts w:ascii="Times New Roman" w:hAnsi="Times New Roman" w:cs="Times New Roman"/>
          <w:b/>
          <w:bCs/>
          <w:sz w:val="24"/>
          <w:szCs w:val="24"/>
        </w:rPr>
        <w:t xml:space="preserve">Gender differences in work-related anxiety during the </w:t>
      </w:r>
      <w:r w:rsidR="00817BCE">
        <w:rPr>
          <w:rFonts w:ascii="Times New Roman" w:hAnsi="Times New Roman" w:cs="Times New Roman"/>
          <w:b/>
          <w:bCs/>
          <w:sz w:val="24"/>
          <w:szCs w:val="24"/>
        </w:rPr>
        <w:t>Covid</w:t>
      </w:r>
      <w:r w:rsidRPr="00D27075">
        <w:rPr>
          <w:rFonts w:ascii="Times New Roman" w:hAnsi="Times New Roman" w:cs="Times New Roman"/>
          <w:b/>
          <w:bCs/>
          <w:sz w:val="24"/>
          <w:szCs w:val="24"/>
        </w:rPr>
        <w:t>-19 pandemic (conditional)</w:t>
      </w:r>
    </w:p>
    <w:p w14:paraId="18FAF5EA" w14:textId="77777777" w:rsidR="007F32A3" w:rsidRPr="00E624ED" w:rsidRDefault="007F32A3" w:rsidP="007F32A3">
      <w:pPr>
        <w:rPr>
          <w:rFonts w:ascii="Times New Roman" w:hAnsi="Times New Roman" w:cs="Times New Roman"/>
          <w:sz w:val="24"/>
          <w:szCs w:val="24"/>
        </w:rPr>
      </w:pPr>
      <w:r>
        <w:rPr>
          <w:noProof/>
          <w:lang w:eastAsia="en-GB"/>
        </w:rPr>
        <w:drawing>
          <wp:inline distT="0" distB="0" distL="0" distR="0" wp14:anchorId="2BB67445" wp14:editId="1197567B">
            <wp:extent cx="6286500" cy="3860800"/>
            <wp:effectExtent l="0" t="0" r="0" b="6350"/>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14:paraId="645443B6" w14:textId="5225BCA4" w:rsidR="00875EB6" w:rsidRPr="00875EB6" w:rsidRDefault="007F32A3" w:rsidP="00875EB6">
      <w:pPr>
        <w:jc w:val="both"/>
        <w:rPr>
          <w:rFonts w:ascii="Times New Roman" w:hAnsi="Times New Roman" w:cs="Times New Roman"/>
          <w:sz w:val="20"/>
          <w:szCs w:val="20"/>
        </w:rPr>
      </w:pPr>
      <w:r w:rsidRPr="00D27075">
        <w:rPr>
          <w:rFonts w:ascii="Times New Roman" w:hAnsi="Times New Roman" w:cs="Times New Roman"/>
          <w:sz w:val="20"/>
          <w:szCs w:val="20"/>
        </w:rPr>
        <w:t>Notes: Controlling for age, primary/secondary, state/private and pre</w:t>
      </w:r>
      <w:r w:rsidR="00F1698C">
        <w:rPr>
          <w:rFonts w:ascii="Times New Roman" w:hAnsi="Times New Roman" w:cs="Times New Roman"/>
          <w:sz w:val="20"/>
          <w:szCs w:val="20"/>
        </w:rPr>
        <w:t>-</w:t>
      </w:r>
      <w:r w:rsidR="00817BCE">
        <w:rPr>
          <w:rFonts w:ascii="Times New Roman" w:hAnsi="Times New Roman" w:cs="Times New Roman"/>
          <w:sz w:val="20"/>
          <w:szCs w:val="20"/>
        </w:rPr>
        <w:t>Covid</w:t>
      </w:r>
      <w:r w:rsidRPr="00D27075">
        <w:rPr>
          <w:rFonts w:ascii="Times New Roman" w:hAnsi="Times New Roman" w:cs="Times New Roman"/>
          <w:sz w:val="20"/>
          <w:szCs w:val="20"/>
        </w:rPr>
        <w:t xml:space="preserve">-19 anxiety levels. </w:t>
      </w:r>
      <w:r w:rsidR="00875EB6"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00875EB6" w:rsidRPr="00875EB6">
        <w:rPr>
          <w:rFonts w:ascii="Times New Roman" w:hAnsi="Times New Roman" w:cs="Times New Roman"/>
          <w:sz w:val="20"/>
          <w:szCs w:val="20"/>
        </w:rPr>
        <w:t>Tapp</w:t>
      </w:r>
      <w:proofErr w:type="spellEnd"/>
      <w:r w:rsidR="00875EB6" w:rsidRPr="00875EB6">
        <w:rPr>
          <w:rFonts w:ascii="Times New Roman" w:hAnsi="Times New Roman" w:cs="Times New Roman"/>
          <w:sz w:val="20"/>
          <w:szCs w:val="20"/>
        </w:rPr>
        <w:t xml:space="preserve"> data.</w:t>
      </w:r>
    </w:p>
    <w:p w14:paraId="6EB8C4CF" w14:textId="77777777" w:rsidR="007F32A3" w:rsidRPr="00D27075" w:rsidRDefault="007F32A3" w:rsidP="007F32A3">
      <w:pPr>
        <w:pStyle w:val="NoSpacing"/>
        <w:rPr>
          <w:rFonts w:ascii="Times New Roman" w:hAnsi="Times New Roman" w:cs="Times New Roman"/>
          <w:sz w:val="20"/>
          <w:szCs w:val="20"/>
        </w:rPr>
      </w:pPr>
    </w:p>
    <w:p w14:paraId="416318E2" w14:textId="77777777" w:rsidR="007F32A3" w:rsidRDefault="007F32A3" w:rsidP="007F32A3">
      <w:pPr>
        <w:rPr>
          <w:rFonts w:ascii="Times New Roman" w:hAnsi="Times New Roman" w:cs="Times New Roman"/>
          <w:b/>
          <w:sz w:val="24"/>
          <w:szCs w:val="24"/>
        </w:rPr>
      </w:pPr>
    </w:p>
    <w:p w14:paraId="11BE6E4C" w14:textId="67AFAC34" w:rsidR="007F32A3" w:rsidRPr="00B277B3" w:rsidRDefault="007F32A3" w:rsidP="007F32A3">
      <w:pPr>
        <w:spacing w:line="360" w:lineRule="auto"/>
        <w:jc w:val="both"/>
        <w:rPr>
          <w:rFonts w:ascii="Times New Roman" w:hAnsi="Times New Roman" w:cs="Times New Roman"/>
          <w:sz w:val="24"/>
          <w:szCs w:val="24"/>
        </w:rPr>
      </w:pPr>
      <w:r w:rsidRPr="00B277B3">
        <w:rPr>
          <w:rFonts w:ascii="Times New Roman" w:hAnsi="Times New Roman" w:cs="Times New Roman"/>
          <w:sz w:val="24"/>
          <w:szCs w:val="24"/>
        </w:rPr>
        <w:lastRenderedPageBreak/>
        <w:t xml:space="preserve">Of course, the association between gender and work-related anxiety during the pandemic may be affected by household composition – including whether teachers are living with children or not. Figure 13.9 hence considers gender differences in work-related anxiety during lockdown depending </w:t>
      </w:r>
      <w:r w:rsidR="006F3F3D">
        <w:rPr>
          <w:rFonts w:ascii="Times New Roman" w:hAnsi="Times New Roman" w:cs="Times New Roman"/>
          <w:sz w:val="24"/>
          <w:szCs w:val="24"/>
        </w:rPr>
        <w:t xml:space="preserve">on </w:t>
      </w:r>
      <w:r w:rsidRPr="00B277B3">
        <w:rPr>
          <w:rFonts w:ascii="Times New Roman" w:hAnsi="Times New Roman" w:cs="Times New Roman"/>
          <w:sz w:val="24"/>
          <w:szCs w:val="24"/>
        </w:rPr>
        <w:t>whether they lived in a household with children or not (again, accounting for pre-</w:t>
      </w:r>
      <w:proofErr w:type="spellStart"/>
      <w:r w:rsidR="006F3F3D" w:rsidRPr="00B277B3">
        <w:rPr>
          <w:rFonts w:ascii="Times New Roman" w:hAnsi="Times New Roman" w:cs="Times New Roman"/>
          <w:sz w:val="24"/>
          <w:szCs w:val="24"/>
        </w:rPr>
        <w:t>C</w:t>
      </w:r>
      <w:r w:rsidR="006F3F3D">
        <w:rPr>
          <w:rFonts w:ascii="Times New Roman" w:hAnsi="Times New Roman" w:cs="Times New Roman"/>
          <w:sz w:val="24"/>
          <w:szCs w:val="24"/>
        </w:rPr>
        <w:t>ovid</w:t>
      </w:r>
      <w:proofErr w:type="spellEnd"/>
      <w:r w:rsidR="006F3F3D" w:rsidRPr="00B277B3">
        <w:rPr>
          <w:rFonts w:ascii="Times New Roman" w:hAnsi="Times New Roman" w:cs="Times New Roman"/>
          <w:sz w:val="24"/>
          <w:szCs w:val="24"/>
        </w:rPr>
        <w:t xml:space="preserve"> </w:t>
      </w:r>
      <w:r w:rsidRPr="00B277B3">
        <w:rPr>
          <w:rFonts w:ascii="Times New Roman" w:hAnsi="Times New Roman" w:cs="Times New Roman"/>
          <w:sz w:val="24"/>
          <w:szCs w:val="24"/>
        </w:rPr>
        <w:t>anxiety levels).</w:t>
      </w:r>
    </w:p>
    <w:p w14:paraId="519A0511" w14:textId="77777777" w:rsidR="007F32A3" w:rsidRPr="00B277B3" w:rsidRDefault="007F32A3" w:rsidP="007F32A3">
      <w:pPr>
        <w:jc w:val="center"/>
        <w:rPr>
          <w:rFonts w:ascii="Times New Roman" w:hAnsi="Times New Roman" w:cs="Times New Roman"/>
          <w:b/>
          <w:sz w:val="24"/>
          <w:szCs w:val="24"/>
        </w:rPr>
      </w:pPr>
      <w:r w:rsidRPr="00B277B3">
        <w:rPr>
          <w:rFonts w:ascii="Times New Roman" w:hAnsi="Times New Roman" w:cs="Times New Roman"/>
          <w:b/>
          <w:sz w:val="24"/>
          <w:szCs w:val="24"/>
        </w:rPr>
        <w:t xml:space="preserve">Figure 13.9 </w:t>
      </w:r>
      <w:r w:rsidRPr="00B277B3">
        <w:rPr>
          <w:rFonts w:ascii="Times New Roman" w:hAnsi="Times New Roman" w:cs="Times New Roman"/>
          <w:b/>
          <w:bCs/>
          <w:sz w:val="24"/>
          <w:szCs w:val="24"/>
        </w:rPr>
        <w:t xml:space="preserve">Differences in work-related anxiety by gender and </w:t>
      </w:r>
      <w:r>
        <w:rPr>
          <w:rFonts w:ascii="Times New Roman" w:hAnsi="Times New Roman" w:cs="Times New Roman"/>
          <w:b/>
          <w:bCs/>
          <w:sz w:val="24"/>
          <w:szCs w:val="24"/>
        </w:rPr>
        <w:t>children at home</w:t>
      </w:r>
      <w:r w:rsidRPr="00B277B3">
        <w:rPr>
          <w:rFonts w:ascii="Times New Roman" w:hAnsi="Times New Roman" w:cs="Times New Roman"/>
          <w:b/>
          <w:bCs/>
          <w:sz w:val="24"/>
          <w:szCs w:val="24"/>
        </w:rPr>
        <w:t xml:space="preserve"> (conditional)</w:t>
      </w:r>
    </w:p>
    <w:p w14:paraId="1CC14481" w14:textId="77777777" w:rsidR="007F32A3" w:rsidRPr="00E624ED" w:rsidRDefault="007F32A3" w:rsidP="007F32A3">
      <w:pPr>
        <w:rPr>
          <w:rFonts w:ascii="Times New Roman" w:hAnsi="Times New Roman" w:cs="Times New Roman"/>
          <w:sz w:val="24"/>
          <w:szCs w:val="24"/>
        </w:rPr>
      </w:pPr>
      <w:r>
        <w:rPr>
          <w:noProof/>
          <w:lang w:eastAsia="en-GB"/>
        </w:rPr>
        <w:drawing>
          <wp:inline distT="0" distB="0" distL="0" distR="0" wp14:anchorId="75DD773C" wp14:editId="4C342EBC">
            <wp:extent cx="6280150" cy="3105150"/>
            <wp:effectExtent l="0" t="0" r="6350" b="0"/>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14:paraId="38A52756" w14:textId="79126D87" w:rsidR="007F32A3" w:rsidRDefault="007F32A3" w:rsidP="008B4E20">
      <w:pPr>
        <w:spacing w:after="240" w:line="257" w:lineRule="auto"/>
        <w:jc w:val="both"/>
      </w:pPr>
      <w:r w:rsidRPr="00B277B3">
        <w:rPr>
          <w:rFonts w:ascii="Times New Roman" w:hAnsi="Times New Roman" w:cs="Times New Roman"/>
          <w:sz w:val="20"/>
          <w:szCs w:val="20"/>
        </w:rPr>
        <w:t xml:space="preserve">Notes: Controlling for age, primary/secondary, </w:t>
      </w:r>
      <w:proofErr w:type="gramStart"/>
      <w:r w:rsidRPr="00B277B3">
        <w:rPr>
          <w:rFonts w:ascii="Times New Roman" w:hAnsi="Times New Roman" w:cs="Times New Roman"/>
          <w:sz w:val="20"/>
          <w:szCs w:val="20"/>
        </w:rPr>
        <w:t>state</w:t>
      </w:r>
      <w:proofErr w:type="gramEnd"/>
      <w:r w:rsidRPr="00B277B3">
        <w:rPr>
          <w:rFonts w:ascii="Times New Roman" w:hAnsi="Times New Roman" w:cs="Times New Roman"/>
          <w:sz w:val="20"/>
          <w:szCs w:val="20"/>
        </w:rPr>
        <w:t xml:space="preserve">/private and pre COVID-19 anxiety levels. </w:t>
      </w:r>
      <w:r w:rsidR="00875EB6"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00875EB6" w:rsidRPr="00875EB6">
        <w:rPr>
          <w:rFonts w:ascii="Times New Roman" w:hAnsi="Times New Roman" w:cs="Times New Roman"/>
          <w:sz w:val="20"/>
          <w:szCs w:val="20"/>
        </w:rPr>
        <w:t>Tapp</w:t>
      </w:r>
      <w:proofErr w:type="spellEnd"/>
      <w:r w:rsidR="00875EB6" w:rsidRPr="00875EB6">
        <w:rPr>
          <w:rFonts w:ascii="Times New Roman" w:hAnsi="Times New Roman" w:cs="Times New Roman"/>
          <w:sz w:val="20"/>
          <w:szCs w:val="20"/>
        </w:rPr>
        <w:t xml:space="preserve"> data.</w:t>
      </w:r>
    </w:p>
    <w:p w14:paraId="32E2D32D" w14:textId="7088B2F6" w:rsidR="007F32A3" w:rsidRPr="001272EC" w:rsidRDefault="007F32A3" w:rsidP="007F32A3">
      <w:pPr>
        <w:spacing w:line="360" w:lineRule="auto"/>
        <w:jc w:val="both"/>
        <w:rPr>
          <w:rFonts w:ascii="Times New Roman" w:hAnsi="Times New Roman" w:cs="Times New Roman"/>
          <w:sz w:val="24"/>
          <w:szCs w:val="24"/>
        </w:rPr>
      </w:pPr>
      <w:r w:rsidRPr="001272EC">
        <w:rPr>
          <w:rFonts w:ascii="Times New Roman" w:hAnsi="Times New Roman" w:cs="Times New Roman"/>
          <w:sz w:val="24"/>
          <w:szCs w:val="24"/>
        </w:rPr>
        <w:t>It appears that those teachers with children at home felt more anxious about work throughout lockdown (over and above pre-</w:t>
      </w:r>
      <w:proofErr w:type="spellStart"/>
      <w:r w:rsidR="009B4911" w:rsidRPr="001272EC">
        <w:rPr>
          <w:rFonts w:ascii="Times New Roman" w:hAnsi="Times New Roman" w:cs="Times New Roman"/>
          <w:sz w:val="24"/>
          <w:szCs w:val="24"/>
        </w:rPr>
        <w:t>C</w:t>
      </w:r>
      <w:r w:rsidR="009B4911">
        <w:rPr>
          <w:rFonts w:ascii="Times New Roman" w:hAnsi="Times New Roman" w:cs="Times New Roman"/>
          <w:sz w:val="24"/>
          <w:szCs w:val="24"/>
        </w:rPr>
        <w:t>ovid</w:t>
      </w:r>
      <w:proofErr w:type="spellEnd"/>
      <w:r w:rsidR="009B4911" w:rsidRPr="001272EC">
        <w:rPr>
          <w:rFonts w:ascii="Times New Roman" w:hAnsi="Times New Roman" w:cs="Times New Roman"/>
          <w:sz w:val="24"/>
          <w:szCs w:val="24"/>
        </w:rPr>
        <w:t xml:space="preserve"> </w:t>
      </w:r>
      <w:r w:rsidRPr="001272EC">
        <w:rPr>
          <w:rFonts w:ascii="Times New Roman" w:hAnsi="Times New Roman" w:cs="Times New Roman"/>
          <w:sz w:val="24"/>
          <w:szCs w:val="24"/>
        </w:rPr>
        <w:t xml:space="preserve">anxiety levels) – particularly the period between mid-April and mid-May. However, the gender gap in work-related anxiety is of similar magnitude between those with and without children at home. In other words, it was not just female teachers with children who felt more stressed about work than men; a clear gender gap can also be observed between men and women who are not parents. </w:t>
      </w:r>
    </w:p>
    <w:p w14:paraId="42CC4362" w14:textId="5E5A6EFB" w:rsidR="007F32A3" w:rsidRPr="00347DDB" w:rsidRDefault="007F32A3" w:rsidP="007F32A3">
      <w:pPr>
        <w:spacing w:line="360" w:lineRule="auto"/>
        <w:jc w:val="both"/>
        <w:rPr>
          <w:rFonts w:ascii="Times New Roman" w:hAnsi="Times New Roman" w:cs="Times New Roman"/>
          <w:sz w:val="24"/>
          <w:szCs w:val="24"/>
        </w:rPr>
      </w:pPr>
      <w:r w:rsidRPr="001272EC">
        <w:rPr>
          <w:rFonts w:ascii="Times New Roman" w:hAnsi="Times New Roman" w:cs="Times New Roman"/>
          <w:sz w:val="24"/>
          <w:szCs w:val="24"/>
        </w:rPr>
        <w:t>Nevertheless, some big differences between groups can be clearly seen in Figure 13.9. For instance, in April and May there was a difference of around 1.5 points on the zero</w:t>
      </w:r>
      <w:r w:rsidR="009B4911">
        <w:rPr>
          <w:rFonts w:ascii="Times New Roman" w:hAnsi="Times New Roman" w:cs="Times New Roman"/>
          <w:sz w:val="24"/>
          <w:szCs w:val="24"/>
        </w:rPr>
        <w:t>-</w:t>
      </w:r>
      <w:r w:rsidRPr="001272EC">
        <w:rPr>
          <w:rFonts w:ascii="Times New Roman" w:hAnsi="Times New Roman" w:cs="Times New Roman"/>
          <w:sz w:val="24"/>
          <w:szCs w:val="24"/>
        </w:rPr>
        <w:t>to</w:t>
      </w:r>
      <w:r w:rsidR="009B4911">
        <w:rPr>
          <w:rFonts w:ascii="Times New Roman" w:hAnsi="Times New Roman" w:cs="Times New Roman"/>
          <w:sz w:val="24"/>
          <w:szCs w:val="24"/>
        </w:rPr>
        <w:t>-</w:t>
      </w:r>
      <w:r w:rsidRPr="001272EC">
        <w:rPr>
          <w:rFonts w:ascii="Times New Roman" w:hAnsi="Times New Roman" w:cs="Times New Roman"/>
          <w:sz w:val="24"/>
          <w:szCs w:val="24"/>
        </w:rPr>
        <w:t>ten scale between men without children and women with children. It is also interesting to note that female teachers without children were roughly as anxious about work as men who had children at home (again, conditional upon pre-</w:t>
      </w:r>
      <w:proofErr w:type="spellStart"/>
      <w:r w:rsidR="009B4911" w:rsidRPr="001272EC">
        <w:rPr>
          <w:rFonts w:ascii="Times New Roman" w:hAnsi="Times New Roman" w:cs="Times New Roman"/>
          <w:sz w:val="24"/>
          <w:szCs w:val="24"/>
        </w:rPr>
        <w:t>C</w:t>
      </w:r>
      <w:r w:rsidR="009B4911">
        <w:rPr>
          <w:rFonts w:ascii="Times New Roman" w:hAnsi="Times New Roman" w:cs="Times New Roman"/>
          <w:sz w:val="24"/>
          <w:szCs w:val="24"/>
        </w:rPr>
        <w:t>ovid</w:t>
      </w:r>
      <w:proofErr w:type="spellEnd"/>
      <w:r w:rsidR="009B4911" w:rsidRPr="001272EC">
        <w:rPr>
          <w:rFonts w:ascii="Times New Roman" w:hAnsi="Times New Roman" w:cs="Times New Roman"/>
          <w:sz w:val="24"/>
          <w:szCs w:val="24"/>
        </w:rPr>
        <w:t xml:space="preserve"> </w:t>
      </w:r>
      <w:r w:rsidRPr="001272EC">
        <w:rPr>
          <w:rFonts w:ascii="Times New Roman" w:hAnsi="Times New Roman" w:cs="Times New Roman"/>
          <w:sz w:val="24"/>
          <w:szCs w:val="24"/>
        </w:rPr>
        <w:t>anxiety levels).</w:t>
      </w:r>
    </w:p>
    <w:p w14:paraId="3141DEDE" w14:textId="18313BAD" w:rsidR="007F32A3" w:rsidRPr="00347DDB" w:rsidRDefault="007F32A3" w:rsidP="007F32A3">
      <w:pPr>
        <w:spacing w:line="360" w:lineRule="auto"/>
        <w:jc w:val="both"/>
        <w:rPr>
          <w:rFonts w:ascii="Times New Roman" w:hAnsi="Times New Roman" w:cs="Times New Roman"/>
          <w:sz w:val="24"/>
          <w:szCs w:val="24"/>
        </w:rPr>
      </w:pPr>
      <w:r w:rsidRPr="00347DDB">
        <w:rPr>
          <w:rFonts w:ascii="Times New Roman" w:hAnsi="Times New Roman" w:cs="Times New Roman"/>
          <w:sz w:val="24"/>
          <w:szCs w:val="24"/>
        </w:rPr>
        <w:lastRenderedPageBreak/>
        <w:t>Finally, Figure 13.10 considers whether there was a difference between single</w:t>
      </w:r>
      <w:r w:rsidR="009B4911">
        <w:rPr>
          <w:rFonts w:ascii="Times New Roman" w:hAnsi="Times New Roman" w:cs="Times New Roman"/>
          <w:sz w:val="24"/>
          <w:szCs w:val="24"/>
        </w:rPr>
        <w:t>-</w:t>
      </w:r>
      <w:r w:rsidRPr="00347DDB">
        <w:rPr>
          <w:rFonts w:ascii="Times New Roman" w:hAnsi="Times New Roman" w:cs="Times New Roman"/>
          <w:sz w:val="24"/>
          <w:szCs w:val="24"/>
        </w:rPr>
        <w:t xml:space="preserve"> and two-parent households. Intuitively, one might expect that the burden of combining work and parenting during lockdown would be harder for single parents. However, there actually seemed to be little difference in work-related anxiety between teachers living in single</w:t>
      </w:r>
      <w:r w:rsidR="009B4911">
        <w:rPr>
          <w:rFonts w:ascii="Times New Roman" w:hAnsi="Times New Roman" w:cs="Times New Roman"/>
          <w:sz w:val="24"/>
          <w:szCs w:val="24"/>
        </w:rPr>
        <w:t>-</w:t>
      </w:r>
      <w:r w:rsidRPr="00347DDB">
        <w:rPr>
          <w:rFonts w:ascii="Times New Roman" w:hAnsi="Times New Roman" w:cs="Times New Roman"/>
          <w:sz w:val="24"/>
          <w:szCs w:val="24"/>
        </w:rPr>
        <w:t xml:space="preserve"> and two-parent households. Throughout lockdown, single parent teachers seemed to cope with the challenges of juggling their work with their home life just as well as those living with a partner to share the load.</w:t>
      </w:r>
    </w:p>
    <w:p w14:paraId="470FC370" w14:textId="33CB0CDA" w:rsidR="007F32A3" w:rsidRDefault="007F32A3" w:rsidP="007F32A3">
      <w:pPr>
        <w:jc w:val="center"/>
        <w:rPr>
          <w:rFonts w:ascii="Times New Roman" w:hAnsi="Times New Roman" w:cs="Times New Roman"/>
          <w:b/>
          <w:sz w:val="24"/>
          <w:szCs w:val="24"/>
        </w:rPr>
      </w:pPr>
      <w:r w:rsidRPr="00347DDB">
        <w:rPr>
          <w:rFonts w:ascii="Times New Roman" w:hAnsi="Times New Roman" w:cs="Times New Roman"/>
          <w:b/>
          <w:sz w:val="24"/>
          <w:szCs w:val="24"/>
        </w:rPr>
        <w:t xml:space="preserve">Figure 13.10 </w:t>
      </w:r>
      <w:r w:rsidRPr="00347DDB">
        <w:rPr>
          <w:rFonts w:ascii="Times New Roman" w:hAnsi="Times New Roman" w:cs="Times New Roman"/>
          <w:b/>
          <w:bCs/>
          <w:sz w:val="24"/>
          <w:szCs w:val="24"/>
        </w:rPr>
        <w:t>Differences in work-related anxiety between single</w:t>
      </w:r>
      <w:r w:rsidR="009B4911">
        <w:rPr>
          <w:rFonts w:ascii="Times New Roman" w:hAnsi="Times New Roman" w:cs="Times New Roman"/>
          <w:b/>
          <w:bCs/>
          <w:sz w:val="24"/>
          <w:szCs w:val="24"/>
        </w:rPr>
        <w:t>-</w:t>
      </w:r>
      <w:r w:rsidRPr="00347DDB">
        <w:rPr>
          <w:rFonts w:ascii="Times New Roman" w:hAnsi="Times New Roman" w:cs="Times New Roman"/>
          <w:b/>
          <w:bCs/>
          <w:sz w:val="24"/>
          <w:szCs w:val="24"/>
        </w:rPr>
        <w:t xml:space="preserve"> and two-parent families (conditional)</w:t>
      </w:r>
    </w:p>
    <w:p w14:paraId="42C982E5" w14:textId="77777777" w:rsidR="007F32A3" w:rsidRDefault="007F32A3" w:rsidP="007F32A3">
      <w:pPr>
        <w:rPr>
          <w:rFonts w:ascii="Times New Roman" w:hAnsi="Times New Roman" w:cs="Times New Roman"/>
          <w:b/>
          <w:sz w:val="24"/>
          <w:szCs w:val="24"/>
        </w:rPr>
      </w:pPr>
      <w:r>
        <w:rPr>
          <w:noProof/>
          <w:lang w:eastAsia="en-GB"/>
        </w:rPr>
        <w:drawing>
          <wp:inline distT="0" distB="0" distL="0" distR="0" wp14:anchorId="08F1B88B" wp14:editId="3C416298">
            <wp:extent cx="5731510" cy="2429287"/>
            <wp:effectExtent l="0" t="0" r="2540" b="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1B919479" w14:textId="4E608752" w:rsidR="00257815" w:rsidRPr="00875EB6" w:rsidRDefault="007F32A3" w:rsidP="008B4E20">
      <w:pPr>
        <w:spacing w:after="0" w:line="257" w:lineRule="auto"/>
        <w:jc w:val="both"/>
        <w:rPr>
          <w:rFonts w:ascii="Times New Roman" w:hAnsi="Times New Roman" w:cs="Times New Roman"/>
          <w:sz w:val="20"/>
          <w:szCs w:val="20"/>
        </w:rPr>
      </w:pPr>
      <w:r w:rsidRPr="00347DDB">
        <w:rPr>
          <w:rFonts w:ascii="Times New Roman" w:hAnsi="Times New Roman" w:cs="Times New Roman"/>
          <w:sz w:val="20"/>
          <w:szCs w:val="20"/>
        </w:rPr>
        <w:t>Notes: Controlling for age, primary/secondary, state/private and pre</w:t>
      </w:r>
      <w:r w:rsidR="009B4911">
        <w:rPr>
          <w:rFonts w:ascii="Times New Roman" w:hAnsi="Times New Roman" w:cs="Times New Roman"/>
          <w:sz w:val="20"/>
          <w:szCs w:val="20"/>
        </w:rPr>
        <w:t>-</w:t>
      </w:r>
      <w:r w:rsidR="00817BCE">
        <w:rPr>
          <w:rFonts w:ascii="Times New Roman" w:hAnsi="Times New Roman" w:cs="Times New Roman"/>
          <w:sz w:val="20"/>
          <w:szCs w:val="20"/>
        </w:rPr>
        <w:t>Covid</w:t>
      </w:r>
      <w:r w:rsidRPr="00347DDB">
        <w:rPr>
          <w:rFonts w:ascii="Times New Roman" w:hAnsi="Times New Roman" w:cs="Times New Roman"/>
          <w:sz w:val="20"/>
          <w:szCs w:val="20"/>
        </w:rPr>
        <w:t xml:space="preserve">-19 anxiety levels. </w:t>
      </w:r>
      <w:r w:rsidR="00875EB6" w:rsidRPr="00875EB6">
        <w:rPr>
          <w:rFonts w:ascii="Times New Roman" w:hAnsi="Times New Roman" w:cs="Times New Roman"/>
          <w:sz w:val="20"/>
          <w:szCs w:val="20"/>
        </w:rPr>
        <w:t>Source: Teacher</w:t>
      </w:r>
      <w:r w:rsidR="00257815">
        <w:rPr>
          <w:rFonts w:ascii="Times New Roman" w:hAnsi="Times New Roman" w:cs="Times New Roman"/>
          <w:sz w:val="20"/>
          <w:szCs w:val="20"/>
        </w:rPr>
        <w:t xml:space="preserve"> </w:t>
      </w:r>
      <w:proofErr w:type="spellStart"/>
      <w:r w:rsidR="00875EB6" w:rsidRPr="00875EB6">
        <w:rPr>
          <w:rFonts w:ascii="Times New Roman" w:hAnsi="Times New Roman" w:cs="Times New Roman"/>
          <w:sz w:val="20"/>
          <w:szCs w:val="20"/>
        </w:rPr>
        <w:t>Tapp</w:t>
      </w:r>
      <w:proofErr w:type="spellEnd"/>
      <w:r w:rsidR="00875EB6" w:rsidRPr="00875EB6">
        <w:rPr>
          <w:rFonts w:ascii="Times New Roman" w:hAnsi="Times New Roman" w:cs="Times New Roman"/>
          <w:sz w:val="20"/>
          <w:szCs w:val="20"/>
        </w:rPr>
        <w:t xml:space="preserve"> data.</w:t>
      </w:r>
    </w:p>
    <w:p w14:paraId="2BD85734" w14:textId="77777777" w:rsidR="007F32A3" w:rsidRDefault="007F32A3" w:rsidP="008B4E20">
      <w:pPr>
        <w:spacing w:after="0" w:line="257" w:lineRule="auto"/>
        <w:jc w:val="both"/>
        <w:rPr>
          <w:rFonts w:ascii="Times New Roman" w:hAnsi="Times New Roman" w:cs="Times New Roman"/>
          <w:b/>
          <w:sz w:val="24"/>
          <w:szCs w:val="24"/>
        </w:rPr>
      </w:pPr>
    </w:p>
    <w:p w14:paraId="25963C96" w14:textId="77777777" w:rsidR="007F32A3" w:rsidRDefault="007F32A3" w:rsidP="007F32A3">
      <w:pPr>
        <w:rPr>
          <w:rFonts w:ascii="Times New Roman" w:hAnsi="Times New Roman" w:cs="Times New Roman"/>
          <w:b/>
          <w:sz w:val="24"/>
          <w:szCs w:val="24"/>
        </w:rPr>
      </w:pPr>
      <w:r>
        <w:rPr>
          <w:rFonts w:ascii="Times New Roman" w:hAnsi="Times New Roman" w:cs="Times New Roman"/>
          <w:b/>
          <w:sz w:val="24"/>
          <w:szCs w:val="24"/>
        </w:rPr>
        <w:t>13.6 Summary</w:t>
      </w:r>
    </w:p>
    <w:p w14:paraId="0F9F000A" w14:textId="380CC435" w:rsidR="007F32A3" w:rsidRPr="00347DDB" w:rsidRDefault="007F32A3" w:rsidP="007F32A3">
      <w:pPr>
        <w:spacing w:line="360" w:lineRule="auto"/>
        <w:jc w:val="both"/>
        <w:rPr>
          <w:rFonts w:ascii="Times New Roman" w:hAnsi="Times New Roman" w:cs="Times New Roman"/>
          <w:sz w:val="24"/>
          <w:szCs w:val="24"/>
        </w:rPr>
      </w:pPr>
      <w:r w:rsidRPr="00347DDB">
        <w:rPr>
          <w:rFonts w:ascii="Times New Roman" w:hAnsi="Times New Roman" w:cs="Times New Roman"/>
          <w:sz w:val="24"/>
          <w:szCs w:val="24"/>
        </w:rPr>
        <w:t xml:space="preserve">The </w:t>
      </w:r>
      <w:r w:rsidR="00817BCE">
        <w:rPr>
          <w:rFonts w:ascii="Times New Roman" w:hAnsi="Times New Roman" w:cs="Times New Roman"/>
          <w:sz w:val="24"/>
          <w:szCs w:val="24"/>
        </w:rPr>
        <w:t>Covid</w:t>
      </w:r>
      <w:r w:rsidRPr="00347DDB">
        <w:rPr>
          <w:rFonts w:ascii="Times New Roman" w:hAnsi="Times New Roman" w:cs="Times New Roman"/>
          <w:sz w:val="24"/>
          <w:szCs w:val="24"/>
        </w:rPr>
        <w:t xml:space="preserve">-19 pandemic was unforeseen, yet has had a major impact upon all of our lives. For teachers, the lockdown and reopening of schools had the potential to have a major impact upon their working lives. Yet whilst work-related anxiety rose for </w:t>
      </w:r>
      <w:proofErr w:type="spellStart"/>
      <w:r w:rsidRPr="00347DDB">
        <w:rPr>
          <w:rFonts w:ascii="Times New Roman" w:hAnsi="Times New Roman" w:cs="Times New Roman"/>
          <w:sz w:val="24"/>
          <w:szCs w:val="24"/>
        </w:rPr>
        <w:t>headteachers</w:t>
      </w:r>
      <w:proofErr w:type="spellEnd"/>
      <w:r w:rsidRPr="00347DDB">
        <w:rPr>
          <w:rFonts w:ascii="Times New Roman" w:hAnsi="Times New Roman" w:cs="Times New Roman"/>
          <w:sz w:val="24"/>
          <w:szCs w:val="24"/>
        </w:rPr>
        <w:t xml:space="preserve"> and (to a lesser </w:t>
      </w:r>
      <w:r>
        <w:rPr>
          <w:rFonts w:ascii="Times New Roman" w:hAnsi="Times New Roman" w:cs="Times New Roman"/>
          <w:sz w:val="24"/>
          <w:szCs w:val="24"/>
        </w:rPr>
        <w:t>extent) private schoolteachers,</w:t>
      </w:r>
      <w:r w:rsidRPr="00347DDB">
        <w:rPr>
          <w:rFonts w:ascii="Times New Roman" w:hAnsi="Times New Roman" w:cs="Times New Roman"/>
          <w:sz w:val="24"/>
          <w:szCs w:val="24"/>
        </w:rPr>
        <w:t xml:space="preserve"> lockdown was not generally associated with higher work-related anxiety in state</w:t>
      </w:r>
      <w:r w:rsidR="00DC055A">
        <w:rPr>
          <w:rFonts w:ascii="Times New Roman" w:hAnsi="Times New Roman" w:cs="Times New Roman"/>
          <w:sz w:val="24"/>
          <w:szCs w:val="24"/>
        </w:rPr>
        <w:t xml:space="preserve"> </w:t>
      </w:r>
      <w:r w:rsidRPr="00347DDB">
        <w:rPr>
          <w:rFonts w:ascii="Times New Roman" w:hAnsi="Times New Roman" w:cs="Times New Roman"/>
          <w:sz w:val="24"/>
          <w:szCs w:val="24"/>
        </w:rPr>
        <w:t xml:space="preserve">school classroom teachers. On the one hand, the profession was plunged into unfamiliar working patterns which particularly affected </w:t>
      </w:r>
      <w:proofErr w:type="spellStart"/>
      <w:r w:rsidRPr="00347DDB">
        <w:rPr>
          <w:rFonts w:ascii="Times New Roman" w:hAnsi="Times New Roman" w:cs="Times New Roman"/>
          <w:sz w:val="24"/>
          <w:szCs w:val="24"/>
        </w:rPr>
        <w:t>headteachers</w:t>
      </w:r>
      <w:proofErr w:type="spellEnd"/>
      <w:r w:rsidRPr="00347DDB">
        <w:rPr>
          <w:rFonts w:ascii="Times New Roman" w:hAnsi="Times New Roman" w:cs="Times New Roman"/>
          <w:sz w:val="24"/>
          <w:szCs w:val="24"/>
        </w:rPr>
        <w:t>. On the other hand, some of the day-to-day stress of managing students in classrooms was removed.</w:t>
      </w:r>
    </w:p>
    <w:p w14:paraId="61D1464A" w14:textId="77777777" w:rsidR="007F32A3" w:rsidRDefault="007F32A3" w:rsidP="007F32A3">
      <w:pPr>
        <w:spacing w:line="360" w:lineRule="auto"/>
        <w:jc w:val="both"/>
        <w:rPr>
          <w:rFonts w:ascii="Times New Roman" w:hAnsi="Times New Roman" w:cs="Times New Roman"/>
          <w:sz w:val="24"/>
          <w:szCs w:val="24"/>
        </w:rPr>
      </w:pPr>
      <w:r w:rsidRPr="00347DDB">
        <w:rPr>
          <w:rFonts w:ascii="Times New Roman" w:hAnsi="Times New Roman" w:cs="Times New Roman"/>
          <w:sz w:val="24"/>
          <w:szCs w:val="24"/>
        </w:rPr>
        <w:t>Of course, work-related anxiety is just one narrow aspect of mental wellbeing.</w:t>
      </w:r>
      <w:r>
        <w:rPr>
          <w:rFonts w:ascii="Times New Roman" w:hAnsi="Times New Roman" w:cs="Times New Roman"/>
          <w:sz w:val="24"/>
          <w:szCs w:val="24"/>
        </w:rPr>
        <w:t xml:space="preserve"> Our results using broader measures were more mixed. We found that overall levels of wellbeing amongst teachers – as measured by the Warwick-Edinburgh Mental Wellbeing Scale – did not change between October 2019 (pre-pandemic) and April 2020 (the height of lockdown). However, </w:t>
      </w:r>
      <w:r>
        <w:rPr>
          <w:rFonts w:ascii="Times New Roman" w:hAnsi="Times New Roman" w:cs="Times New Roman"/>
          <w:sz w:val="24"/>
          <w:szCs w:val="24"/>
        </w:rPr>
        <w:lastRenderedPageBreak/>
        <w:t xml:space="preserve">different aspects of wellbeing may have been impacted in different ways, with teachers having more energy and feeling more loved, but also being less likely to feel useful and optimistic about the future. Moreover, when asked directly about their pandemic experiences, teachers were more likely to agree than disagree that it had negatively impacted their mental health. </w:t>
      </w:r>
    </w:p>
    <w:p w14:paraId="348269BD" w14:textId="5A5E7269" w:rsidR="007F32A3" w:rsidRPr="00347DDB" w:rsidRDefault="007F32A3" w:rsidP="007F32A3">
      <w:p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We have also presented some evidence of work-related anxiety amongst some groups being more impacted than others. In particular, lockdown seems to have increased work-related anxiety amongst female teachers slightly more than male teachers, with </w:t>
      </w:r>
      <w:proofErr w:type="spellStart"/>
      <w:r>
        <w:rPr>
          <w:rFonts w:ascii="Times New Roman" w:hAnsi="Times New Roman" w:cs="Times New Roman"/>
          <w:sz w:val="24"/>
          <w:szCs w:val="24"/>
        </w:rPr>
        <w:t>there</w:t>
      </w:r>
      <w:proofErr w:type="spellEnd"/>
      <w:r>
        <w:rPr>
          <w:rFonts w:ascii="Times New Roman" w:hAnsi="Times New Roman" w:cs="Times New Roman"/>
          <w:sz w:val="24"/>
          <w:szCs w:val="24"/>
        </w:rPr>
        <w:t xml:space="preserve"> also being a bigger impact upon those with children in the household (irrespective of gender). Little difference was observed, however, between single</w:t>
      </w:r>
      <w:r w:rsidR="00DC055A">
        <w:rPr>
          <w:rFonts w:ascii="Times New Roman" w:hAnsi="Times New Roman" w:cs="Times New Roman"/>
          <w:sz w:val="24"/>
          <w:szCs w:val="24"/>
        </w:rPr>
        <w:t>-</w:t>
      </w:r>
      <w:r>
        <w:rPr>
          <w:rFonts w:ascii="Times New Roman" w:hAnsi="Times New Roman" w:cs="Times New Roman"/>
          <w:sz w:val="24"/>
          <w:szCs w:val="24"/>
        </w:rPr>
        <w:t xml:space="preserve"> and two-parent families.</w:t>
      </w:r>
    </w:p>
    <w:p w14:paraId="0A1F3DDF" w14:textId="5CD003E3" w:rsidR="007F32A3" w:rsidRDefault="007F32A3" w:rsidP="007F32A3">
      <w:pPr>
        <w:spacing w:line="360" w:lineRule="auto"/>
        <w:jc w:val="both"/>
        <w:rPr>
          <w:rFonts w:ascii="Times New Roman" w:hAnsi="Times New Roman" w:cs="Times New Roman"/>
          <w:sz w:val="24"/>
          <w:szCs w:val="24"/>
        </w:rPr>
      </w:pPr>
      <w:r w:rsidRPr="00BC5279">
        <w:rPr>
          <w:rFonts w:ascii="Times New Roman" w:hAnsi="Times New Roman" w:cs="Times New Roman"/>
          <w:sz w:val="24"/>
          <w:szCs w:val="24"/>
        </w:rPr>
        <w:t>The pandemic is, of course, no</w:t>
      </w:r>
      <w:r w:rsidR="00DC055A">
        <w:rPr>
          <w:rFonts w:ascii="Times New Roman" w:hAnsi="Times New Roman" w:cs="Times New Roman"/>
          <w:sz w:val="24"/>
          <w:szCs w:val="24"/>
        </w:rPr>
        <w:t>t</w:t>
      </w:r>
      <w:r w:rsidRPr="00BC5279">
        <w:rPr>
          <w:rFonts w:ascii="Times New Roman" w:hAnsi="Times New Roman" w:cs="Times New Roman"/>
          <w:sz w:val="24"/>
          <w:szCs w:val="24"/>
        </w:rPr>
        <w:t xml:space="preserve"> yet over. And we don’t really know what the future might bring in terms of local lockdowns and potential further</w:t>
      </w:r>
      <w:r w:rsidR="00DC055A">
        <w:rPr>
          <w:rFonts w:ascii="Times New Roman" w:hAnsi="Times New Roman" w:cs="Times New Roman"/>
          <w:sz w:val="24"/>
          <w:szCs w:val="24"/>
        </w:rPr>
        <w:t xml:space="preserve"> </w:t>
      </w:r>
      <w:r w:rsidRPr="00BC5279">
        <w:rPr>
          <w:rFonts w:ascii="Times New Roman" w:hAnsi="Times New Roman" w:cs="Times New Roman"/>
          <w:sz w:val="24"/>
          <w:szCs w:val="24"/>
        </w:rPr>
        <w:t xml:space="preserve">waves. But we do </w:t>
      </w:r>
      <w:r w:rsidR="00DC055A">
        <w:rPr>
          <w:rFonts w:ascii="Times New Roman" w:hAnsi="Times New Roman" w:cs="Times New Roman"/>
          <w:sz w:val="24"/>
          <w:szCs w:val="24"/>
        </w:rPr>
        <w:t>k</w:t>
      </w:r>
      <w:r w:rsidRPr="00BC5279">
        <w:rPr>
          <w:rFonts w:ascii="Times New Roman" w:hAnsi="Times New Roman" w:cs="Times New Roman"/>
          <w:sz w:val="24"/>
          <w:szCs w:val="24"/>
        </w:rPr>
        <w:t xml:space="preserve">now a lot more about </w:t>
      </w:r>
      <w:r w:rsidR="00817BCE">
        <w:rPr>
          <w:rFonts w:ascii="Times New Roman" w:hAnsi="Times New Roman" w:cs="Times New Roman"/>
          <w:sz w:val="24"/>
          <w:szCs w:val="24"/>
        </w:rPr>
        <w:t>Covid</w:t>
      </w:r>
      <w:r w:rsidRPr="00BC5279">
        <w:rPr>
          <w:rFonts w:ascii="Times New Roman" w:hAnsi="Times New Roman" w:cs="Times New Roman"/>
          <w:sz w:val="24"/>
          <w:szCs w:val="24"/>
        </w:rPr>
        <w:t xml:space="preserve">-19 and the impact it has on people. Although most of the focus has of course been on the physical health impacts, we are also developing a better understanding of the mental health implications as well. </w:t>
      </w:r>
    </w:p>
    <w:p w14:paraId="1B4D4C2C" w14:textId="13D87105" w:rsidR="00DC055A" w:rsidRDefault="00DC055A">
      <w:pPr>
        <w:spacing w:line="259" w:lineRule="auto"/>
        <w:rPr>
          <w:rFonts w:ascii="Times New Roman" w:eastAsiaTheme="majorEastAsia" w:hAnsi="Times New Roman" w:cs="Times New Roman"/>
          <w:b/>
          <w:color w:val="262626" w:themeColor="text1" w:themeTint="D9"/>
          <w:spacing w:val="-15"/>
          <w:sz w:val="40"/>
          <w:szCs w:val="40"/>
          <w:lang w:eastAsia="en-GB"/>
        </w:rPr>
      </w:pPr>
      <w:r>
        <w:rPr>
          <w:rFonts w:ascii="Times New Roman" w:hAnsi="Times New Roman" w:cs="Times New Roman"/>
          <w:szCs w:val="40"/>
          <w:lang w:eastAsia="en-GB"/>
        </w:rPr>
        <w:br w:type="page"/>
      </w:r>
    </w:p>
    <w:p w14:paraId="6CD06A1A" w14:textId="6E4F7C03" w:rsidR="005F2120" w:rsidRPr="00300B3A" w:rsidRDefault="00300B3A" w:rsidP="008B4E20">
      <w:pPr>
        <w:pStyle w:val="Heading1UCL"/>
        <w:rPr>
          <w:szCs w:val="40"/>
          <w:lang w:eastAsia="en-GB"/>
        </w:rPr>
      </w:pPr>
      <w:bookmarkStart w:id="32" w:name="_Toc67406023"/>
      <w:r>
        <w:rPr>
          <w:szCs w:val="40"/>
          <w:lang w:eastAsia="en-GB"/>
        </w:rPr>
        <w:lastRenderedPageBreak/>
        <w:t>Chapter 14</w:t>
      </w:r>
      <w:r w:rsidRPr="00300B3A">
        <w:rPr>
          <w:szCs w:val="40"/>
          <w:lang w:eastAsia="en-GB"/>
        </w:rPr>
        <w:t xml:space="preserve"> </w:t>
      </w:r>
      <w:r>
        <w:rPr>
          <w:szCs w:val="40"/>
          <w:lang w:eastAsia="en-GB"/>
        </w:rPr>
        <w:t>Conclusions</w:t>
      </w:r>
      <w:bookmarkEnd w:id="32"/>
      <w:r>
        <w:rPr>
          <w:szCs w:val="40"/>
          <w:lang w:eastAsia="en-GB"/>
        </w:rPr>
        <w:t xml:space="preserve"> </w:t>
      </w:r>
    </w:p>
    <w:p w14:paraId="3C5AD7AC" w14:textId="77777777" w:rsidR="00B763B2" w:rsidRDefault="00B763B2" w:rsidP="008B4E20">
      <w:pPr>
        <w:pStyle w:val="Heading1UCL"/>
      </w:pPr>
    </w:p>
    <w:p w14:paraId="0F768ADE" w14:textId="72D6FAA7" w:rsidR="002B100D" w:rsidRPr="002221DC" w:rsidRDefault="002B100D" w:rsidP="008B4E20">
      <w:pPr>
        <w:spacing w:after="0" w:line="360" w:lineRule="auto"/>
        <w:jc w:val="both"/>
        <w:rPr>
          <w:rFonts w:ascii="Times New Roman" w:hAnsi="Times New Roman" w:cs="Times New Roman"/>
          <w:b/>
          <w:sz w:val="24"/>
          <w:szCs w:val="24"/>
        </w:rPr>
      </w:pPr>
      <w:r w:rsidRPr="002221DC">
        <w:rPr>
          <w:rFonts w:ascii="Times New Roman" w:hAnsi="Times New Roman" w:cs="Times New Roman"/>
          <w:b/>
          <w:sz w:val="24"/>
          <w:szCs w:val="24"/>
        </w:rPr>
        <w:t>Key findings</w:t>
      </w:r>
    </w:p>
    <w:p w14:paraId="51BA10FB" w14:textId="77777777" w:rsidR="002B100D" w:rsidRDefault="002B100D" w:rsidP="002B100D">
      <w:pPr>
        <w:spacing w:line="360" w:lineRule="auto"/>
        <w:jc w:val="both"/>
        <w:rPr>
          <w:rFonts w:ascii="Times New Roman" w:hAnsi="Times New Roman" w:cs="Times New Roman"/>
          <w:sz w:val="24"/>
          <w:szCs w:val="24"/>
        </w:rPr>
      </w:pPr>
      <w:r w:rsidRPr="00C7507E">
        <w:rPr>
          <w:rFonts w:ascii="Times New Roman" w:hAnsi="Times New Roman" w:cs="Times New Roman"/>
          <w:sz w:val="24"/>
          <w:szCs w:val="24"/>
        </w:rPr>
        <w:t>A set of key overarching findings have emerged within this report. Six of the most important of these</w:t>
      </w:r>
      <w:r>
        <w:rPr>
          <w:rFonts w:ascii="Times New Roman" w:hAnsi="Times New Roman" w:cs="Times New Roman"/>
          <w:sz w:val="24"/>
          <w:szCs w:val="24"/>
        </w:rPr>
        <w:t xml:space="preserve"> are set out below.</w:t>
      </w:r>
    </w:p>
    <w:p w14:paraId="6A2A5F13" w14:textId="77777777" w:rsidR="002B100D" w:rsidRPr="002147B1" w:rsidRDefault="002B100D" w:rsidP="002B100D">
      <w:pPr>
        <w:spacing w:line="360" w:lineRule="auto"/>
        <w:jc w:val="both"/>
        <w:rPr>
          <w:rFonts w:ascii="Times New Roman" w:hAnsi="Times New Roman" w:cs="Times New Roman"/>
          <w:sz w:val="24"/>
          <w:szCs w:val="24"/>
          <w:u w:val="single"/>
        </w:rPr>
      </w:pPr>
      <w:r w:rsidRPr="002147B1">
        <w:rPr>
          <w:rFonts w:ascii="Times New Roman" w:hAnsi="Times New Roman" w:cs="Times New Roman"/>
          <w:sz w:val="24"/>
          <w:szCs w:val="24"/>
          <w:u w:val="single"/>
        </w:rPr>
        <w:t>Key finding 1. Teachers do not have lower levels of wellbeing than other occupational groups.</w:t>
      </w:r>
    </w:p>
    <w:p w14:paraId="768E3956" w14:textId="7A556E21"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The first major headline result is that – against conventional wisdom within the education community – there is no evidence from this project that teachers have worse mental health and wellbeing outcomes than other occupational groups. This has been demonstrated within various chapters throughout this report, including direct occupational comparisons made across multiple datasets (Chapters 3 and 4), investigating whether mental health and wellbeing outcomes of former teachers improve once they have left the teaching profession (Chapter 8) and investigations of the change in the wellbeing of early</w:t>
      </w:r>
      <w:r w:rsidR="00D64552">
        <w:rPr>
          <w:rFonts w:ascii="Times New Roman" w:hAnsi="Times New Roman" w:cs="Times New Roman"/>
          <w:sz w:val="24"/>
          <w:szCs w:val="24"/>
        </w:rPr>
        <w:t xml:space="preserve"> </w:t>
      </w:r>
      <w:r>
        <w:rPr>
          <w:rFonts w:ascii="Times New Roman" w:hAnsi="Times New Roman" w:cs="Times New Roman"/>
          <w:sz w:val="24"/>
          <w:szCs w:val="24"/>
        </w:rPr>
        <w:t>career teachers before and after joining the teaching profession (Chapter 7). The main thrust of the results presented in each of these chapters is that mental health and wellbeing amongst teachers is broadly similar – and in some instances somewhat better – than other professional workers. The comprehensive evidence presented here – representing, we believe, the most extensive investigation of this issue to date – dispels the myth that teachers have particularly low levels of wellbeing.</w:t>
      </w:r>
    </w:p>
    <w:p w14:paraId="493A857D" w14:textId="570A8188"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This important finding does go against some – although not all – of the existing literature. For instance, when reviewing the existing evidence base in Chapter 1, we noted how several descriptive studies have found mental health outcomes of teachers to be particularly poor (Johnson et al.</w:t>
      </w:r>
      <w:r w:rsidR="00A17550">
        <w:rPr>
          <w:rFonts w:ascii="Times New Roman" w:hAnsi="Times New Roman" w:cs="Times New Roman"/>
          <w:sz w:val="24"/>
          <w:szCs w:val="24"/>
        </w:rPr>
        <w:t>,</w:t>
      </w:r>
      <w:r>
        <w:rPr>
          <w:rFonts w:ascii="Times New Roman" w:hAnsi="Times New Roman" w:cs="Times New Roman"/>
          <w:sz w:val="24"/>
          <w:szCs w:val="24"/>
        </w:rPr>
        <w:t xml:space="preserve"> 200</w:t>
      </w:r>
      <w:r w:rsidR="00564C70">
        <w:rPr>
          <w:rFonts w:ascii="Times New Roman" w:hAnsi="Times New Roman" w:cs="Times New Roman"/>
          <w:sz w:val="24"/>
          <w:szCs w:val="24"/>
        </w:rPr>
        <w:t>5</w:t>
      </w:r>
      <w:r>
        <w:rPr>
          <w:rFonts w:ascii="Times New Roman" w:hAnsi="Times New Roman" w:cs="Times New Roman"/>
          <w:sz w:val="24"/>
          <w:szCs w:val="24"/>
        </w:rPr>
        <w:t xml:space="preserve">, </w:t>
      </w:r>
      <w:proofErr w:type="spellStart"/>
      <w:r>
        <w:rPr>
          <w:rFonts w:ascii="Times New Roman" w:hAnsi="Times New Roman" w:cs="Times New Roman"/>
          <w:sz w:val="24"/>
          <w:szCs w:val="24"/>
        </w:rPr>
        <w:t>Kidger</w:t>
      </w:r>
      <w:proofErr w:type="spellEnd"/>
      <w:r>
        <w:rPr>
          <w:rFonts w:ascii="Times New Roman" w:hAnsi="Times New Roman" w:cs="Times New Roman"/>
          <w:sz w:val="24"/>
          <w:szCs w:val="24"/>
        </w:rPr>
        <w:t xml:space="preserve"> et al.</w:t>
      </w:r>
      <w:r w:rsidR="00A17550">
        <w:rPr>
          <w:rFonts w:ascii="Times New Roman" w:hAnsi="Times New Roman" w:cs="Times New Roman"/>
          <w:sz w:val="24"/>
          <w:szCs w:val="24"/>
        </w:rPr>
        <w:t>,</w:t>
      </w:r>
      <w:r>
        <w:rPr>
          <w:rFonts w:ascii="Times New Roman" w:hAnsi="Times New Roman" w:cs="Times New Roman"/>
          <w:sz w:val="24"/>
          <w:szCs w:val="24"/>
        </w:rPr>
        <w:t xml:space="preserve"> 2016, Rose</w:t>
      </w:r>
      <w:r w:rsidR="00A17550">
        <w:rPr>
          <w:rFonts w:ascii="Times New Roman" w:hAnsi="Times New Roman" w:cs="Times New Roman"/>
          <w:sz w:val="24"/>
          <w:szCs w:val="24"/>
        </w:rPr>
        <w:t>,</w:t>
      </w:r>
      <w:r>
        <w:rPr>
          <w:rFonts w:ascii="Times New Roman" w:hAnsi="Times New Roman" w:cs="Times New Roman"/>
          <w:sz w:val="24"/>
          <w:szCs w:val="24"/>
        </w:rPr>
        <w:t xml:space="preserve"> 2003, </w:t>
      </w:r>
      <w:proofErr w:type="spellStart"/>
      <w:r>
        <w:rPr>
          <w:rFonts w:ascii="Times New Roman" w:hAnsi="Times New Roman" w:cs="Times New Roman"/>
          <w:sz w:val="24"/>
          <w:szCs w:val="24"/>
        </w:rPr>
        <w:t>Stansfeld</w:t>
      </w:r>
      <w:proofErr w:type="spellEnd"/>
      <w:r>
        <w:rPr>
          <w:rFonts w:ascii="Times New Roman" w:hAnsi="Times New Roman" w:cs="Times New Roman"/>
          <w:sz w:val="24"/>
          <w:szCs w:val="24"/>
        </w:rPr>
        <w:t xml:space="preserve"> et al</w:t>
      </w:r>
      <w:r w:rsidR="00A17550">
        <w:rPr>
          <w:rFonts w:ascii="Times New Roman" w:hAnsi="Times New Roman" w:cs="Times New Roman"/>
          <w:sz w:val="24"/>
          <w:szCs w:val="24"/>
        </w:rPr>
        <w:t>.,</w:t>
      </w:r>
      <w:r>
        <w:rPr>
          <w:rFonts w:ascii="Times New Roman" w:hAnsi="Times New Roman" w:cs="Times New Roman"/>
          <w:sz w:val="24"/>
          <w:szCs w:val="24"/>
        </w:rPr>
        <w:t xml:space="preserve"> 2011). Yet there were also other recent studies that have disputed such claims (Bryson, Stokes </w:t>
      </w:r>
      <w:r w:rsidR="00A17550">
        <w:rPr>
          <w:rFonts w:ascii="Times New Roman" w:hAnsi="Times New Roman" w:cs="Times New Roman"/>
          <w:sz w:val="24"/>
          <w:szCs w:val="24"/>
        </w:rPr>
        <w:t xml:space="preserve">&amp; </w:t>
      </w:r>
      <w:r>
        <w:rPr>
          <w:rFonts w:ascii="Times New Roman" w:hAnsi="Times New Roman" w:cs="Times New Roman"/>
          <w:sz w:val="24"/>
          <w:szCs w:val="24"/>
        </w:rPr>
        <w:t>Wilkinson</w:t>
      </w:r>
      <w:r w:rsidR="00A17550">
        <w:rPr>
          <w:rFonts w:ascii="Times New Roman" w:hAnsi="Times New Roman" w:cs="Times New Roman"/>
          <w:sz w:val="24"/>
          <w:szCs w:val="24"/>
        </w:rPr>
        <w:t>,</w:t>
      </w:r>
      <w:r>
        <w:rPr>
          <w:rFonts w:ascii="Times New Roman" w:hAnsi="Times New Roman" w:cs="Times New Roman"/>
          <w:sz w:val="24"/>
          <w:szCs w:val="24"/>
        </w:rPr>
        <w:t xml:space="preserve"> 2019). Our work clearly supports the more sceptical views expressed in the latter. It is, however, worth taking a moment to speculate what might be driving these divergent results and, more generally, why the myth of teachers suffering from particularly low</w:t>
      </w:r>
      <w:r w:rsidR="00EA7259">
        <w:rPr>
          <w:rFonts w:ascii="Times New Roman" w:hAnsi="Times New Roman" w:cs="Times New Roman"/>
          <w:sz w:val="24"/>
          <w:szCs w:val="24"/>
        </w:rPr>
        <w:t xml:space="preserve"> </w:t>
      </w:r>
      <w:r>
        <w:rPr>
          <w:rFonts w:ascii="Times New Roman" w:hAnsi="Times New Roman" w:cs="Times New Roman"/>
          <w:sz w:val="24"/>
          <w:szCs w:val="24"/>
        </w:rPr>
        <w:t>levels of wellbeing continues.</w:t>
      </w:r>
    </w:p>
    <w:p w14:paraId="651FDFF4" w14:textId="2BFF091F"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We believe that there are at least five plausible explanations. First, some of the most widely cited studies in this area either do not use representative samples (e.g. Johnson et al</w:t>
      </w:r>
      <w:r w:rsidR="00582B62">
        <w:rPr>
          <w:rFonts w:ascii="Times New Roman" w:hAnsi="Times New Roman" w:cs="Times New Roman"/>
          <w:sz w:val="24"/>
          <w:szCs w:val="24"/>
        </w:rPr>
        <w:t>.,</w:t>
      </w:r>
      <w:r>
        <w:rPr>
          <w:rFonts w:ascii="Times New Roman" w:hAnsi="Times New Roman" w:cs="Times New Roman"/>
          <w:sz w:val="24"/>
          <w:szCs w:val="24"/>
        </w:rPr>
        <w:t xml:space="preserve"> 200</w:t>
      </w:r>
      <w:r w:rsidR="00564C70">
        <w:rPr>
          <w:rFonts w:ascii="Times New Roman" w:hAnsi="Times New Roman" w:cs="Times New Roman"/>
          <w:sz w:val="24"/>
          <w:szCs w:val="24"/>
        </w:rPr>
        <w:t>5</w:t>
      </w:r>
      <w:r>
        <w:rPr>
          <w:rFonts w:ascii="Times New Roman" w:hAnsi="Times New Roman" w:cs="Times New Roman"/>
          <w:sz w:val="24"/>
          <w:szCs w:val="24"/>
        </w:rPr>
        <w:t xml:space="preserve">, </w:t>
      </w:r>
      <w:r>
        <w:rPr>
          <w:rFonts w:ascii="Times New Roman" w:eastAsia="Times New Roman" w:hAnsi="Times New Roman" w:cs="Times New Roman"/>
          <w:sz w:val="24"/>
          <w:szCs w:val="24"/>
        </w:rPr>
        <w:t>Travers et al</w:t>
      </w:r>
      <w:r w:rsidR="00582B6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1993</w:t>
      </w:r>
      <w:r>
        <w:rPr>
          <w:rFonts w:ascii="Times New Roman" w:hAnsi="Times New Roman" w:cs="Times New Roman"/>
          <w:sz w:val="24"/>
          <w:szCs w:val="24"/>
        </w:rPr>
        <w:t>) or do not draw comparisons between teachers and workers in other occupational groups (e.g. Liberal Democrats</w:t>
      </w:r>
      <w:r w:rsidR="00582B62">
        <w:rPr>
          <w:rFonts w:ascii="Times New Roman" w:hAnsi="Times New Roman" w:cs="Times New Roman"/>
          <w:sz w:val="24"/>
          <w:szCs w:val="24"/>
        </w:rPr>
        <w:t>,</w:t>
      </w:r>
      <w:r>
        <w:rPr>
          <w:rFonts w:ascii="Times New Roman" w:hAnsi="Times New Roman" w:cs="Times New Roman"/>
          <w:sz w:val="24"/>
          <w:szCs w:val="24"/>
        </w:rPr>
        <w:t xml:space="preserve"> 2018). Second, studies differ in their attempts to account for ‘selection’ into the teaching profession (e.g. the possibility that individuals who </w:t>
      </w:r>
      <w:r>
        <w:rPr>
          <w:rFonts w:ascii="Times New Roman" w:hAnsi="Times New Roman" w:cs="Times New Roman"/>
          <w:sz w:val="24"/>
          <w:szCs w:val="24"/>
        </w:rPr>
        <w:lastRenderedPageBreak/>
        <w:t xml:space="preserve">are more likely to suffer from lower levels of wellbeing are more likely to choose to become teachers). Third, evidence from some of the studies often quoted in the media illustrating the mental health issues of teachers </w:t>
      </w:r>
      <w:r w:rsidR="0001563D">
        <w:rPr>
          <w:rFonts w:ascii="Times New Roman" w:hAnsi="Times New Roman" w:cs="Times New Roman"/>
          <w:sz w:val="24"/>
          <w:szCs w:val="24"/>
        </w:rPr>
        <w:t xml:space="preserve">is </w:t>
      </w:r>
      <w:r>
        <w:rPr>
          <w:rFonts w:ascii="Times New Roman" w:hAnsi="Times New Roman" w:cs="Times New Roman"/>
          <w:sz w:val="24"/>
          <w:szCs w:val="24"/>
        </w:rPr>
        <w:t xml:space="preserve">actually more mixed than first appears (Bamford </w:t>
      </w:r>
      <w:r w:rsidR="00582B62">
        <w:rPr>
          <w:rFonts w:ascii="Times New Roman" w:hAnsi="Times New Roman" w:cs="Times New Roman"/>
          <w:sz w:val="24"/>
          <w:szCs w:val="24"/>
        </w:rPr>
        <w:t xml:space="preserve">&amp; </w:t>
      </w:r>
      <w:r>
        <w:rPr>
          <w:rFonts w:ascii="Times New Roman" w:hAnsi="Times New Roman" w:cs="Times New Roman"/>
          <w:sz w:val="24"/>
          <w:szCs w:val="24"/>
        </w:rPr>
        <w:t>Worth</w:t>
      </w:r>
      <w:r w:rsidR="00582B62">
        <w:rPr>
          <w:rFonts w:ascii="Times New Roman" w:hAnsi="Times New Roman" w:cs="Times New Roman"/>
          <w:sz w:val="24"/>
          <w:szCs w:val="24"/>
        </w:rPr>
        <w:t>,</w:t>
      </w:r>
      <w:r>
        <w:rPr>
          <w:rFonts w:ascii="Times New Roman" w:hAnsi="Times New Roman" w:cs="Times New Roman"/>
          <w:sz w:val="24"/>
          <w:szCs w:val="24"/>
        </w:rPr>
        <w:t xml:space="preserve"> 2017). Fourth, there may be problems with publication bias, where only headline-grabbing results get reported, published and then promoted within the media. Relatedly, there is likely to be selected use of the evidence base by various interest groups, for whom results suggesting that teachers have particularly low</w:t>
      </w:r>
      <w:r w:rsidR="00B13352">
        <w:rPr>
          <w:rFonts w:ascii="Times New Roman" w:hAnsi="Times New Roman" w:cs="Times New Roman"/>
          <w:sz w:val="24"/>
          <w:szCs w:val="24"/>
        </w:rPr>
        <w:t xml:space="preserve"> </w:t>
      </w:r>
      <w:r>
        <w:rPr>
          <w:rFonts w:ascii="Times New Roman" w:hAnsi="Times New Roman" w:cs="Times New Roman"/>
          <w:sz w:val="24"/>
          <w:szCs w:val="24"/>
        </w:rPr>
        <w:t>levels of wellbeing are likely to help their cause. Finally, results using survey data could depend heavily upon the context in which the questions are asked. For instance, most of the data used within this report has been drawn from general purpose household surveys (e.g. the Labour Force Survey), where individuals are asked a set of questions about their mental health as a part of a much broader questionnaire (and when not thinking directly in the context of their job). Yet other surveys, such as TALIS, are very much conducted in an occupation-specific context about teaching – which may lead to quite different results.</w:t>
      </w:r>
    </w:p>
    <w:p w14:paraId="12DF81CA" w14:textId="4EFD48D1" w:rsidR="002B100D" w:rsidRDefault="002B100D" w:rsidP="002B100D">
      <w:pPr>
        <w:spacing w:line="360" w:lineRule="auto"/>
        <w:jc w:val="both"/>
        <w:rPr>
          <w:rFonts w:ascii="Times New Roman" w:hAnsi="Times New Roman" w:cs="Times New Roman"/>
          <w:sz w:val="24"/>
          <w:szCs w:val="24"/>
          <w:u w:val="single"/>
        </w:rPr>
      </w:pPr>
      <w:r w:rsidRPr="002147B1">
        <w:rPr>
          <w:rFonts w:ascii="Times New Roman" w:hAnsi="Times New Roman" w:cs="Times New Roman"/>
          <w:sz w:val="24"/>
          <w:szCs w:val="24"/>
          <w:u w:val="single"/>
        </w:rPr>
        <w:t>Key finding 2. Teachers</w:t>
      </w:r>
      <w:r w:rsidR="00415ADF">
        <w:rPr>
          <w:rFonts w:ascii="Times New Roman" w:hAnsi="Times New Roman" w:cs="Times New Roman"/>
          <w:sz w:val="24"/>
          <w:szCs w:val="24"/>
          <w:u w:val="single"/>
        </w:rPr>
        <w:t>’</w:t>
      </w:r>
      <w:r w:rsidRPr="002147B1">
        <w:rPr>
          <w:rFonts w:ascii="Times New Roman" w:hAnsi="Times New Roman" w:cs="Times New Roman"/>
          <w:sz w:val="24"/>
          <w:szCs w:val="24"/>
          <w:u w:val="single"/>
        </w:rPr>
        <w:t xml:space="preserve"> working hours and mental health outcomes have remained broadly stable since at least the 1990s</w:t>
      </w:r>
    </w:p>
    <w:p w14:paraId="2382D64F" w14:textId="0745D763"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Another common narrative that often emerges about teaching is that things are getting worse – hours of work are increasing and the mental health of staff is on the decline. This report has also presented new, comprehensive evidence on these two important issues. Overall, the weight of the evidence is not consistent with such claims. Using data from the Labour Force Survey, Chapter 9 illustrates no clear pattern in teachers</w:t>
      </w:r>
      <w:r w:rsidR="00C80FDD">
        <w:rPr>
          <w:rFonts w:ascii="Times New Roman" w:hAnsi="Times New Roman" w:cs="Times New Roman"/>
          <w:sz w:val="24"/>
          <w:szCs w:val="24"/>
        </w:rPr>
        <w:t>’</w:t>
      </w:r>
      <w:r>
        <w:rPr>
          <w:rFonts w:ascii="Times New Roman" w:hAnsi="Times New Roman" w:cs="Times New Roman"/>
          <w:sz w:val="24"/>
          <w:szCs w:val="24"/>
        </w:rPr>
        <w:t xml:space="preserve"> working hours since the early 1990s (for either primary or secondary staff). Likewise, although Chapter 5 suggests more teachers now report having a mental health issue than around </w:t>
      </w:r>
      <w:r w:rsidR="00C80FDD">
        <w:rPr>
          <w:rFonts w:ascii="Times New Roman" w:hAnsi="Times New Roman" w:cs="Times New Roman"/>
          <w:sz w:val="24"/>
          <w:szCs w:val="24"/>
        </w:rPr>
        <w:t xml:space="preserve">ten </w:t>
      </w:r>
      <w:r>
        <w:rPr>
          <w:rFonts w:ascii="Times New Roman" w:hAnsi="Times New Roman" w:cs="Times New Roman"/>
          <w:sz w:val="24"/>
          <w:szCs w:val="24"/>
        </w:rPr>
        <w:t>years ago, a similar trend is found for other occupational groups, with there being no clear and consistent pattern (in either direction) when it comes to b</w:t>
      </w:r>
      <w:r w:rsidR="00C80FDD">
        <w:rPr>
          <w:rFonts w:ascii="Times New Roman" w:hAnsi="Times New Roman" w:cs="Times New Roman"/>
          <w:sz w:val="24"/>
          <w:szCs w:val="24"/>
        </w:rPr>
        <w:t>r</w:t>
      </w:r>
      <w:r>
        <w:rPr>
          <w:rFonts w:ascii="Times New Roman" w:hAnsi="Times New Roman" w:cs="Times New Roman"/>
          <w:sz w:val="24"/>
          <w:szCs w:val="24"/>
        </w:rPr>
        <w:t>oader measures of wellbeing. Although this again perhaps contradicts conventional wisdom amongst the education community, this report presents</w:t>
      </w:r>
      <w:r w:rsidR="00C80FDD">
        <w:rPr>
          <w:rFonts w:ascii="Times New Roman" w:hAnsi="Times New Roman" w:cs="Times New Roman"/>
          <w:sz w:val="24"/>
          <w:szCs w:val="24"/>
        </w:rPr>
        <w:t>,</w:t>
      </w:r>
      <w:r>
        <w:rPr>
          <w:rFonts w:ascii="Times New Roman" w:hAnsi="Times New Roman" w:cs="Times New Roman"/>
          <w:sz w:val="24"/>
          <w:szCs w:val="24"/>
        </w:rPr>
        <w:t xml:space="preserve"> to our knowledge</w:t>
      </w:r>
      <w:r w:rsidR="00C80FDD">
        <w:rPr>
          <w:rFonts w:ascii="Times New Roman" w:hAnsi="Times New Roman" w:cs="Times New Roman"/>
          <w:sz w:val="24"/>
          <w:szCs w:val="24"/>
        </w:rPr>
        <w:t>,</w:t>
      </w:r>
      <w:r>
        <w:rPr>
          <w:rFonts w:ascii="Times New Roman" w:hAnsi="Times New Roman" w:cs="Times New Roman"/>
          <w:sz w:val="24"/>
          <w:szCs w:val="24"/>
        </w:rPr>
        <w:t xml:space="preserve"> the first attempt to quantify the mental health and wellbeing outcomes of teachers in England over an extended period of time.</w:t>
      </w:r>
    </w:p>
    <w:p w14:paraId="6D6469D1" w14:textId="273B4863"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Our results for teachers</w:t>
      </w:r>
      <w:r w:rsidR="00C80FDD">
        <w:rPr>
          <w:rFonts w:ascii="Times New Roman" w:hAnsi="Times New Roman" w:cs="Times New Roman"/>
          <w:sz w:val="24"/>
          <w:szCs w:val="24"/>
        </w:rPr>
        <w:t>’</w:t>
      </w:r>
      <w:r>
        <w:rPr>
          <w:rFonts w:ascii="Times New Roman" w:hAnsi="Times New Roman" w:cs="Times New Roman"/>
          <w:sz w:val="24"/>
          <w:szCs w:val="24"/>
        </w:rPr>
        <w:t xml:space="preserve"> working hours remaining stable conflict with recent results from the Department for Education’s Teacher Workload Survey. This suggests that there was a big spike upwards in teachers</w:t>
      </w:r>
      <w:r w:rsidR="00C80FDD">
        <w:rPr>
          <w:rFonts w:ascii="Times New Roman" w:hAnsi="Times New Roman" w:cs="Times New Roman"/>
          <w:sz w:val="24"/>
          <w:szCs w:val="24"/>
        </w:rPr>
        <w:t>’</w:t>
      </w:r>
      <w:r>
        <w:rPr>
          <w:rFonts w:ascii="Times New Roman" w:hAnsi="Times New Roman" w:cs="Times New Roman"/>
          <w:sz w:val="24"/>
          <w:szCs w:val="24"/>
        </w:rPr>
        <w:t xml:space="preserve"> working hours between 2010 and 2016, before a decline again in 2019. In additional work produced as part of this project (Allen et al</w:t>
      </w:r>
      <w:r w:rsidR="00582B62">
        <w:rPr>
          <w:rFonts w:ascii="Times New Roman" w:hAnsi="Times New Roman" w:cs="Times New Roman"/>
          <w:sz w:val="24"/>
          <w:szCs w:val="24"/>
        </w:rPr>
        <w:t>.,</w:t>
      </w:r>
      <w:r>
        <w:rPr>
          <w:rFonts w:ascii="Times New Roman" w:hAnsi="Times New Roman" w:cs="Times New Roman"/>
          <w:sz w:val="24"/>
          <w:szCs w:val="24"/>
        </w:rPr>
        <w:t xml:space="preserve"> 2019), we discuss in detail the </w:t>
      </w:r>
      <w:r>
        <w:rPr>
          <w:rFonts w:ascii="Times New Roman" w:hAnsi="Times New Roman" w:cs="Times New Roman"/>
          <w:sz w:val="24"/>
          <w:szCs w:val="24"/>
        </w:rPr>
        <w:lastRenderedPageBreak/>
        <w:t>challenges with measuring teachers</w:t>
      </w:r>
      <w:r w:rsidR="008E716B">
        <w:rPr>
          <w:rFonts w:ascii="Times New Roman" w:hAnsi="Times New Roman" w:cs="Times New Roman"/>
          <w:sz w:val="24"/>
          <w:szCs w:val="24"/>
        </w:rPr>
        <w:t>’</w:t>
      </w:r>
      <w:r>
        <w:rPr>
          <w:rFonts w:ascii="Times New Roman" w:hAnsi="Times New Roman" w:cs="Times New Roman"/>
          <w:sz w:val="24"/>
          <w:szCs w:val="24"/>
        </w:rPr>
        <w:t xml:space="preserve"> working hours reliably, highlighting key issues with the Teacher Workload Survey in its current form. Specifically, the conflict with our findings and those from the Teacher Workload Survey could be due to the latter’s low response rates (forming little more than a convenience sample), methodological changes over time, data collection occurring at a single point in the academic year and the potential measurement error in the questions used. More generally, it is important for readers to remember that the evidence presented in this report refers to working hours of teachers only. It is possible that over the same time horizon, </w:t>
      </w:r>
      <w:r>
        <w:rPr>
          <w:rFonts w:ascii="Times New Roman" w:hAnsi="Times New Roman" w:cs="Times New Roman"/>
          <w:sz w:val="24"/>
          <w:szCs w:val="24"/>
          <w:u w:val="single"/>
        </w:rPr>
        <w:t>workload</w:t>
      </w:r>
      <w:r>
        <w:rPr>
          <w:rFonts w:ascii="Times New Roman" w:hAnsi="Times New Roman" w:cs="Times New Roman"/>
          <w:sz w:val="24"/>
          <w:szCs w:val="24"/>
        </w:rPr>
        <w:t xml:space="preserve"> (i.e. the amount of work teachers are trying to fit into these hours) has indeed changed. </w:t>
      </w:r>
    </w:p>
    <w:p w14:paraId="403C5DF4" w14:textId="0EC365BA"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Nevertheless, </w:t>
      </w:r>
      <w:r w:rsidRPr="000B45D8">
        <w:rPr>
          <w:rFonts w:ascii="Times New Roman" w:hAnsi="Times New Roman" w:cs="Times New Roman"/>
          <w:sz w:val="24"/>
          <w:szCs w:val="24"/>
        </w:rPr>
        <w:t xml:space="preserve">our findings suggest that an increase in total working hours </w:t>
      </w:r>
      <w:r w:rsidR="008E716B">
        <w:rPr>
          <w:rFonts w:ascii="Times New Roman" w:hAnsi="Times New Roman" w:cs="Times New Roman"/>
          <w:sz w:val="24"/>
          <w:szCs w:val="24"/>
        </w:rPr>
        <w:t>is</w:t>
      </w:r>
      <w:r w:rsidR="008E716B" w:rsidRPr="000B45D8">
        <w:rPr>
          <w:rFonts w:ascii="Times New Roman" w:hAnsi="Times New Roman" w:cs="Times New Roman"/>
          <w:sz w:val="24"/>
          <w:szCs w:val="24"/>
        </w:rPr>
        <w:t xml:space="preserve"> </w:t>
      </w:r>
      <w:r w:rsidRPr="000B45D8">
        <w:rPr>
          <w:rFonts w:ascii="Times New Roman" w:hAnsi="Times New Roman" w:cs="Times New Roman"/>
          <w:sz w:val="24"/>
          <w:szCs w:val="24"/>
        </w:rPr>
        <w:t>unlikely to explain the widely</w:t>
      </w:r>
      <w:r w:rsidR="008E716B">
        <w:rPr>
          <w:rFonts w:ascii="Times New Roman" w:hAnsi="Times New Roman" w:cs="Times New Roman"/>
          <w:sz w:val="24"/>
          <w:szCs w:val="24"/>
        </w:rPr>
        <w:t xml:space="preserve"> </w:t>
      </w:r>
      <w:r w:rsidRPr="000B45D8">
        <w:rPr>
          <w:rFonts w:ascii="Times New Roman" w:hAnsi="Times New Roman" w:cs="Times New Roman"/>
          <w:sz w:val="24"/>
          <w:szCs w:val="24"/>
        </w:rPr>
        <w:t xml:space="preserve">reported decline in teacher retention in England. This is for the simple reason that total working hours have not increased very much, particularly among secondary teachers, where the decline in teacher retention has been most marked. Changes in the composition of working hours after 2013 are also very unlikely to be the cause of declining teacher retention, for the same reason. We cannot, however, rule out the possibility that changes in the composition of working hours occurring prior to 2013 are to blame. In any case, these findings suggest that workload may have been given undue emphasis in the debate on teacher retention. Policymakers might therefore be better off focusing on other, better evidenced approaches to improving retention, such as increasing teacher pay, improving school leadership and improving working conditions (Bueno &amp; Sass, 2018; Feng &amp; Sass, 2018; Kraft, </w:t>
      </w:r>
      <w:proofErr w:type="spellStart"/>
      <w:r w:rsidRPr="000B45D8">
        <w:rPr>
          <w:rFonts w:ascii="Times New Roman" w:hAnsi="Times New Roman" w:cs="Times New Roman"/>
          <w:sz w:val="24"/>
          <w:szCs w:val="24"/>
        </w:rPr>
        <w:t>Marinell</w:t>
      </w:r>
      <w:proofErr w:type="spellEnd"/>
      <w:r w:rsidRPr="000B45D8">
        <w:rPr>
          <w:rFonts w:ascii="Times New Roman" w:hAnsi="Times New Roman" w:cs="Times New Roman"/>
          <w:sz w:val="24"/>
          <w:szCs w:val="24"/>
        </w:rPr>
        <w:t xml:space="preserve"> &amp; Yee, 2018; Jacob et al., 2015).</w:t>
      </w:r>
    </w:p>
    <w:p w14:paraId="66ED2A30" w14:textId="77777777" w:rsidR="002B100D" w:rsidRPr="00086824" w:rsidRDefault="002B100D" w:rsidP="002B100D">
      <w:pPr>
        <w:spacing w:line="360" w:lineRule="auto"/>
        <w:jc w:val="both"/>
        <w:rPr>
          <w:rFonts w:ascii="Times New Roman" w:hAnsi="Times New Roman" w:cs="Times New Roman"/>
          <w:sz w:val="24"/>
          <w:szCs w:val="24"/>
          <w:u w:val="single"/>
        </w:rPr>
      </w:pPr>
      <w:r w:rsidRPr="00947F52">
        <w:rPr>
          <w:rFonts w:ascii="Times New Roman" w:hAnsi="Times New Roman" w:cs="Times New Roman"/>
          <w:sz w:val="24"/>
          <w:szCs w:val="24"/>
          <w:u w:val="single"/>
        </w:rPr>
        <w:t>Key finding 3. Lesson preparation and marking are two of the key aspects of teacher workload that have the strongest association with teachers’ perceived stress</w:t>
      </w:r>
    </w:p>
    <w:p w14:paraId="33785765" w14:textId="354B44F2" w:rsidR="002B100D" w:rsidRDefault="002B100D" w:rsidP="002B100D">
      <w:pPr>
        <w:spacing w:line="360" w:lineRule="auto"/>
        <w:jc w:val="both"/>
        <w:rPr>
          <w:rFonts w:ascii="Times New Roman" w:hAnsi="Times New Roman" w:cs="Times New Roman"/>
          <w:sz w:val="24"/>
          <w:szCs w:val="24"/>
        </w:rPr>
      </w:pPr>
      <w:r w:rsidRPr="00086824">
        <w:rPr>
          <w:rFonts w:ascii="Times New Roman" w:hAnsi="Times New Roman" w:cs="Times New Roman"/>
          <w:sz w:val="24"/>
          <w:szCs w:val="24"/>
        </w:rPr>
        <w:t>This report has provided new evidence on the association between workload and teacher wellbeing, presenting evidence from across five predominately English-speaking countries</w:t>
      </w:r>
      <w:r>
        <w:rPr>
          <w:rFonts w:ascii="Times New Roman" w:hAnsi="Times New Roman" w:cs="Times New Roman"/>
          <w:sz w:val="24"/>
          <w:szCs w:val="24"/>
        </w:rPr>
        <w:t xml:space="preserve"> (Chapter 10)</w:t>
      </w:r>
      <w:r w:rsidRPr="00086824">
        <w:rPr>
          <w:rFonts w:ascii="Times New Roman" w:hAnsi="Times New Roman" w:cs="Times New Roman"/>
          <w:sz w:val="24"/>
          <w:szCs w:val="24"/>
        </w:rPr>
        <w:t xml:space="preserve">. A key, consistent finding across these five nations is that two aspects of teachers’ jobs are particularly strongly associated with their workload </w:t>
      </w:r>
      <w:r w:rsidR="00D72536" w:rsidRPr="00086824">
        <w:rPr>
          <w:rFonts w:ascii="Times New Roman" w:hAnsi="Times New Roman" w:cs="Times New Roman"/>
          <w:sz w:val="24"/>
          <w:szCs w:val="24"/>
        </w:rPr>
        <w:t>stress:</w:t>
      </w:r>
      <w:r w:rsidRPr="00086824">
        <w:rPr>
          <w:rFonts w:ascii="Times New Roman" w:hAnsi="Times New Roman" w:cs="Times New Roman"/>
          <w:sz w:val="24"/>
          <w:szCs w:val="24"/>
        </w:rPr>
        <w:t xml:space="preserve"> </w:t>
      </w:r>
      <w:r>
        <w:rPr>
          <w:rFonts w:ascii="Times New Roman" w:hAnsi="Times New Roman" w:cs="Times New Roman"/>
          <w:sz w:val="24"/>
          <w:szCs w:val="24"/>
        </w:rPr>
        <w:t xml:space="preserve">lesson </w:t>
      </w:r>
      <w:r w:rsidRPr="00086824">
        <w:rPr>
          <w:rFonts w:ascii="Times New Roman" w:hAnsi="Times New Roman" w:cs="Times New Roman"/>
          <w:sz w:val="24"/>
          <w:szCs w:val="24"/>
        </w:rPr>
        <w:t>planning and marking. For instance, each additional hour spent upon marking is associated with a sizable (0.06 standard deviation) increase in stress in the workplace. This is in contrast to other aspects of the job, such as time spent teaching and working with colleagues/professional development, which seem to have little direct effect upon teachers’ quality of working life.</w:t>
      </w:r>
      <w:r>
        <w:rPr>
          <w:rFonts w:ascii="Times New Roman" w:hAnsi="Times New Roman" w:cs="Times New Roman"/>
          <w:sz w:val="24"/>
          <w:szCs w:val="24"/>
        </w:rPr>
        <w:t xml:space="preserve"> In additional analysis (presented in Jerrim and Sims</w:t>
      </w:r>
      <w:r w:rsidR="00294759">
        <w:rPr>
          <w:rFonts w:ascii="Times New Roman" w:hAnsi="Times New Roman" w:cs="Times New Roman"/>
          <w:sz w:val="24"/>
          <w:szCs w:val="24"/>
        </w:rPr>
        <w:t>,</w:t>
      </w:r>
      <w:r>
        <w:rPr>
          <w:rFonts w:ascii="Times New Roman" w:hAnsi="Times New Roman" w:cs="Times New Roman"/>
          <w:sz w:val="24"/>
          <w:szCs w:val="24"/>
        </w:rPr>
        <w:t xml:space="preserve"> 2020b) we also illustrate how this may even be an </w:t>
      </w:r>
      <w:r>
        <w:rPr>
          <w:rFonts w:ascii="Times New Roman" w:hAnsi="Times New Roman" w:cs="Times New Roman"/>
          <w:sz w:val="24"/>
          <w:szCs w:val="24"/>
        </w:rPr>
        <w:lastRenderedPageBreak/>
        <w:t>underestimate, given how self-reported working hours of teachers is subject to a degree of measurement error.</w:t>
      </w:r>
    </w:p>
    <w:p w14:paraId="2ABD7D02" w14:textId="23A0C864" w:rsidR="002B100D" w:rsidRDefault="002B100D" w:rsidP="002B100D">
      <w:pPr>
        <w:spacing w:line="360" w:lineRule="auto"/>
        <w:jc w:val="both"/>
        <w:rPr>
          <w:rFonts w:ascii="Times New Roman" w:hAnsi="Times New Roman" w:cs="Times New Roman"/>
          <w:sz w:val="24"/>
          <w:szCs w:val="24"/>
        </w:rPr>
      </w:pPr>
      <w:r w:rsidRPr="00935776">
        <w:rPr>
          <w:rFonts w:ascii="Times New Roman" w:hAnsi="Times New Roman" w:cs="Times New Roman"/>
          <w:sz w:val="24"/>
          <w:szCs w:val="24"/>
        </w:rPr>
        <w:t>These findings are in many ways consistent with previous literature on this topic. Much previous research – both in England and internationally – has found many teachers to be dissatisfied with their workload (Cooper-Gibson, 2018; Lam &amp; Yan, 2011; Perryman &amp; Calvert, 2019). However, previous research (like our own findings) emphasise that certain aspects of workload are viewed more negatively than others. Most notabl</w:t>
      </w:r>
      <w:r w:rsidR="008D5A0C">
        <w:rPr>
          <w:rFonts w:ascii="Times New Roman" w:hAnsi="Times New Roman" w:cs="Times New Roman"/>
          <w:sz w:val="24"/>
          <w:szCs w:val="24"/>
        </w:rPr>
        <w:t>y</w:t>
      </w:r>
      <w:r w:rsidRPr="00935776">
        <w:rPr>
          <w:rFonts w:ascii="Times New Roman" w:hAnsi="Times New Roman" w:cs="Times New Roman"/>
          <w:sz w:val="24"/>
          <w:szCs w:val="24"/>
        </w:rPr>
        <w:t>, other scholars have also argued that the growing demands of assessment, marking and data entry, often in order to comply with (perceived) demands of accountability systems</w:t>
      </w:r>
      <w:r>
        <w:rPr>
          <w:rFonts w:ascii="Times New Roman" w:hAnsi="Times New Roman" w:cs="Times New Roman"/>
          <w:sz w:val="24"/>
          <w:szCs w:val="24"/>
        </w:rPr>
        <w:t>,</w:t>
      </w:r>
      <w:r w:rsidRPr="00935776">
        <w:rPr>
          <w:rFonts w:ascii="Times New Roman" w:hAnsi="Times New Roman" w:cs="Times New Roman"/>
          <w:sz w:val="24"/>
          <w:szCs w:val="24"/>
        </w:rPr>
        <w:t xml:space="preserve"> are particularly unpopular with teachers (Bradbury &amp; Roberts-Holmes, 2018; Perryman &amp; Calvert, 2019; </w:t>
      </w:r>
      <w:proofErr w:type="spellStart"/>
      <w:r w:rsidRPr="00935776">
        <w:rPr>
          <w:rFonts w:ascii="Times New Roman" w:hAnsi="Times New Roman" w:cs="Times New Roman"/>
          <w:sz w:val="24"/>
          <w:szCs w:val="24"/>
        </w:rPr>
        <w:t>Selwin</w:t>
      </w:r>
      <w:proofErr w:type="spellEnd"/>
      <w:r w:rsidRPr="00935776">
        <w:rPr>
          <w:rFonts w:ascii="Times New Roman" w:hAnsi="Times New Roman" w:cs="Times New Roman"/>
          <w:sz w:val="24"/>
          <w:szCs w:val="24"/>
        </w:rPr>
        <w:t xml:space="preserve">, </w:t>
      </w:r>
      <w:proofErr w:type="spellStart"/>
      <w:r w:rsidRPr="00935776">
        <w:rPr>
          <w:rFonts w:ascii="Times New Roman" w:hAnsi="Times New Roman" w:cs="Times New Roman"/>
          <w:sz w:val="24"/>
          <w:szCs w:val="24"/>
        </w:rPr>
        <w:t>Nemorin</w:t>
      </w:r>
      <w:proofErr w:type="spellEnd"/>
      <w:r w:rsidRPr="00935776">
        <w:rPr>
          <w:rFonts w:ascii="Times New Roman" w:hAnsi="Times New Roman" w:cs="Times New Roman"/>
          <w:sz w:val="24"/>
          <w:szCs w:val="24"/>
        </w:rPr>
        <w:t>, &amp; Johnson, 2017).</w:t>
      </w:r>
    </w:p>
    <w:p w14:paraId="42717BDC" w14:textId="75920613" w:rsidR="002B100D" w:rsidRDefault="002B100D" w:rsidP="002B100D">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Key finding 4. Countries with high-stakes accountability systems </w:t>
      </w:r>
      <w:r w:rsidR="00F035DC">
        <w:rPr>
          <w:rFonts w:ascii="Times New Roman" w:hAnsi="Times New Roman" w:cs="Times New Roman"/>
          <w:sz w:val="24"/>
          <w:szCs w:val="24"/>
          <w:u w:val="single"/>
        </w:rPr>
        <w:t xml:space="preserve">are </w:t>
      </w:r>
      <w:r>
        <w:rPr>
          <w:rFonts w:ascii="Times New Roman" w:hAnsi="Times New Roman" w:cs="Times New Roman"/>
          <w:sz w:val="24"/>
          <w:szCs w:val="24"/>
          <w:u w:val="single"/>
        </w:rPr>
        <w:t>only weakly associated with teacher</w:t>
      </w:r>
      <w:r w:rsidR="00FB30B5">
        <w:rPr>
          <w:rFonts w:ascii="Times New Roman" w:hAnsi="Times New Roman" w:cs="Times New Roman"/>
          <w:sz w:val="24"/>
          <w:szCs w:val="24"/>
          <w:u w:val="single"/>
        </w:rPr>
        <w:t xml:space="preserve"> </w:t>
      </w:r>
      <w:r>
        <w:rPr>
          <w:rFonts w:ascii="Times New Roman" w:hAnsi="Times New Roman" w:cs="Times New Roman"/>
          <w:sz w:val="24"/>
          <w:szCs w:val="24"/>
          <w:u w:val="single"/>
        </w:rPr>
        <w:t>perceptions of accountability-induced stress</w:t>
      </w:r>
    </w:p>
    <w:p w14:paraId="16A9815D" w14:textId="7DFFF305" w:rsidR="002B100D" w:rsidRDefault="002B100D" w:rsidP="002B100D">
      <w:pPr>
        <w:spacing w:line="360" w:lineRule="auto"/>
        <w:jc w:val="both"/>
        <w:rPr>
          <w:rFonts w:ascii="Times New Roman" w:hAnsi="Times New Roman" w:cs="Times New Roman"/>
          <w:sz w:val="24"/>
          <w:szCs w:val="24"/>
        </w:rPr>
      </w:pPr>
      <w:r w:rsidRPr="00935776">
        <w:rPr>
          <w:rFonts w:ascii="Times New Roman" w:hAnsi="Times New Roman" w:cs="Times New Roman"/>
          <w:sz w:val="24"/>
          <w:szCs w:val="24"/>
        </w:rPr>
        <w:t xml:space="preserve">England has an extensive system of school accountability, through a mixture of Ofsted inspections, high-stakes national examinations and the publication of school ‘league tables’. Many suggest that such high-stakes accountability systems harm teachers’ job satisfaction, wellbeing and mental health. The analysis presented in this report (Chapter </w:t>
      </w:r>
      <w:r>
        <w:rPr>
          <w:rFonts w:ascii="Times New Roman" w:hAnsi="Times New Roman" w:cs="Times New Roman"/>
          <w:sz w:val="24"/>
          <w:szCs w:val="24"/>
        </w:rPr>
        <w:t>11</w:t>
      </w:r>
      <w:r w:rsidRPr="00935776">
        <w:rPr>
          <w:rFonts w:ascii="Times New Roman" w:hAnsi="Times New Roman" w:cs="Times New Roman"/>
          <w:sz w:val="24"/>
          <w:szCs w:val="24"/>
        </w:rPr>
        <w:t xml:space="preserve">) has indeed found a modest, positive correlation between school-system accountability and how stressed teachers and </w:t>
      </w:r>
      <w:proofErr w:type="spellStart"/>
      <w:r w:rsidRPr="00935776">
        <w:rPr>
          <w:rFonts w:ascii="Times New Roman" w:hAnsi="Times New Roman" w:cs="Times New Roman"/>
          <w:sz w:val="24"/>
          <w:szCs w:val="24"/>
        </w:rPr>
        <w:t>headteachers</w:t>
      </w:r>
      <w:proofErr w:type="spellEnd"/>
      <w:r w:rsidRPr="00935776">
        <w:rPr>
          <w:rFonts w:ascii="Times New Roman" w:hAnsi="Times New Roman" w:cs="Times New Roman"/>
          <w:sz w:val="24"/>
          <w:szCs w:val="24"/>
        </w:rPr>
        <w:t xml:space="preserve"> report being about being responsible for pupil achievement</w:t>
      </w:r>
      <w:r>
        <w:rPr>
          <w:rFonts w:ascii="Times New Roman" w:hAnsi="Times New Roman" w:cs="Times New Roman"/>
          <w:sz w:val="24"/>
          <w:szCs w:val="24"/>
        </w:rPr>
        <w:t xml:space="preserve"> </w:t>
      </w:r>
      <w:r>
        <w:rPr>
          <w:rFonts w:ascii="Times New Roman" w:hAnsi="Times New Roman" w:cs="Times New Roman"/>
        </w:rPr>
        <w:t>(correlation ≈0.3)</w:t>
      </w:r>
      <w:r w:rsidRPr="00935776">
        <w:rPr>
          <w:rFonts w:ascii="Times New Roman" w:hAnsi="Times New Roman" w:cs="Times New Roman"/>
          <w:sz w:val="24"/>
          <w:szCs w:val="24"/>
        </w:rPr>
        <w:t>. Yet this association is far from perfect, with several examples of high-accountability school systems where only a comparatively small proportion of staff report feeling stressed (e.g. the United States).</w:t>
      </w:r>
      <w:r>
        <w:rPr>
          <w:rFonts w:ascii="Times New Roman" w:hAnsi="Times New Roman" w:cs="Times New Roman"/>
          <w:sz w:val="24"/>
          <w:szCs w:val="24"/>
        </w:rPr>
        <w:t xml:space="preserve"> </w:t>
      </w:r>
    </w:p>
    <w:p w14:paraId="7FD48979" w14:textId="5F1B0B37" w:rsidR="002B100D" w:rsidRPr="00B7366E"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Our findings are thus only partially consistent with previous work in this area. Specifically, although we find a positive association between school-system accountability and teacher stress around this aspect of their job, the evidence of a link does not appear as overwhelming as many perhaps believe. Indeed, in general, this is an area where we believe further work is needed and the evidence base needs to be further strengthened. Much existing research in this area has been conducted in a single national setting (often the United States), has been qualitative in nature and been relatively small scale. Although the analysis presented in this report is based upon large, nationally representative data, it also has clear limitations. In particular, it has been based upon perceptions of stress reported by teachers (rather than standardised instruments), the analysis has been conducted at the country</w:t>
      </w:r>
      <w:r w:rsidR="007C48DB">
        <w:rPr>
          <w:rFonts w:ascii="Times New Roman" w:hAnsi="Times New Roman" w:cs="Times New Roman"/>
          <w:sz w:val="24"/>
          <w:szCs w:val="24"/>
        </w:rPr>
        <w:t xml:space="preserve"> </w:t>
      </w:r>
      <w:r>
        <w:rPr>
          <w:rFonts w:ascii="Times New Roman" w:hAnsi="Times New Roman" w:cs="Times New Roman"/>
          <w:sz w:val="24"/>
          <w:szCs w:val="24"/>
        </w:rPr>
        <w:t xml:space="preserve">level with a limited </w:t>
      </w:r>
      <w:r>
        <w:rPr>
          <w:rFonts w:ascii="Times New Roman" w:hAnsi="Times New Roman" w:cs="Times New Roman"/>
          <w:sz w:val="24"/>
          <w:szCs w:val="24"/>
        </w:rPr>
        <w:lastRenderedPageBreak/>
        <w:t>number of observations, with estimates capturing correlation rather than causation. Hence, despite the current school accountability system being disliked by many teachers in England, there is still a dearth of high-quality quantitative evidence on the impact school accountability has upon the wellbeing of the teaching profession.</w:t>
      </w:r>
    </w:p>
    <w:p w14:paraId="17AAEC1B" w14:textId="77777777" w:rsidR="002B100D" w:rsidRPr="00F63530" w:rsidRDefault="002B100D" w:rsidP="002B100D">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t xml:space="preserve">Key finding 5. Teachers tend to feel more stressed about accountability when their colleagues do as </w:t>
      </w:r>
      <w:r w:rsidRPr="00F63530">
        <w:rPr>
          <w:rFonts w:ascii="Times New Roman" w:hAnsi="Times New Roman" w:cs="Times New Roman"/>
          <w:sz w:val="24"/>
          <w:szCs w:val="24"/>
          <w:u w:val="single"/>
        </w:rPr>
        <w:t xml:space="preserve">well </w:t>
      </w:r>
    </w:p>
    <w:p w14:paraId="1330991C" w14:textId="7B473BF1" w:rsidR="002B100D" w:rsidRDefault="002B100D" w:rsidP="002B100D">
      <w:pPr>
        <w:spacing w:line="360" w:lineRule="auto"/>
        <w:jc w:val="both"/>
        <w:rPr>
          <w:rFonts w:ascii="Times New Roman" w:hAnsi="Times New Roman" w:cs="Times New Roman"/>
          <w:sz w:val="24"/>
          <w:szCs w:val="24"/>
        </w:rPr>
      </w:pPr>
      <w:r w:rsidRPr="00F63530">
        <w:rPr>
          <w:rFonts w:ascii="Times New Roman" w:hAnsi="Times New Roman" w:cs="Times New Roman"/>
          <w:sz w:val="24"/>
          <w:szCs w:val="24"/>
        </w:rPr>
        <w:t xml:space="preserve">Our work on accountability (Chapter 11) has also considered the extent that stress about accountability is ‘clustered’ within certain schools. We have found clear evidence of some degree of </w:t>
      </w:r>
      <w:r w:rsidR="00024AEA">
        <w:rPr>
          <w:rFonts w:ascii="Times New Roman" w:hAnsi="Times New Roman" w:cs="Times New Roman"/>
          <w:sz w:val="24"/>
          <w:szCs w:val="24"/>
        </w:rPr>
        <w:t>‘</w:t>
      </w:r>
      <w:r w:rsidRPr="00F63530">
        <w:rPr>
          <w:rFonts w:ascii="Times New Roman" w:hAnsi="Times New Roman" w:cs="Times New Roman"/>
          <w:sz w:val="24"/>
          <w:szCs w:val="24"/>
        </w:rPr>
        <w:t>emotional contagion</w:t>
      </w:r>
      <w:r w:rsidR="00024AEA">
        <w:rPr>
          <w:rFonts w:ascii="Times New Roman" w:hAnsi="Times New Roman" w:cs="Times New Roman"/>
          <w:sz w:val="24"/>
          <w:szCs w:val="24"/>
        </w:rPr>
        <w:t>’</w:t>
      </w:r>
      <w:r w:rsidRPr="00F63530">
        <w:rPr>
          <w:rFonts w:ascii="Times New Roman" w:hAnsi="Times New Roman" w:cs="Times New Roman"/>
          <w:sz w:val="24"/>
          <w:szCs w:val="24"/>
        </w:rPr>
        <w:t xml:space="preserve"> of accountability</w:t>
      </w:r>
      <w:r w:rsidRPr="002A4398">
        <w:rPr>
          <w:rFonts w:ascii="Times New Roman" w:hAnsi="Times New Roman" w:cs="Times New Roman"/>
          <w:sz w:val="24"/>
          <w:szCs w:val="24"/>
        </w:rPr>
        <w:t xml:space="preserve">-induced stress, with an individual being much more likely to feel under pressure from this aspect of their job if their colleagues do as well. An important caveat is that this refers to the relationship of accountability-induced stress amongst teaching staff. In contrast, there is only a weak relationship between how stressed </w:t>
      </w:r>
      <w:proofErr w:type="spellStart"/>
      <w:r w:rsidRPr="002A4398">
        <w:rPr>
          <w:rFonts w:ascii="Times New Roman" w:hAnsi="Times New Roman" w:cs="Times New Roman"/>
          <w:sz w:val="24"/>
          <w:szCs w:val="24"/>
        </w:rPr>
        <w:t>headteachers</w:t>
      </w:r>
      <w:proofErr w:type="spellEnd"/>
      <w:r w:rsidRPr="002A4398">
        <w:rPr>
          <w:rFonts w:ascii="Times New Roman" w:hAnsi="Times New Roman" w:cs="Times New Roman"/>
          <w:sz w:val="24"/>
          <w:szCs w:val="24"/>
        </w:rPr>
        <w:t xml:space="preserve"> feel about accountability and the stress felt by staff. One potential explanation for this finding is that the management </w:t>
      </w:r>
      <w:r w:rsidR="006A2356" w:rsidRPr="002A4398">
        <w:rPr>
          <w:rFonts w:ascii="Times New Roman" w:hAnsi="Times New Roman" w:cs="Times New Roman"/>
          <w:sz w:val="24"/>
          <w:szCs w:val="24"/>
        </w:rPr>
        <w:t>practi</w:t>
      </w:r>
      <w:r w:rsidR="006A2356">
        <w:rPr>
          <w:rFonts w:ascii="Times New Roman" w:hAnsi="Times New Roman" w:cs="Times New Roman"/>
          <w:sz w:val="24"/>
          <w:szCs w:val="24"/>
        </w:rPr>
        <w:t>c</w:t>
      </w:r>
      <w:r w:rsidR="006A2356" w:rsidRPr="002A4398">
        <w:rPr>
          <w:rFonts w:ascii="Times New Roman" w:hAnsi="Times New Roman" w:cs="Times New Roman"/>
          <w:sz w:val="24"/>
          <w:szCs w:val="24"/>
        </w:rPr>
        <w:t xml:space="preserve">es </w:t>
      </w:r>
      <w:r w:rsidRPr="002A4398">
        <w:rPr>
          <w:rFonts w:ascii="Times New Roman" w:hAnsi="Times New Roman" w:cs="Times New Roman"/>
          <w:sz w:val="24"/>
          <w:szCs w:val="24"/>
        </w:rPr>
        <w:t xml:space="preserve">of </w:t>
      </w:r>
      <w:proofErr w:type="spellStart"/>
      <w:r w:rsidRPr="002A4398">
        <w:rPr>
          <w:rFonts w:ascii="Times New Roman" w:hAnsi="Times New Roman" w:cs="Times New Roman"/>
          <w:sz w:val="24"/>
          <w:szCs w:val="24"/>
        </w:rPr>
        <w:t>headteachers</w:t>
      </w:r>
      <w:proofErr w:type="spellEnd"/>
      <w:r w:rsidRPr="002A4398">
        <w:rPr>
          <w:rFonts w:ascii="Times New Roman" w:hAnsi="Times New Roman" w:cs="Times New Roman"/>
          <w:sz w:val="24"/>
          <w:szCs w:val="24"/>
        </w:rPr>
        <w:t xml:space="preserve"> who feel under pressure from accountability do not seem to differ much from those that do not feel stressed by this part of their work. </w:t>
      </w:r>
    </w:p>
    <w:p w14:paraId="4A6E7DB8" w14:textId="25EA79A1" w:rsidR="002B100D" w:rsidRDefault="002B100D" w:rsidP="002B100D">
      <w:pPr>
        <w:spacing w:line="360" w:lineRule="auto"/>
        <w:jc w:val="both"/>
        <w:rPr>
          <w:rFonts w:ascii="Times New Roman" w:hAnsi="Times New Roman" w:cs="Times New Roman"/>
          <w:sz w:val="24"/>
          <w:szCs w:val="24"/>
        </w:rPr>
      </w:pPr>
      <w:r w:rsidRPr="00A678D7">
        <w:rPr>
          <w:rFonts w:ascii="Times New Roman" w:hAnsi="Times New Roman" w:cs="Times New Roman"/>
          <w:sz w:val="24"/>
          <w:szCs w:val="24"/>
        </w:rPr>
        <w:t>Although there has been little previous research on this topic, our findings are consistent with the small amount of other work that does exist. For instance, previous research from Canada has suggested that such emotional contagion may exist within schools (</w:t>
      </w:r>
      <w:proofErr w:type="spellStart"/>
      <w:r w:rsidRPr="00A678D7">
        <w:rPr>
          <w:rFonts w:ascii="Times New Roman" w:hAnsi="Times New Roman" w:cs="Times New Roman"/>
          <w:sz w:val="24"/>
          <w:szCs w:val="24"/>
        </w:rPr>
        <w:t>Oberle</w:t>
      </w:r>
      <w:proofErr w:type="spellEnd"/>
      <w:r w:rsidRPr="00A678D7">
        <w:rPr>
          <w:rFonts w:ascii="Times New Roman" w:hAnsi="Times New Roman" w:cs="Times New Roman"/>
          <w:sz w:val="24"/>
          <w:szCs w:val="24"/>
        </w:rPr>
        <w:t xml:space="preserve"> </w:t>
      </w:r>
      <w:r w:rsidR="00294759">
        <w:rPr>
          <w:rFonts w:ascii="Times New Roman" w:hAnsi="Times New Roman" w:cs="Times New Roman"/>
          <w:sz w:val="24"/>
          <w:szCs w:val="24"/>
        </w:rPr>
        <w:t>&amp;</w:t>
      </w:r>
      <w:r w:rsidR="00294759" w:rsidRPr="00A678D7">
        <w:rPr>
          <w:rFonts w:ascii="Times New Roman" w:hAnsi="Times New Roman" w:cs="Times New Roman"/>
          <w:sz w:val="24"/>
          <w:szCs w:val="24"/>
        </w:rPr>
        <w:t xml:space="preserve"> </w:t>
      </w:r>
      <w:proofErr w:type="spellStart"/>
      <w:r w:rsidRPr="00A678D7">
        <w:rPr>
          <w:rFonts w:ascii="Times New Roman" w:hAnsi="Times New Roman" w:cs="Times New Roman"/>
          <w:sz w:val="24"/>
          <w:szCs w:val="24"/>
        </w:rPr>
        <w:t>Schonert-Reichl</w:t>
      </w:r>
      <w:proofErr w:type="spellEnd"/>
      <w:r w:rsidR="00294759">
        <w:rPr>
          <w:rFonts w:ascii="Times New Roman" w:hAnsi="Times New Roman" w:cs="Times New Roman"/>
          <w:sz w:val="24"/>
          <w:szCs w:val="24"/>
        </w:rPr>
        <w:t>,</w:t>
      </w:r>
      <w:r w:rsidRPr="00A678D7">
        <w:rPr>
          <w:rFonts w:ascii="Times New Roman" w:hAnsi="Times New Roman" w:cs="Times New Roman"/>
          <w:sz w:val="24"/>
          <w:szCs w:val="24"/>
        </w:rPr>
        <w:t xml:space="preserve"> 2016), though this focuses upon the flow between teachers and children. On the other hand, our findings contrast with those of </w:t>
      </w:r>
      <w:proofErr w:type="spellStart"/>
      <w:r w:rsidRPr="00A678D7">
        <w:rPr>
          <w:rFonts w:ascii="Times New Roman" w:hAnsi="Times New Roman" w:cs="Times New Roman"/>
          <w:sz w:val="24"/>
          <w:szCs w:val="24"/>
        </w:rPr>
        <w:t>Sy</w:t>
      </w:r>
      <w:proofErr w:type="spellEnd"/>
      <w:r w:rsidRPr="00A678D7">
        <w:rPr>
          <w:rFonts w:ascii="Times New Roman" w:hAnsi="Times New Roman" w:cs="Times New Roman"/>
          <w:sz w:val="24"/>
          <w:szCs w:val="24"/>
        </w:rPr>
        <w:t xml:space="preserve">, Cote and Saavedra (2005) – conducted outside of an education setting – which suggested that the emotions of some team members </w:t>
      </w:r>
      <w:r w:rsidR="00376D7C" w:rsidRPr="00376D7C">
        <w:rPr>
          <w:rFonts w:ascii="Times New Roman" w:hAnsi="Times New Roman" w:cs="Times New Roman"/>
          <w:sz w:val="24"/>
          <w:szCs w:val="24"/>
        </w:rPr>
        <w:t>–</w:t>
      </w:r>
      <w:r w:rsidRPr="00A678D7">
        <w:rPr>
          <w:rFonts w:ascii="Times New Roman" w:hAnsi="Times New Roman" w:cs="Times New Roman"/>
          <w:sz w:val="24"/>
          <w:szCs w:val="24"/>
        </w:rPr>
        <w:t xml:space="preserve"> most notably senior leaders (e.g. </w:t>
      </w:r>
      <w:proofErr w:type="spellStart"/>
      <w:r w:rsidRPr="00A678D7">
        <w:rPr>
          <w:rFonts w:ascii="Times New Roman" w:hAnsi="Times New Roman" w:cs="Times New Roman"/>
          <w:sz w:val="24"/>
          <w:szCs w:val="24"/>
        </w:rPr>
        <w:t>headteachers</w:t>
      </w:r>
      <w:proofErr w:type="spellEnd"/>
      <w:r w:rsidRPr="00A678D7">
        <w:rPr>
          <w:rFonts w:ascii="Times New Roman" w:hAnsi="Times New Roman" w:cs="Times New Roman"/>
          <w:sz w:val="24"/>
          <w:szCs w:val="24"/>
        </w:rPr>
        <w:t>) – may be more contagious than others. The most</w:t>
      </w:r>
      <w:r>
        <w:rPr>
          <w:rFonts w:ascii="Times New Roman" w:hAnsi="Times New Roman" w:cs="Times New Roman"/>
          <w:sz w:val="24"/>
          <w:szCs w:val="24"/>
        </w:rPr>
        <w:t xml:space="preserve"> notable</w:t>
      </w:r>
      <w:r w:rsidRPr="00A678D7">
        <w:rPr>
          <w:rFonts w:ascii="Times New Roman" w:hAnsi="Times New Roman" w:cs="Times New Roman"/>
          <w:sz w:val="24"/>
          <w:szCs w:val="24"/>
        </w:rPr>
        <w:t xml:space="preserve"> limitation with this evidence base (including our contribution) is that it is mostly based upon cross-sectional data, and has demonstrated the presence (or absence) of a correlation, rather than establishing causation. </w:t>
      </w:r>
      <w:r w:rsidR="00376D7C" w:rsidRPr="00A678D7">
        <w:rPr>
          <w:rFonts w:ascii="Times New Roman" w:hAnsi="Times New Roman" w:cs="Times New Roman"/>
          <w:sz w:val="24"/>
          <w:szCs w:val="24"/>
        </w:rPr>
        <w:t>Th</w:t>
      </w:r>
      <w:r w:rsidR="00376D7C">
        <w:rPr>
          <w:rFonts w:ascii="Times New Roman" w:hAnsi="Times New Roman" w:cs="Times New Roman"/>
          <w:sz w:val="24"/>
          <w:szCs w:val="24"/>
        </w:rPr>
        <w:t>is</w:t>
      </w:r>
      <w:r w:rsidR="00376D7C" w:rsidRPr="00A678D7">
        <w:rPr>
          <w:rFonts w:ascii="Times New Roman" w:hAnsi="Times New Roman" w:cs="Times New Roman"/>
          <w:sz w:val="24"/>
          <w:szCs w:val="24"/>
        </w:rPr>
        <w:t xml:space="preserve"> </w:t>
      </w:r>
      <w:r w:rsidRPr="00A678D7">
        <w:rPr>
          <w:rFonts w:ascii="Times New Roman" w:hAnsi="Times New Roman" w:cs="Times New Roman"/>
          <w:sz w:val="24"/>
          <w:szCs w:val="24"/>
        </w:rPr>
        <w:t xml:space="preserve">highlights how there is a pressing need for more longitudinal data on teachers, allowing researchers to monitor how their levels of stress and wellbeing change as they get promoted, when school management changes or they move to another job. </w:t>
      </w:r>
    </w:p>
    <w:p w14:paraId="03034982" w14:textId="77777777" w:rsidR="00760AD4" w:rsidRDefault="00760AD4" w:rsidP="002B100D">
      <w:pPr>
        <w:spacing w:line="360" w:lineRule="auto"/>
        <w:jc w:val="both"/>
        <w:rPr>
          <w:rFonts w:ascii="Times New Roman" w:hAnsi="Times New Roman" w:cs="Times New Roman"/>
          <w:sz w:val="24"/>
          <w:szCs w:val="24"/>
          <w:u w:val="single"/>
        </w:rPr>
      </w:pPr>
    </w:p>
    <w:p w14:paraId="7E53CFFE" w14:textId="77777777" w:rsidR="00760AD4" w:rsidRDefault="00760AD4" w:rsidP="002B100D">
      <w:pPr>
        <w:spacing w:line="360" w:lineRule="auto"/>
        <w:jc w:val="both"/>
        <w:rPr>
          <w:rFonts w:ascii="Times New Roman" w:hAnsi="Times New Roman" w:cs="Times New Roman"/>
          <w:sz w:val="24"/>
          <w:szCs w:val="24"/>
          <w:u w:val="single"/>
        </w:rPr>
      </w:pPr>
    </w:p>
    <w:p w14:paraId="0BD9DEAD" w14:textId="3027B4E7" w:rsidR="002B100D" w:rsidRDefault="002B100D" w:rsidP="002B100D">
      <w:pPr>
        <w:spacing w:line="360" w:lineRule="auto"/>
        <w:jc w:val="both"/>
        <w:rPr>
          <w:rFonts w:ascii="Times New Roman" w:hAnsi="Times New Roman" w:cs="Times New Roman"/>
          <w:sz w:val="24"/>
          <w:szCs w:val="24"/>
          <w:u w:val="single"/>
        </w:rPr>
      </w:pPr>
      <w:r>
        <w:rPr>
          <w:rFonts w:ascii="Times New Roman" w:hAnsi="Times New Roman" w:cs="Times New Roman"/>
          <w:sz w:val="24"/>
          <w:szCs w:val="24"/>
          <w:u w:val="single"/>
        </w:rPr>
        <w:lastRenderedPageBreak/>
        <w:t>Key finding 6. Supportive leadership may help to improve teacher retention through improving job satisfaction and reducing workload stress</w:t>
      </w:r>
    </w:p>
    <w:p w14:paraId="40405CBA" w14:textId="2F48E9A2" w:rsidR="002B100D" w:rsidRDefault="002B100D" w:rsidP="002B100D">
      <w:pPr>
        <w:spacing w:line="360" w:lineRule="auto"/>
        <w:jc w:val="both"/>
        <w:rPr>
          <w:rFonts w:ascii="Times New Roman" w:hAnsi="Times New Roman" w:cs="Times New Roman"/>
          <w:sz w:val="24"/>
          <w:szCs w:val="24"/>
        </w:rPr>
      </w:pPr>
      <w:r w:rsidRPr="00293C89">
        <w:rPr>
          <w:rFonts w:ascii="Times New Roman" w:hAnsi="Times New Roman" w:cs="Times New Roman"/>
          <w:sz w:val="24"/>
          <w:szCs w:val="24"/>
        </w:rPr>
        <w:t xml:space="preserve">In Chapter </w:t>
      </w:r>
      <w:r>
        <w:rPr>
          <w:rFonts w:ascii="Times New Roman" w:hAnsi="Times New Roman" w:cs="Times New Roman"/>
          <w:sz w:val="24"/>
          <w:szCs w:val="24"/>
        </w:rPr>
        <w:t>12</w:t>
      </w:r>
      <w:r w:rsidRPr="00293C89">
        <w:rPr>
          <w:rFonts w:ascii="Times New Roman" w:hAnsi="Times New Roman" w:cs="Times New Roman"/>
          <w:sz w:val="24"/>
          <w:szCs w:val="24"/>
        </w:rPr>
        <w:t xml:space="preserve">, we investigated how five facets of the working environment (supportive leadership, workload, collaboration, preparation, disciplinary climate) </w:t>
      </w:r>
      <w:r>
        <w:rPr>
          <w:rFonts w:ascii="Times New Roman" w:hAnsi="Times New Roman" w:cs="Times New Roman"/>
          <w:sz w:val="24"/>
          <w:szCs w:val="24"/>
        </w:rPr>
        <w:t>are</w:t>
      </w:r>
      <w:r w:rsidRPr="00293C89">
        <w:rPr>
          <w:rFonts w:ascii="Times New Roman" w:hAnsi="Times New Roman" w:cs="Times New Roman"/>
          <w:sz w:val="24"/>
          <w:szCs w:val="24"/>
        </w:rPr>
        <w:t xml:space="preserve"> related to teacher retention, job satisfaction and workplace wellbeing. </w:t>
      </w:r>
      <w:r>
        <w:rPr>
          <w:rFonts w:ascii="Times New Roman" w:hAnsi="Times New Roman" w:cs="Times New Roman"/>
          <w:sz w:val="24"/>
          <w:szCs w:val="24"/>
        </w:rPr>
        <w:t xml:space="preserve">The factor of the work environment that was the single strongest predictor of each of these three outcomes was having </w:t>
      </w:r>
      <w:r w:rsidRPr="00293C89">
        <w:rPr>
          <w:rFonts w:ascii="Times New Roman" w:hAnsi="Times New Roman" w:cs="Times New Roman"/>
          <w:sz w:val="24"/>
          <w:szCs w:val="24"/>
        </w:rPr>
        <w:t>supportive leadership</w:t>
      </w:r>
      <w:r>
        <w:rPr>
          <w:rFonts w:ascii="Times New Roman" w:hAnsi="Times New Roman" w:cs="Times New Roman"/>
          <w:sz w:val="24"/>
          <w:szCs w:val="24"/>
        </w:rPr>
        <w:t xml:space="preserve">. Specifically, </w:t>
      </w:r>
      <w:r w:rsidRPr="00293C89">
        <w:rPr>
          <w:rFonts w:ascii="Times New Roman" w:hAnsi="Times New Roman" w:cs="Times New Roman"/>
          <w:sz w:val="24"/>
          <w:szCs w:val="24"/>
        </w:rPr>
        <w:t xml:space="preserve">supportive leaders are likely to retain staff via improving job satisfaction and reduced workplace stress. </w:t>
      </w:r>
      <w:r>
        <w:rPr>
          <w:rFonts w:ascii="Times New Roman" w:hAnsi="Times New Roman" w:cs="Times New Roman"/>
          <w:sz w:val="24"/>
          <w:szCs w:val="24"/>
        </w:rPr>
        <w:t>This is consistent with previous r</w:t>
      </w:r>
      <w:r w:rsidRPr="00A729E7">
        <w:rPr>
          <w:rFonts w:ascii="Times New Roman" w:hAnsi="Times New Roman" w:cs="Times New Roman"/>
          <w:sz w:val="24"/>
          <w:szCs w:val="24"/>
        </w:rPr>
        <w:t>esearch</w:t>
      </w:r>
      <w:r>
        <w:rPr>
          <w:rFonts w:ascii="Times New Roman" w:hAnsi="Times New Roman" w:cs="Times New Roman"/>
          <w:sz w:val="24"/>
          <w:szCs w:val="24"/>
        </w:rPr>
        <w:t xml:space="preserve"> which</w:t>
      </w:r>
      <w:r w:rsidRPr="00A729E7">
        <w:rPr>
          <w:rFonts w:ascii="Times New Roman" w:hAnsi="Times New Roman" w:cs="Times New Roman"/>
          <w:sz w:val="24"/>
          <w:szCs w:val="24"/>
        </w:rPr>
        <w:t xml:space="preserve"> has suggested that the quality of teachers’ working environments has an important influence on retention (Simon &amp; Johnson, 2015). In particular, supportive school leadership has repeatedly been found to predict teachers staying in their jobs (Boyd et al., 2011; Ladd, 2011</w:t>
      </w:r>
      <w:r w:rsidR="00E31E64">
        <w:rPr>
          <w:rFonts w:ascii="Times New Roman" w:hAnsi="Times New Roman" w:cs="Times New Roman"/>
          <w:sz w:val="24"/>
          <w:szCs w:val="24"/>
        </w:rPr>
        <w:t>;</w:t>
      </w:r>
      <w:r w:rsidR="00E31E64" w:rsidRPr="00A729E7">
        <w:rPr>
          <w:rFonts w:ascii="Times New Roman" w:hAnsi="Times New Roman" w:cs="Times New Roman"/>
          <w:sz w:val="24"/>
          <w:szCs w:val="24"/>
        </w:rPr>
        <w:t xml:space="preserve"> </w:t>
      </w:r>
      <w:r w:rsidRPr="00A729E7">
        <w:rPr>
          <w:rFonts w:ascii="Times New Roman" w:hAnsi="Times New Roman" w:cs="Times New Roman"/>
          <w:sz w:val="24"/>
          <w:szCs w:val="24"/>
        </w:rPr>
        <w:t>Kraft et al., 2016).</w:t>
      </w:r>
    </w:p>
    <w:p w14:paraId="00322929" w14:textId="33F6AB24" w:rsidR="002B100D" w:rsidRDefault="002B100D" w:rsidP="002B100D">
      <w:pPr>
        <w:spacing w:line="360" w:lineRule="auto"/>
        <w:jc w:val="both"/>
        <w:rPr>
          <w:rFonts w:ascii="Times New Roman" w:hAnsi="Times New Roman" w:cs="Times New Roman"/>
          <w:sz w:val="24"/>
          <w:szCs w:val="24"/>
        </w:rPr>
      </w:pPr>
      <w:r w:rsidRPr="001F3DC2">
        <w:rPr>
          <w:rFonts w:ascii="Times New Roman" w:hAnsi="Times New Roman" w:cs="Times New Roman"/>
          <w:sz w:val="24"/>
          <w:szCs w:val="24"/>
        </w:rPr>
        <w:t>Of the other aspects of the working environment we consider, previous research has produced conflicting findings on the importance of disciplinary standards for retention (</w:t>
      </w:r>
      <w:r w:rsidRPr="001F3DC2">
        <w:rPr>
          <w:rFonts w:ascii="Times New Roman" w:hAnsi="Times New Roman" w:cs="Times New Roman"/>
          <w:color w:val="000000" w:themeColor="text1"/>
          <w:sz w:val="24"/>
          <w:szCs w:val="24"/>
        </w:rPr>
        <w:t>Boyd et al., 2011; Kraft et al., 2016)</w:t>
      </w:r>
      <w:r w:rsidRPr="001F3DC2">
        <w:rPr>
          <w:rFonts w:ascii="Times New Roman" w:hAnsi="Times New Roman" w:cs="Times New Roman"/>
          <w:sz w:val="24"/>
          <w:szCs w:val="24"/>
        </w:rPr>
        <w:t>. We provide the first evidence that discipline does predict retention in the profession overall and that this relationship is almost as strong as for supportive leadership. We also found that conflicting findings from the existing literature about the importance of workload for retention (</w:t>
      </w:r>
      <w:r w:rsidRPr="001F3DC2">
        <w:rPr>
          <w:rFonts w:ascii="Times New Roman" w:hAnsi="Times New Roman" w:cs="Times New Roman"/>
          <w:color w:val="000000" w:themeColor="text1"/>
          <w:sz w:val="24"/>
          <w:szCs w:val="24"/>
        </w:rPr>
        <w:t>Johnson et al., 20</w:t>
      </w:r>
      <w:r w:rsidR="00FC2FC0">
        <w:rPr>
          <w:rFonts w:ascii="Times New Roman" w:hAnsi="Times New Roman" w:cs="Times New Roman"/>
          <w:color w:val="000000" w:themeColor="text1"/>
          <w:sz w:val="24"/>
          <w:szCs w:val="24"/>
        </w:rPr>
        <w:t>05</w:t>
      </w:r>
      <w:r w:rsidRPr="001F3DC2">
        <w:rPr>
          <w:rFonts w:ascii="Times New Roman" w:hAnsi="Times New Roman" w:cs="Times New Roman"/>
          <w:color w:val="000000" w:themeColor="text1"/>
          <w:sz w:val="24"/>
          <w:szCs w:val="24"/>
        </w:rPr>
        <w:t>; Ladd, 2011</w:t>
      </w:r>
      <w:r w:rsidRPr="001F3DC2">
        <w:rPr>
          <w:rFonts w:ascii="Times New Roman" w:hAnsi="Times New Roman" w:cs="Times New Roman"/>
          <w:sz w:val="24"/>
          <w:szCs w:val="24"/>
        </w:rPr>
        <w:t xml:space="preserve">) can be reconciled based on distinguishing individuals who chose to enter the profession in part because it was consistent with personal commitments. On the other hand, preparation for teaching assignments were not found to be robustly associated with job satisfaction, workplace stress or retention. </w:t>
      </w:r>
    </w:p>
    <w:p w14:paraId="1F61B85A" w14:textId="77777777" w:rsidR="002B100D" w:rsidRPr="002221DC" w:rsidRDefault="002B100D" w:rsidP="002B100D">
      <w:pPr>
        <w:rPr>
          <w:rFonts w:ascii="Times New Roman" w:hAnsi="Times New Roman" w:cs="Times New Roman"/>
          <w:b/>
          <w:sz w:val="24"/>
          <w:szCs w:val="24"/>
        </w:rPr>
      </w:pPr>
      <w:r>
        <w:rPr>
          <w:rFonts w:ascii="Times New Roman" w:hAnsi="Times New Roman" w:cs="Times New Roman"/>
          <w:b/>
          <w:sz w:val="24"/>
          <w:szCs w:val="24"/>
        </w:rPr>
        <w:t>Limitations and future research</w:t>
      </w:r>
    </w:p>
    <w:p w14:paraId="02EA1FDB" w14:textId="77777777" w:rsidR="002B100D" w:rsidRDefault="002B100D" w:rsidP="002B100D">
      <w:pPr>
        <w:spacing w:line="360" w:lineRule="auto"/>
        <w:jc w:val="both"/>
        <w:rPr>
          <w:rFonts w:ascii="Times New Roman" w:hAnsi="Times New Roman" w:cs="Times New Roman"/>
          <w:sz w:val="24"/>
          <w:szCs w:val="24"/>
        </w:rPr>
      </w:pPr>
      <w:r w:rsidRPr="00B7366E">
        <w:rPr>
          <w:rFonts w:ascii="Times New Roman" w:hAnsi="Times New Roman" w:cs="Times New Roman"/>
          <w:sz w:val="24"/>
          <w:szCs w:val="24"/>
        </w:rPr>
        <w:t>Despite</w:t>
      </w:r>
      <w:r>
        <w:rPr>
          <w:rFonts w:ascii="Times New Roman" w:hAnsi="Times New Roman" w:cs="Times New Roman"/>
          <w:sz w:val="24"/>
          <w:szCs w:val="24"/>
        </w:rPr>
        <w:t xml:space="preserve"> the important findings highlighted above, the research we have conducted has limitations. This is at least partly due to the quality and quantity of data available on teachers in England. As we discuss in our policy recommendations below, this in itself needs to be addressed.</w:t>
      </w:r>
    </w:p>
    <w:p w14:paraId="6AD4B72C" w14:textId="345F58F5"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clearest limitation </w:t>
      </w:r>
      <w:r w:rsidRPr="00F63530">
        <w:rPr>
          <w:rFonts w:ascii="Times New Roman" w:hAnsi="Times New Roman" w:cs="Times New Roman"/>
          <w:sz w:val="24"/>
          <w:szCs w:val="24"/>
        </w:rPr>
        <w:t>of this work is that much of the data we have analysed has been (repeated) cross</w:t>
      </w:r>
      <w:r w:rsidR="00E502EF">
        <w:rPr>
          <w:rFonts w:ascii="Times New Roman" w:hAnsi="Times New Roman" w:cs="Times New Roman"/>
          <w:sz w:val="24"/>
          <w:szCs w:val="24"/>
        </w:rPr>
        <w:t xml:space="preserve"> </w:t>
      </w:r>
      <w:r w:rsidRPr="00F63530">
        <w:rPr>
          <w:rFonts w:ascii="Times New Roman" w:hAnsi="Times New Roman" w:cs="Times New Roman"/>
          <w:sz w:val="24"/>
          <w:szCs w:val="24"/>
        </w:rPr>
        <w:t>sections, with each teacher typically surveyed at only one time</w:t>
      </w:r>
      <w:r w:rsidR="001C518F">
        <w:rPr>
          <w:rFonts w:ascii="Times New Roman" w:hAnsi="Times New Roman" w:cs="Times New Roman"/>
          <w:sz w:val="24"/>
          <w:szCs w:val="24"/>
        </w:rPr>
        <w:t xml:space="preserve"> </w:t>
      </w:r>
      <w:r w:rsidRPr="00F63530">
        <w:rPr>
          <w:rFonts w:ascii="Times New Roman" w:hAnsi="Times New Roman" w:cs="Times New Roman"/>
          <w:sz w:val="24"/>
          <w:szCs w:val="24"/>
        </w:rPr>
        <w:t>point. Where longitudinal data has been used (e.g. Chapter 7 in our investigations of early</w:t>
      </w:r>
      <w:r w:rsidR="00D64552">
        <w:rPr>
          <w:rFonts w:ascii="Times New Roman" w:hAnsi="Times New Roman" w:cs="Times New Roman"/>
          <w:sz w:val="24"/>
          <w:szCs w:val="24"/>
        </w:rPr>
        <w:t xml:space="preserve"> </w:t>
      </w:r>
      <w:r w:rsidRPr="00F63530">
        <w:rPr>
          <w:rFonts w:ascii="Times New Roman" w:hAnsi="Times New Roman" w:cs="Times New Roman"/>
          <w:sz w:val="24"/>
          <w:szCs w:val="24"/>
        </w:rPr>
        <w:t>career teachers) sample sizes have been small. This means that, although</w:t>
      </w:r>
      <w:r>
        <w:rPr>
          <w:rFonts w:ascii="Times New Roman" w:hAnsi="Times New Roman" w:cs="Times New Roman"/>
          <w:sz w:val="24"/>
          <w:szCs w:val="24"/>
        </w:rPr>
        <w:t xml:space="preserve"> we can track at a population</w:t>
      </w:r>
      <w:r w:rsidR="001C518F">
        <w:rPr>
          <w:rFonts w:ascii="Times New Roman" w:hAnsi="Times New Roman" w:cs="Times New Roman"/>
          <w:sz w:val="24"/>
          <w:szCs w:val="24"/>
        </w:rPr>
        <w:t xml:space="preserve"> </w:t>
      </w:r>
      <w:r>
        <w:rPr>
          <w:rFonts w:ascii="Times New Roman" w:hAnsi="Times New Roman" w:cs="Times New Roman"/>
          <w:sz w:val="24"/>
          <w:szCs w:val="24"/>
        </w:rPr>
        <w:t xml:space="preserve">level general trends occurring within the teaching profession, it is not possible to tease out the drivers </w:t>
      </w:r>
      <w:r>
        <w:rPr>
          <w:rFonts w:ascii="Times New Roman" w:hAnsi="Times New Roman" w:cs="Times New Roman"/>
          <w:sz w:val="24"/>
          <w:szCs w:val="24"/>
        </w:rPr>
        <w:lastRenderedPageBreak/>
        <w:t>of improving o</w:t>
      </w:r>
      <w:r w:rsidR="001C518F">
        <w:rPr>
          <w:rFonts w:ascii="Times New Roman" w:hAnsi="Times New Roman" w:cs="Times New Roman"/>
          <w:sz w:val="24"/>
          <w:szCs w:val="24"/>
        </w:rPr>
        <w:t>r</w:t>
      </w:r>
      <w:r>
        <w:rPr>
          <w:rFonts w:ascii="Times New Roman" w:hAnsi="Times New Roman" w:cs="Times New Roman"/>
          <w:sz w:val="24"/>
          <w:szCs w:val="24"/>
        </w:rPr>
        <w:t xml:space="preserve"> declining mental health affecting individuals. As we discuss below, a large-scale longitudinal study of teachers is needed to generate the next step in the evidence base.</w:t>
      </w:r>
    </w:p>
    <w:p w14:paraId="7D84100A" w14:textId="48E47B95"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Second, throughout this report Standard Occupational Classification (SOC) and Standard Industrial Classification (SIC) codes have often been used to identify teachers within the datasets, as is standard within the literature. These classification systems do, however, have limitations when it comes to identifying teachers. Data is sometimes only made available at an aggregate level (e.g. in the Health Survey for England dataset used in Chapter 5) meaning it has occasionally been possible to only identify ‘educational professionals’, rather than teachers per se. Similarly, through both this issue and limited sample sizes, often different groups of teachers need to be analysed as a single group (e.g. primary and nursery staff). There will inevitably also be some classification error when using these classification systems to identify teachers, which is a particular challenge when attempting to understand entry and exit from the teaching profession. Ideally, in the future, links could be made between survey (e.g. the Labour Force Survey) and administrative data (e.g. the School Workforce Census), in order to identify teachers in such data as accurately and consistently as possible. </w:t>
      </w:r>
    </w:p>
    <w:p w14:paraId="4E68468B" w14:textId="6FD133EE"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Third, despite our best efforts, there continue to be limitations with measurement of mental health outcomes. We believe our use of objective data (e.g. prescription of antidepressant medications) represents an important innovation in this area. Yet more could still be done. Ideally, one would be able to gather such information from primary care records linked to the School Workforce Census. This would enable researchers to better measure objectively mental health treatment amongst different subgroups of teachers, and how this changes during their career. Similarly, as noted above, further work is needed as to how the specific survey instrument used influences subjective responses to questionnaire items. </w:t>
      </w:r>
    </w:p>
    <w:p w14:paraId="11672687" w14:textId="5D2314E6"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Fourth, Chapter 6 presented – to our knowledge – the first evidence on how the work-related anxiety of teachers changes over the course of an academic year. This analysis has, however, been limited by sample size. An intended aim of this project was to probe this issue in much more detail, using large-scale survey data from Teacher</w:t>
      </w:r>
      <w:r w:rsidR="00257815">
        <w:rPr>
          <w:rFonts w:ascii="Times New Roman" w:hAnsi="Times New Roman" w:cs="Times New Roman"/>
          <w:sz w:val="24"/>
          <w:szCs w:val="24"/>
        </w:rPr>
        <w:t xml:space="preserve"> </w:t>
      </w:r>
      <w:proofErr w:type="spellStart"/>
      <w:r>
        <w:rPr>
          <w:rFonts w:ascii="Times New Roman" w:hAnsi="Times New Roman" w:cs="Times New Roman"/>
          <w:sz w:val="24"/>
          <w:szCs w:val="24"/>
        </w:rPr>
        <w:t>Tapp</w:t>
      </w:r>
      <w:proofErr w:type="spellEnd"/>
      <w:r>
        <w:rPr>
          <w:rFonts w:ascii="Times New Roman" w:hAnsi="Times New Roman" w:cs="Times New Roman"/>
          <w:sz w:val="24"/>
          <w:szCs w:val="24"/>
        </w:rPr>
        <w:t xml:space="preserve">. Unfortunately, this was ultimately not possible due to the impact of the </w:t>
      </w:r>
      <w:r w:rsidR="00817BCE">
        <w:rPr>
          <w:rFonts w:ascii="Times New Roman" w:hAnsi="Times New Roman" w:cs="Times New Roman"/>
          <w:sz w:val="24"/>
          <w:szCs w:val="24"/>
        </w:rPr>
        <w:t>Covid</w:t>
      </w:r>
      <w:r>
        <w:rPr>
          <w:rFonts w:ascii="Times New Roman" w:hAnsi="Times New Roman" w:cs="Times New Roman"/>
          <w:sz w:val="24"/>
          <w:szCs w:val="24"/>
        </w:rPr>
        <w:t xml:space="preserve">-19 pandemic. We nevertheless believe that this is an important area ripe for further research, particularly with respect to how the mental health and wellbeing of teachers is impacted by the approach of high-stakes exams. </w:t>
      </w:r>
    </w:p>
    <w:p w14:paraId="07478B88" w14:textId="47C2151E" w:rsidR="002B100D" w:rsidRPr="00B7366E"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Finally, most of the data presented in this report (with the exception of Chapter 13) refers to a pre-</w:t>
      </w:r>
      <w:r w:rsidR="00817BCE">
        <w:rPr>
          <w:rFonts w:ascii="Times New Roman" w:hAnsi="Times New Roman" w:cs="Times New Roman"/>
          <w:sz w:val="24"/>
          <w:szCs w:val="24"/>
        </w:rPr>
        <w:t>Covid</w:t>
      </w:r>
      <w:r w:rsidR="00E46BDA">
        <w:rPr>
          <w:rFonts w:ascii="Times New Roman" w:hAnsi="Times New Roman" w:cs="Times New Roman"/>
          <w:sz w:val="24"/>
          <w:szCs w:val="24"/>
        </w:rPr>
        <w:t>-</w:t>
      </w:r>
      <w:r>
        <w:rPr>
          <w:rFonts w:ascii="Times New Roman" w:hAnsi="Times New Roman" w:cs="Times New Roman"/>
          <w:sz w:val="24"/>
          <w:szCs w:val="24"/>
        </w:rPr>
        <w:t xml:space="preserve">19 era. Teachers are currently facing particular challenges, having a public-facing </w:t>
      </w:r>
      <w:r>
        <w:rPr>
          <w:rFonts w:ascii="Times New Roman" w:hAnsi="Times New Roman" w:cs="Times New Roman"/>
          <w:sz w:val="24"/>
          <w:szCs w:val="24"/>
        </w:rPr>
        <w:lastRenderedPageBreak/>
        <w:t>job and working in increasingly difficult circumstances. In Chapter 13, we have investigated how teachers’ work-related anxiety was impacted during</w:t>
      </w:r>
      <w:r w:rsidR="00AC4CBD">
        <w:rPr>
          <w:rFonts w:ascii="Times New Roman" w:hAnsi="Times New Roman" w:cs="Times New Roman"/>
          <w:sz w:val="24"/>
          <w:szCs w:val="24"/>
        </w:rPr>
        <w:t xml:space="preserve"> the first national</w:t>
      </w:r>
      <w:r>
        <w:rPr>
          <w:rFonts w:ascii="Times New Roman" w:hAnsi="Times New Roman" w:cs="Times New Roman"/>
          <w:sz w:val="24"/>
          <w:szCs w:val="24"/>
        </w:rPr>
        <w:t xml:space="preserve"> lockdown and the early stages of the pandemic. However, in this ever-evolving environment, there is clearly much more to be learned. </w:t>
      </w:r>
    </w:p>
    <w:p w14:paraId="5EC094DB" w14:textId="77777777" w:rsidR="002B100D" w:rsidRPr="002221DC" w:rsidRDefault="002B100D" w:rsidP="002B100D">
      <w:pPr>
        <w:rPr>
          <w:rFonts w:ascii="Times New Roman" w:hAnsi="Times New Roman" w:cs="Times New Roman"/>
          <w:b/>
          <w:sz w:val="24"/>
          <w:szCs w:val="24"/>
        </w:rPr>
      </w:pPr>
      <w:r>
        <w:rPr>
          <w:rFonts w:ascii="Times New Roman" w:hAnsi="Times New Roman" w:cs="Times New Roman"/>
          <w:b/>
          <w:sz w:val="24"/>
          <w:szCs w:val="24"/>
        </w:rPr>
        <w:t>Recommendations</w:t>
      </w:r>
    </w:p>
    <w:p w14:paraId="1D1B7518" w14:textId="7BB0E9D9" w:rsidR="002B100D" w:rsidRDefault="002B100D" w:rsidP="002B100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Despite these limitations, we believe the findings in this report have important implications for policy, public debate and </w:t>
      </w:r>
      <w:r w:rsidR="00DF33D5">
        <w:rPr>
          <w:rFonts w:ascii="Times New Roman" w:hAnsi="Times New Roman" w:cs="Times New Roman"/>
          <w:sz w:val="24"/>
          <w:szCs w:val="24"/>
        </w:rPr>
        <w:t xml:space="preserve">practice </w:t>
      </w:r>
      <w:r>
        <w:rPr>
          <w:rFonts w:ascii="Times New Roman" w:hAnsi="Times New Roman" w:cs="Times New Roman"/>
          <w:sz w:val="24"/>
          <w:szCs w:val="24"/>
        </w:rPr>
        <w:t>surrounding teacher mental health. We thus offer the following set of recommendations:</w:t>
      </w:r>
    </w:p>
    <w:p w14:paraId="4167E3E6" w14:textId="77777777" w:rsidR="002B100D" w:rsidRPr="00C623A4" w:rsidRDefault="002B100D" w:rsidP="002B100D">
      <w:pPr>
        <w:pStyle w:val="ListParagraph"/>
        <w:numPr>
          <w:ilvl w:val="0"/>
          <w:numId w:val="1"/>
        </w:numPr>
        <w:spacing w:after="0" w:line="360" w:lineRule="auto"/>
        <w:jc w:val="both"/>
        <w:rPr>
          <w:rFonts w:ascii="Times New Roman" w:hAnsi="Times New Roman" w:cs="Times New Roman"/>
          <w:b/>
          <w:sz w:val="24"/>
          <w:szCs w:val="24"/>
        </w:rPr>
      </w:pPr>
      <w:r>
        <w:rPr>
          <w:rFonts w:ascii="Times New Roman" w:hAnsi="Times New Roman" w:cs="Times New Roman"/>
          <w:bCs/>
          <w:sz w:val="24"/>
          <w:szCs w:val="24"/>
        </w:rPr>
        <w:t>Policymakers, school leaders, teachers and their unions should challenge the received wisdom that teaching is more stressful than other occupations. This is important so as not to dissuade people from entering the teaching profession.</w:t>
      </w:r>
    </w:p>
    <w:p w14:paraId="499EC1A6" w14:textId="77777777" w:rsidR="002B100D" w:rsidRPr="000D1258" w:rsidRDefault="002B100D" w:rsidP="002B100D">
      <w:pPr>
        <w:pStyle w:val="ListParagraph"/>
        <w:numPr>
          <w:ilvl w:val="0"/>
          <w:numId w:val="1"/>
        </w:numPr>
        <w:spacing w:after="0" w:line="360" w:lineRule="auto"/>
        <w:jc w:val="both"/>
        <w:rPr>
          <w:rFonts w:ascii="Times New Roman" w:hAnsi="Times New Roman" w:cs="Times New Roman"/>
          <w:b/>
          <w:sz w:val="24"/>
          <w:szCs w:val="24"/>
        </w:rPr>
      </w:pPr>
      <w:r w:rsidRPr="000D1258">
        <w:rPr>
          <w:rFonts w:ascii="Times New Roman" w:hAnsi="Times New Roman" w:cs="Times New Roman"/>
          <w:sz w:val="24"/>
          <w:szCs w:val="24"/>
        </w:rPr>
        <w:t xml:space="preserve">There are two clear areas where reducing teachers’ workloads would </w:t>
      </w:r>
      <w:r>
        <w:rPr>
          <w:rFonts w:ascii="Times New Roman" w:hAnsi="Times New Roman" w:cs="Times New Roman"/>
          <w:sz w:val="24"/>
          <w:szCs w:val="24"/>
        </w:rPr>
        <w:t>likely</w:t>
      </w:r>
      <w:r w:rsidRPr="000D1258">
        <w:rPr>
          <w:rFonts w:ascii="Times New Roman" w:hAnsi="Times New Roman" w:cs="Times New Roman"/>
          <w:sz w:val="24"/>
          <w:szCs w:val="24"/>
        </w:rPr>
        <w:t xml:space="preserve"> reduce stress: lesson preparation and marking. With respect to the </w:t>
      </w:r>
      <w:r>
        <w:rPr>
          <w:rFonts w:ascii="Times New Roman" w:hAnsi="Times New Roman" w:cs="Times New Roman"/>
          <w:sz w:val="24"/>
          <w:szCs w:val="24"/>
        </w:rPr>
        <w:t>lesson preparation</w:t>
      </w:r>
      <w:r w:rsidRPr="000D1258">
        <w:rPr>
          <w:rFonts w:ascii="Times New Roman" w:hAnsi="Times New Roman" w:cs="Times New Roman"/>
          <w:sz w:val="24"/>
          <w:szCs w:val="24"/>
        </w:rPr>
        <w:t>, perhaps the easiest thing that policymakers can do is reduce examination, curriculum and inspection reforms.</w:t>
      </w:r>
      <w:r>
        <w:rPr>
          <w:rFonts w:ascii="Times New Roman" w:hAnsi="Times New Roman" w:cs="Times New Roman"/>
          <w:sz w:val="24"/>
          <w:szCs w:val="24"/>
        </w:rPr>
        <w:t xml:space="preserve"> On marking, there is a strong case to be made for teachers to spend less time on this activity, either by focusing upon a smaller subset of pupils’ work or by using whole-class oral feedback rather than individualised written marking. </w:t>
      </w:r>
    </w:p>
    <w:p w14:paraId="6A77E800" w14:textId="4D0834C0" w:rsidR="002B100D" w:rsidRPr="003431FB" w:rsidRDefault="002B100D" w:rsidP="002B100D">
      <w:pPr>
        <w:pStyle w:val="ListParagraph"/>
        <w:numPr>
          <w:ilvl w:val="0"/>
          <w:numId w:val="1"/>
        </w:numPr>
        <w:spacing w:after="0" w:line="360" w:lineRule="auto"/>
        <w:jc w:val="both"/>
        <w:rPr>
          <w:rFonts w:ascii="Times New Roman" w:hAnsi="Times New Roman"/>
          <w:color w:val="000000"/>
          <w:sz w:val="24"/>
          <w:szCs w:val="24"/>
        </w:rPr>
      </w:pPr>
      <w:r w:rsidRPr="003431FB">
        <w:rPr>
          <w:rFonts w:ascii="Times New Roman" w:hAnsi="Times New Roman" w:cs="Times New Roman"/>
          <w:sz w:val="24"/>
          <w:szCs w:val="24"/>
        </w:rPr>
        <w:t>School leaders can reduce stress and improve retention by consulting and involving teachers in decision</w:t>
      </w:r>
      <w:r w:rsidR="00542206">
        <w:rPr>
          <w:rFonts w:ascii="Times New Roman" w:hAnsi="Times New Roman" w:cs="Times New Roman"/>
          <w:sz w:val="24"/>
          <w:szCs w:val="24"/>
        </w:rPr>
        <w:t>-</w:t>
      </w:r>
      <w:r w:rsidRPr="003431FB">
        <w:rPr>
          <w:rFonts w:ascii="Times New Roman" w:hAnsi="Times New Roman" w:cs="Times New Roman"/>
          <w:sz w:val="24"/>
          <w:szCs w:val="24"/>
        </w:rPr>
        <w:t xml:space="preserve">making processes, supporting their professional development and explicitly recognising staff for their work. In addition, school leaders looking to improve job satisfaction and retention are advised to prioritise improving disciplinary standards in the school. This can be achieved by ensuring that all staff are aware of whole-school standards for behaviour and are supported in consistently enforcing them. </w:t>
      </w:r>
    </w:p>
    <w:p w14:paraId="150C3B05" w14:textId="7B92398C" w:rsidR="002B100D" w:rsidRPr="00B74953" w:rsidRDefault="002B100D" w:rsidP="002B100D">
      <w:pPr>
        <w:pStyle w:val="ListParagraph"/>
        <w:numPr>
          <w:ilvl w:val="0"/>
          <w:numId w:val="1"/>
        </w:numPr>
        <w:spacing w:line="360" w:lineRule="auto"/>
        <w:jc w:val="both"/>
        <w:rPr>
          <w:rFonts w:ascii="Times New Roman" w:hAnsi="Times New Roman" w:cs="Times New Roman"/>
          <w:sz w:val="24"/>
          <w:szCs w:val="24"/>
        </w:rPr>
      </w:pPr>
      <w:r w:rsidRPr="00B74953">
        <w:rPr>
          <w:rFonts w:ascii="Times New Roman" w:hAnsi="Times New Roman" w:cs="Times New Roman"/>
          <w:sz w:val="24"/>
          <w:szCs w:val="24"/>
        </w:rPr>
        <w:t>The Department for Education have committed to producing robust evidence on teacher workload bi-annually. We support this, but believe that the government’s workload survey should be reformed. The response rates are low and the absence of diary method data collection means it adds little value over other routinely collected data sources (e.g. TALIS and the LFS). Our suggestion is therefore that the Department for Education’s workload survey be revised so that a truly representative sample of teachers</w:t>
      </w:r>
      <w:r w:rsidR="008A5FAD">
        <w:rPr>
          <w:rFonts w:ascii="Times New Roman" w:hAnsi="Times New Roman" w:cs="Times New Roman"/>
          <w:sz w:val="24"/>
          <w:szCs w:val="24"/>
        </w:rPr>
        <w:t>’</w:t>
      </w:r>
      <w:r w:rsidRPr="00B74953">
        <w:rPr>
          <w:rFonts w:ascii="Times New Roman" w:hAnsi="Times New Roman" w:cs="Times New Roman"/>
          <w:sz w:val="24"/>
          <w:szCs w:val="24"/>
        </w:rPr>
        <w:t xml:space="preserve"> complete </w:t>
      </w:r>
      <w:r w:rsidR="00FD31BB">
        <w:rPr>
          <w:rFonts w:ascii="Times New Roman" w:hAnsi="Times New Roman" w:cs="Times New Roman"/>
          <w:sz w:val="24"/>
          <w:szCs w:val="24"/>
        </w:rPr>
        <w:t>T</w:t>
      </w:r>
      <w:r w:rsidRPr="00B74953">
        <w:rPr>
          <w:rFonts w:ascii="Times New Roman" w:hAnsi="Times New Roman" w:cs="Times New Roman"/>
          <w:sz w:val="24"/>
          <w:szCs w:val="24"/>
        </w:rPr>
        <w:t>ime</w:t>
      </w:r>
      <w:r w:rsidR="00FD31BB">
        <w:rPr>
          <w:rFonts w:ascii="Times New Roman" w:hAnsi="Times New Roman" w:cs="Times New Roman"/>
          <w:sz w:val="24"/>
          <w:szCs w:val="24"/>
        </w:rPr>
        <w:t xml:space="preserve"> U</w:t>
      </w:r>
      <w:r w:rsidRPr="00B74953">
        <w:rPr>
          <w:rFonts w:ascii="Times New Roman" w:hAnsi="Times New Roman" w:cs="Times New Roman"/>
          <w:sz w:val="24"/>
          <w:szCs w:val="24"/>
        </w:rPr>
        <w:t xml:space="preserve">se diaries. This will, no doubt, be relatively costly and require close co-operation and buy-in from across the sector (particularly teacher unions). Yet the experience of other countries has shown that this is possible (e.g. a large, representative sample of teachers </w:t>
      </w:r>
      <w:r w:rsidR="00FD31BB" w:rsidRPr="00B74953">
        <w:rPr>
          <w:rFonts w:ascii="Times New Roman" w:hAnsi="Times New Roman" w:cs="Times New Roman"/>
          <w:sz w:val="24"/>
          <w:szCs w:val="24"/>
        </w:rPr>
        <w:t>ha</w:t>
      </w:r>
      <w:r w:rsidR="00FD31BB">
        <w:rPr>
          <w:rFonts w:ascii="Times New Roman" w:hAnsi="Times New Roman" w:cs="Times New Roman"/>
          <w:sz w:val="24"/>
          <w:szCs w:val="24"/>
        </w:rPr>
        <w:t>s</w:t>
      </w:r>
      <w:r w:rsidR="00FD31BB" w:rsidRPr="00B74953">
        <w:rPr>
          <w:rFonts w:ascii="Times New Roman" w:hAnsi="Times New Roman" w:cs="Times New Roman"/>
          <w:sz w:val="24"/>
          <w:szCs w:val="24"/>
        </w:rPr>
        <w:t xml:space="preserve"> </w:t>
      </w:r>
      <w:r w:rsidRPr="00B74953">
        <w:rPr>
          <w:rFonts w:ascii="Times New Roman" w:hAnsi="Times New Roman" w:cs="Times New Roman"/>
          <w:sz w:val="24"/>
          <w:szCs w:val="24"/>
        </w:rPr>
        <w:t xml:space="preserve">recently completed </w:t>
      </w:r>
      <w:r w:rsidR="00FD31BB">
        <w:rPr>
          <w:rFonts w:ascii="Times New Roman" w:hAnsi="Times New Roman" w:cs="Times New Roman"/>
          <w:sz w:val="24"/>
          <w:szCs w:val="24"/>
        </w:rPr>
        <w:t>Time U</w:t>
      </w:r>
      <w:r w:rsidR="00694CD1">
        <w:rPr>
          <w:rFonts w:ascii="Times New Roman" w:hAnsi="Times New Roman" w:cs="Times New Roman"/>
          <w:sz w:val="24"/>
          <w:szCs w:val="24"/>
        </w:rPr>
        <w:t>se diaries</w:t>
      </w:r>
      <w:r w:rsidRPr="00B74953">
        <w:rPr>
          <w:rFonts w:ascii="Times New Roman" w:hAnsi="Times New Roman" w:cs="Times New Roman"/>
          <w:sz w:val="24"/>
          <w:szCs w:val="24"/>
        </w:rPr>
        <w:t xml:space="preserve"> as part of a recent study in </w:t>
      </w:r>
      <w:r w:rsidRPr="00B74953">
        <w:rPr>
          <w:rFonts w:ascii="Times New Roman" w:hAnsi="Times New Roman" w:cs="Times New Roman"/>
          <w:sz w:val="24"/>
          <w:szCs w:val="24"/>
        </w:rPr>
        <w:lastRenderedPageBreak/>
        <w:t xml:space="preserve">Belgium) and our empirical analysis of a small sample of </w:t>
      </w:r>
      <w:r w:rsidR="00FD31BB">
        <w:rPr>
          <w:rFonts w:ascii="Times New Roman" w:hAnsi="Times New Roman" w:cs="Times New Roman"/>
          <w:sz w:val="24"/>
          <w:szCs w:val="24"/>
        </w:rPr>
        <w:t>T</w:t>
      </w:r>
      <w:r w:rsidR="00694CD1">
        <w:rPr>
          <w:rFonts w:ascii="Times New Roman" w:hAnsi="Times New Roman" w:cs="Times New Roman"/>
          <w:sz w:val="24"/>
          <w:szCs w:val="24"/>
        </w:rPr>
        <w:t>ime</w:t>
      </w:r>
      <w:r w:rsidR="00FD31BB">
        <w:rPr>
          <w:rFonts w:ascii="Times New Roman" w:hAnsi="Times New Roman" w:cs="Times New Roman"/>
          <w:sz w:val="24"/>
          <w:szCs w:val="24"/>
        </w:rPr>
        <w:t xml:space="preserve"> U</w:t>
      </w:r>
      <w:r w:rsidR="00694CD1">
        <w:rPr>
          <w:rFonts w:ascii="Times New Roman" w:hAnsi="Times New Roman" w:cs="Times New Roman"/>
          <w:sz w:val="24"/>
          <w:szCs w:val="24"/>
        </w:rPr>
        <w:t>se diaries</w:t>
      </w:r>
      <w:r w:rsidRPr="00B74953">
        <w:rPr>
          <w:rFonts w:ascii="Times New Roman" w:hAnsi="Times New Roman" w:cs="Times New Roman"/>
          <w:sz w:val="24"/>
          <w:szCs w:val="24"/>
        </w:rPr>
        <w:t xml:space="preserve"> completed by teachers in the UK illustrate</w:t>
      </w:r>
      <w:r w:rsidR="00FD31BB">
        <w:rPr>
          <w:rFonts w:ascii="Times New Roman" w:hAnsi="Times New Roman" w:cs="Times New Roman"/>
          <w:sz w:val="24"/>
          <w:szCs w:val="24"/>
        </w:rPr>
        <w:t>s</w:t>
      </w:r>
      <w:r w:rsidRPr="00B74953">
        <w:rPr>
          <w:rFonts w:ascii="Times New Roman" w:hAnsi="Times New Roman" w:cs="Times New Roman"/>
          <w:sz w:val="24"/>
          <w:szCs w:val="24"/>
        </w:rPr>
        <w:t xml:space="preserve"> the interesting insights that such data can provide. Collection of such diaries would likely lead to an appreciable increase in data quality, while also greatly enhancing our understanding of the broader lives (and commitments) of teachers.</w:t>
      </w:r>
    </w:p>
    <w:p w14:paraId="002AD4F3" w14:textId="33B6AA98" w:rsidR="002B100D" w:rsidRPr="00CC5B04" w:rsidRDefault="002B100D" w:rsidP="00694CD1">
      <w:pPr>
        <w:pStyle w:val="ListParagraph"/>
        <w:numPr>
          <w:ilvl w:val="0"/>
          <w:numId w:val="1"/>
        </w:numPr>
        <w:spacing w:after="0" w:line="360" w:lineRule="auto"/>
        <w:jc w:val="both"/>
        <w:rPr>
          <w:rFonts w:ascii="Times New Roman" w:hAnsi="Times New Roman"/>
          <w:color w:val="000000"/>
          <w:sz w:val="24"/>
          <w:szCs w:val="24"/>
        </w:rPr>
      </w:pPr>
      <w:r>
        <w:rPr>
          <w:rFonts w:ascii="Times New Roman" w:hAnsi="Times New Roman" w:cs="Times New Roman"/>
          <w:sz w:val="24"/>
          <w:szCs w:val="24"/>
        </w:rPr>
        <w:t>T</w:t>
      </w:r>
      <w:r w:rsidRPr="00D967FC">
        <w:rPr>
          <w:rFonts w:ascii="Times New Roman" w:hAnsi="Times New Roman" w:cs="Times New Roman"/>
          <w:sz w:val="24"/>
          <w:szCs w:val="24"/>
        </w:rPr>
        <w:t>he Department for Education</w:t>
      </w:r>
      <w:r>
        <w:rPr>
          <w:rFonts w:ascii="Times New Roman" w:hAnsi="Times New Roman" w:cs="Times New Roman"/>
          <w:sz w:val="24"/>
          <w:szCs w:val="24"/>
        </w:rPr>
        <w:t xml:space="preserve"> could monitor the mental health of teachers in the future </w:t>
      </w:r>
      <w:r w:rsidRPr="00CC5B04">
        <w:rPr>
          <w:rFonts w:ascii="Times New Roman" w:hAnsi="Times New Roman" w:cs="Times New Roman"/>
          <w:sz w:val="24"/>
          <w:szCs w:val="24"/>
        </w:rPr>
        <w:t>via planned data collections</w:t>
      </w:r>
      <w:r>
        <w:rPr>
          <w:rFonts w:ascii="Times New Roman" w:hAnsi="Times New Roman" w:cs="Times New Roman"/>
          <w:sz w:val="24"/>
          <w:szCs w:val="24"/>
        </w:rPr>
        <w:t>. For instance,</w:t>
      </w:r>
      <w:r w:rsidRPr="00CC5B04">
        <w:rPr>
          <w:rFonts w:ascii="Times New Roman" w:hAnsi="Times New Roman" w:cs="Times New Roman"/>
          <w:sz w:val="24"/>
          <w:szCs w:val="24"/>
        </w:rPr>
        <w:t xml:space="preserve"> </w:t>
      </w:r>
      <w:r w:rsidRPr="00CC5B04">
        <w:rPr>
          <w:rFonts w:ascii="Times New Roman" w:hAnsi="Times New Roman"/>
          <w:color w:val="000000"/>
          <w:sz w:val="24"/>
          <w:szCs w:val="24"/>
        </w:rPr>
        <w:t>the Department for Education has recently announced they are commissioning a longitudinal study of teachers in England</w:t>
      </w:r>
      <w:r w:rsidR="00694CD1">
        <w:rPr>
          <w:rFonts w:ascii="Times New Roman" w:hAnsi="Times New Roman"/>
          <w:color w:val="000000"/>
          <w:sz w:val="24"/>
          <w:szCs w:val="24"/>
        </w:rPr>
        <w:t xml:space="preserve"> (</w:t>
      </w:r>
      <w:hyperlink r:id="rId69" w:history="1">
        <w:r w:rsidR="00694CD1" w:rsidRPr="00232CAE">
          <w:rPr>
            <w:rStyle w:val="Hyperlink"/>
            <w:rFonts w:ascii="Times New Roman" w:hAnsi="Times New Roman"/>
            <w:sz w:val="24"/>
            <w:szCs w:val="24"/>
          </w:rPr>
          <w:t>https://schoolsweek.co.uk/new-flagship-study-to-solve-why-teachers-leave/</w:t>
        </w:r>
      </w:hyperlink>
      <w:r w:rsidR="00694CD1">
        <w:rPr>
          <w:rFonts w:ascii="Times New Roman" w:hAnsi="Times New Roman"/>
          <w:color w:val="000000"/>
          <w:sz w:val="24"/>
          <w:szCs w:val="24"/>
        </w:rPr>
        <w:t>)</w:t>
      </w:r>
      <w:r w:rsidRPr="00CC5B04">
        <w:rPr>
          <w:rFonts w:ascii="Times New Roman" w:hAnsi="Times New Roman"/>
          <w:color w:val="000000"/>
          <w:sz w:val="24"/>
          <w:szCs w:val="24"/>
        </w:rPr>
        <w:t xml:space="preserve">. This welcome innovation in the landscape on data about teachers in England should include a focused battery of questions about mental health. </w:t>
      </w:r>
      <w:r w:rsidRPr="00CC5B04">
        <w:rPr>
          <w:rFonts w:ascii="Times New Roman" w:hAnsi="Times New Roman" w:cs="Times New Roman"/>
          <w:sz w:val="24"/>
          <w:szCs w:val="24"/>
        </w:rPr>
        <w:t>The measures analysed in this paper (e.g. the GHQ or the ONS personal wellbeing questions) would be obvious candidates, with it then possible to also triangulate the evidence against other routinely collected secondary data sources (e.g. data gathered within the Annual Population Survey).</w:t>
      </w:r>
      <w:r>
        <w:rPr>
          <w:rFonts w:ascii="Times New Roman" w:hAnsi="Times New Roman" w:cs="Times New Roman"/>
          <w:sz w:val="24"/>
          <w:szCs w:val="24"/>
        </w:rPr>
        <w:t xml:space="preserve"> </w:t>
      </w:r>
      <w:r>
        <w:rPr>
          <w:rFonts w:ascii="Times New Roman" w:hAnsi="Times New Roman"/>
          <w:color w:val="000000"/>
          <w:sz w:val="24"/>
          <w:szCs w:val="24"/>
        </w:rPr>
        <w:t>T</w:t>
      </w:r>
      <w:r w:rsidRPr="00CC5B04">
        <w:rPr>
          <w:rFonts w:ascii="Times New Roman" w:hAnsi="Times New Roman"/>
          <w:color w:val="000000"/>
          <w:sz w:val="24"/>
          <w:szCs w:val="24"/>
        </w:rPr>
        <w:t>his lo</w:t>
      </w:r>
      <w:r>
        <w:rPr>
          <w:rFonts w:ascii="Times New Roman" w:hAnsi="Times New Roman"/>
          <w:color w:val="000000"/>
          <w:sz w:val="24"/>
          <w:szCs w:val="24"/>
        </w:rPr>
        <w:t>ngitudinal study could then</w:t>
      </w:r>
      <w:r w:rsidRPr="00CC5B04">
        <w:rPr>
          <w:rFonts w:ascii="Times New Roman" w:hAnsi="Times New Roman"/>
          <w:color w:val="000000"/>
          <w:sz w:val="24"/>
          <w:szCs w:val="24"/>
        </w:rPr>
        <w:t xml:space="preserve"> be used to track teacher wellbeing over time, how it changes throughout their career and how this affects their movements into and out of the teaching profession. </w:t>
      </w:r>
    </w:p>
    <w:p w14:paraId="063820EF" w14:textId="203FF7F8" w:rsidR="002B100D" w:rsidRPr="00CC5B04" w:rsidRDefault="002B100D" w:rsidP="002B100D">
      <w:pPr>
        <w:pStyle w:val="ListParagraph"/>
        <w:numPr>
          <w:ilvl w:val="0"/>
          <w:numId w:val="1"/>
        </w:numPr>
        <w:spacing w:after="0" w:line="360" w:lineRule="auto"/>
        <w:jc w:val="both"/>
        <w:rPr>
          <w:rFonts w:ascii="Times New Roman" w:hAnsi="Times New Roman"/>
          <w:color w:val="000000"/>
          <w:sz w:val="24"/>
          <w:szCs w:val="24"/>
        </w:rPr>
      </w:pPr>
      <w:r>
        <w:rPr>
          <w:rFonts w:ascii="Times New Roman" w:hAnsi="Times New Roman" w:cs="Times New Roman"/>
          <w:sz w:val="24"/>
          <w:szCs w:val="24"/>
        </w:rPr>
        <w:t>An additional way the Department for Education could keep track of teachers’ mental health is via administrative data. For instance,</w:t>
      </w:r>
      <w:r w:rsidRPr="00CC5B04">
        <w:rPr>
          <w:rFonts w:ascii="Times New Roman" w:hAnsi="Times New Roman" w:cs="Times New Roman"/>
          <w:sz w:val="24"/>
          <w:szCs w:val="24"/>
        </w:rPr>
        <w:t xml:space="preserve"> data from England’s Teacher Workforce Census could be linked to Hospital Episode Statistics and/or primary care records, both of which contain information about medical treatments received for mental ill</w:t>
      </w:r>
      <w:r w:rsidR="00943470">
        <w:rPr>
          <w:rFonts w:ascii="Times New Roman" w:hAnsi="Times New Roman" w:cs="Times New Roman"/>
          <w:sz w:val="24"/>
          <w:szCs w:val="24"/>
        </w:rPr>
        <w:t xml:space="preserve"> </w:t>
      </w:r>
      <w:r w:rsidRPr="00CC5B04">
        <w:rPr>
          <w:rFonts w:ascii="Times New Roman" w:hAnsi="Times New Roman" w:cs="Times New Roman"/>
          <w:sz w:val="24"/>
          <w:szCs w:val="24"/>
        </w:rPr>
        <w:t xml:space="preserve">health. </w:t>
      </w:r>
      <w:r>
        <w:rPr>
          <w:rFonts w:ascii="Times New Roman" w:hAnsi="Times New Roman" w:cs="Times New Roman"/>
          <w:sz w:val="24"/>
          <w:szCs w:val="24"/>
        </w:rPr>
        <w:t xml:space="preserve"> </w:t>
      </w:r>
      <w:r w:rsidRPr="00D967FC">
        <w:rPr>
          <w:rFonts w:ascii="Times New Roman" w:hAnsi="Times New Roman" w:cs="Times New Roman"/>
          <w:sz w:val="24"/>
          <w:szCs w:val="24"/>
        </w:rPr>
        <w:t>Such a resource would provide a step</w:t>
      </w:r>
      <w:r>
        <w:rPr>
          <w:rFonts w:ascii="Times New Roman" w:hAnsi="Times New Roman" w:cs="Times New Roman"/>
          <w:sz w:val="24"/>
          <w:szCs w:val="24"/>
        </w:rPr>
        <w:t xml:space="preserve"> </w:t>
      </w:r>
      <w:r w:rsidRPr="00D967FC">
        <w:rPr>
          <w:rFonts w:ascii="Times New Roman" w:hAnsi="Times New Roman" w:cs="Times New Roman"/>
          <w:sz w:val="24"/>
          <w:szCs w:val="24"/>
        </w:rPr>
        <w:t xml:space="preserve">change in our understanding of the epidemiology of the mental and physical health of teachers in England, and provide a cost-effective way to track changes in the health of teachers over time. </w:t>
      </w:r>
      <w:r w:rsidRPr="00CC5B04">
        <w:rPr>
          <w:rFonts w:ascii="Times New Roman" w:hAnsi="Times New Roman" w:cs="Times New Roman"/>
          <w:sz w:val="24"/>
          <w:szCs w:val="24"/>
        </w:rPr>
        <w:t xml:space="preserve">This would facilitate a more robust picture of the proportion of teachers who suffer from serious mental health issues and potentially enabling more efficient targeting of resources to support those at greatest risk of suffering problems. Together, this would represent a step-change in the evidence available, providing </w:t>
      </w:r>
      <w:r w:rsidR="00FC2FC0">
        <w:rPr>
          <w:rFonts w:ascii="Times New Roman" w:hAnsi="Times New Roman" w:cs="Times New Roman"/>
          <w:sz w:val="24"/>
          <w:szCs w:val="24"/>
        </w:rPr>
        <w:t>vital</w:t>
      </w:r>
      <w:r w:rsidRPr="00CC5B04">
        <w:rPr>
          <w:rFonts w:ascii="Times New Roman" w:hAnsi="Times New Roman" w:cs="Times New Roman"/>
          <w:sz w:val="24"/>
          <w:szCs w:val="24"/>
        </w:rPr>
        <w:t xml:space="preserve"> new insights that this important area of research desperately needs.</w:t>
      </w:r>
    </w:p>
    <w:p w14:paraId="32541C36" w14:textId="09B7CB0E" w:rsidR="002B100D" w:rsidRPr="00B74953" w:rsidRDefault="002B100D" w:rsidP="002B100D">
      <w:pPr>
        <w:pStyle w:val="ListParagraph"/>
        <w:numPr>
          <w:ilvl w:val="0"/>
          <w:numId w:val="1"/>
        </w:numPr>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We don’t yet know a lot about the impact of the </w:t>
      </w:r>
      <w:r w:rsidR="00817BCE">
        <w:rPr>
          <w:rFonts w:ascii="Times New Roman" w:hAnsi="Times New Roman"/>
          <w:color w:val="000000"/>
          <w:sz w:val="24"/>
          <w:szCs w:val="24"/>
        </w:rPr>
        <w:t>Covid</w:t>
      </w:r>
      <w:r>
        <w:rPr>
          <w:rFonts w:ascii="Times New Roman" w:hAnsi="Times New Roman"/>
          <w:color w:val="000000"/>
          <w:sz w:val="24"/>
          <w:szCs w:val="24"/>
        </w:rPr>
        <w:t xml:space="preserve">-19 crises on the teaching profession, both in terms of their health and the longer-term implications for recruitment and retention in the profession. </w:t>
      </w:r>
      <w:r w:rsidR="00694CD1">
        <w:rPr>
          <w:rFonts w:ascii="Times New Roman" w:hAnsi="Times New Roman"/>
          <w:color w:val="000000"/>
          <w:sz w:val="24"/>
          <w:szCs w:val="24"/>
        </w:rPr>
        <w:t>This should be included as one of the key topics of focus in the Department for Education’s new longitudinal study of teachers.</w:t>
      </w:r>
    </w:p>
    <w:p w14:paraId="765FCE43" w14:textId="7880BC8E" w:rsidR="005E2E61" w:rsidRDefault="005E2E61" w:rsidP="00D859BC">
      <w:pPr>
        <w:pStyle w:val="Heading1UCL"/>
      </w:pPr>
      <w:bookmarkStart w:id="33" w:name="_Toc67406024"/>
      <w:r w:rsidRPr="007F32A3">
        <w:lastRenderedPageBreak/>
        <w:t>References</w:t>
      </w:r>
      <w:bookmarkEnd w:id="33"/>
    </w:p>
    <w:p w14:paraId="7DCE7909" w14:textId="77777777" w:rsidR="00D859BC" w:rsidRPr="00531DCB" w:rsidRDefault="00D859BC" w:rsidP="00531DCB">
      <w:pPr>
        <w:pStyle w:val="Heading1UCL"/>
        <w:rPr>
          <w:rFonts w:cs="Times New Roman"/>
          <w:sz w:val="24"/>
          <w:szCs w:val="24"/>
        </w:rPr>
      </w:pPr>
    </w:p>
    <w:p w14:paraId="753C562B" w14:textId="6F630018" w:rsidR="004D1DD9" w:rsidRPr="00531DCB" w:rsidRDefault="005E2E61" w:rsidP="00531DCB">
      <w:pPr>
        <w:jc w:val="both"/>
        <w:rPr>
          <w:rFonts w:ascii="Times New Roman" w:hAnsi="Times New Roman" w:cs="Times New Roman"/>
          <w:sz w:val="24"/>
          <w:szCs w:val="24"/>
          <w:lang w:eastAsia="en-GB"/>
        </w:rPr>
      </w:pPr>
      <w:r w:rsidRPr="00531DCB">
        <w:rPr>
          <w:rFonts w:ascii="Times New Roman" w:hAnsi="Times New Roman" w:cs="Times New Roman"/>
          <w:color w:val="000000" w:themeColor="text1"/>
          <w:sz w:val="24"/>
          <w:szCs w:val="24"/>
          <w:lang w:eastAsia="en-GB"/>
        </w:rPr>
        <w:t>Allen, R</w:t>
      </w:r>
      <w:r w:rsidR="006156C5" w:rsidRPr="00531DCB">
        <w:rPr>
          <w:rFonts w:ascii="Times New Roman" w:hAnsi="Times New Roman" w:cs="Times New Roman"/>
          <w:color w:val="000000" w:themeColor="text1"/>
          <w:sz w:val="24"/>
          <w:szCs w:val="24"/>
          <w:lang w:eastAsia="en-GB"/>
        </w:rPr>
        <w:t>.,</w:t>
      </w:r>
      <w:r w:rsidRPr="00531DCB">
        <w:rPr>
          <w:rFonts w:ascii="Times New Roman" w:hAnsi="Times New Roman" w:cs="Times New Roman"/>
          <w:color w:val="000000" w:themeColor="text1"/>
          <w:sz w:val="24"/>
          <w:szCs w:val="24"/>
          <w:lang w:eastAsia="en-GB"/>
        </w:rPr>
        <w:t xml:space="preserve"> </w:t>
      </w:r>
      <w:proofErr w:type="spellStart"/>
      <w:r w:rsidRPr="00531DCB">
        <w:rPr>
          <w:rFonts w:ascii="Times New Roman" w:hAnsi="Times New Roman" w:cs="Times New Roman"/>
          <w:color w:val="000000" w:themeColor="text1"/>
          <w:sz w:val="24"/>
          <w:szCs w:val="24"/>
        </w:rPr>
        <w:t>Benhenda</w:t>
      </w:r>
      <w:proofErr w:type="spellEnd"/>
      <w:r w:rsidRPr="00531DCB">
        <w:rPr>
          <w:rFonts w:ascii="Times New Roman" w:hAnsi="Times New Roman" w:cs="Times New Roman"/>
          <w:color w:val="000000" w:themeColor="text1"/>
          <w:sz w:val="24"/>
          <w:szCs w:val="24"/>
        </w:rPr>
        <w:t xml:space="preserve">, </w:t>
      </w:r>
      <w:proofErr w:type="spellStart"/>
      <w:r w:rsidRPr="00531DCB">
        <w:rPr>
          <w:rFonts w:ascii="Times New Roman" w:hAnsi="Times New Roman" w:cs="Times New Roman"/>
          <w:color w:val="000000" w:themeColor="text1"/>
          <w:sz w:val="24"/>
          <w:szCs w:val="24"/>
        </w:rPr>
        <w:t>A</w:t>
      </w:r>
      <w:r w:rsidR="006156C5" w:rsidRPr="00531DCB">
        <w:rPr>
          <w:rFonts w:ascii="Times New Roman" w:hAnsi="Times New Roman" w:cs="Times New Roman"/>
          <w:color w:val="000000" w:themeColor="text1"/>
          <w:sz w:val="24"/>
          <w:szCs w:val="24"/>
        </w:rPr>
        <w:t>.</w:t>
      </w:r>
      <w:proofErr w:type="gramStart"/>
      <w:r w:rsidR="006156C5" w:rsidRPr="00531DCB">
        <w:rPr>
          <w:rFonts w:ascii="Times New Roman" w:hAnsi="Times New Roman" w:cs="Times New Roman"/>
          <w:color w:val="000000" w:themeColor="text1"/>
          <w:sz w:val="24"/>
          <w:szCs w:val="24"/>
        </w:rPr>
        <w:t>,</w:t>
      </w:r>
      <w:r w:rsidRPr="00531DCB">
        <w:rPr>
          <w:rFonts w:ascii="Times New Roman" w:hAnsi="Times New Roman" w:cs="Times New Roman"/>
          <w:color w:val="000000" w:themeColor="text1"/>
          <w:sz w:val="24"/>
          <w:szCs w:val="24"/>
        </w:rPr>
        <w:t>Jerrim</w:t>
      </w:r>
      <w:proofErr w:type="spellEnd"/>
      <w:proofErr w:type="gramEnd"/>
      <w:r w:rsidRPr="00531DCB">
        <w:rPr>
          <w:rFonts w:ascii="Times New Roman" w:hAnsi="Times New Roman" w:cs="Times New Roman"/>
          <w:color w:val="000000" w:themeColor="text1"/>
          <w:sz w:val="24"/>
          <w:szCs w:val="24"/>
        </w:rPr>
        <w:t xml:space="preserve">, J. and Sims, S. 2019. </w:t>
      </w:r>
      <w:r w:rsidRPr="00531DCB">
        <w:rPr>
          <w:rFonts w:ascii="Times New Roman" w:hAnsi="Times New Roman" w:cs="Times New Roman"/>
          <w:color w:val="000000" w:themeColor="text1"/>
          <w:sz w:val="24"/>
          <w:szCs w:val="24"/>
          <w:lang w:eastAsia="en-GB"/>
        </w:rPr>
        <w:t xml:space="preserve"> New evidence on teachers’ working hours in England. An empirical analysis of four datasets. </w:t>
      </w:r>
      <w:r w:rsidRPr="00531DCB">
        <w:rPr>
          <w:rFonts w:ascii="Times New Roman" w:hAnsi="Times New Roman" w:cs="Times New Roman"/>
          <w:i/>
          <w:color w:val="000000" w:themeColor="text1"/>
          <w:sz w:val="24"/>
          <w:szCs w:val="24"/>
          <w:lang w:eastAsia="en-GB"/>
        </w:rPr>
        <w:t>Research Papers in Education.</w:t>
      </w:r>
      <w:r w:rsidRPr="00531DCB">
        <w:rPr>
          <w:rFonts w:ascii="Times New Roman" w:hAnsi="Times New Roman" w:cs="Times New Roman"/>
          <w:color w:val="000000" w:themeColor="text1"/>
          <w:sz w:val="24"/>
          <w:szCs w:val="24"/>
          <w:lang w:eastAsia="en-GB"/>
        </w:rPr>
        <w:t xml:space="preserve"> </w:t>
      </w:r>
    </w:p>
    <w:p w14:paraId="542FA393" w14:textId="77777777" w:rsidR="00D874FA" w:rsidRDefault="00531DCB" w:rsidP="00D874FA">
      <w:pPr>
        <w:spacing w:after="0" w:line="240" w:lineRule="auto"/>
        <w:jc w:val="both"/>
        <w:rPr>
          <w:rFonts w:ascii="Times New Roman" w:hAnsi="Times New Roman" w:cs="Times New Roman"/>
          <w:color w:val="333333"/>
          <w:sz w:val="24"/>
          <w:szCs w:val="24"/>
        </w:rPr>
      </w:pPr>
      <w:r w:rsidRPr="00531DCB">
        <w:rPr>
          <w:rStyle w:val="hlfld-contribauthor"/>
          <w:rFonts w:ascii="Times New Roman" w:hAnsi="Times New Roman" w:cs="Times New Roman"/>
          <w:color w:val="333333"/>
          <w:sz w:val="24"/>
          <w:szCs w:val="24"/>
        </w:rPr>
        <w:t>Alvaro, </w:t>
      </w:r>
      <w:r w:rsidRPr="00531DCB">
        <w:rPr>
          <w:rStyle w:val="nlmgiven-names"/>
          <w:rFonts w:ascii="Times New Roman" w:hAnsi="Times New Roman" w:cs="Times New Roman"/>
          <w:color w:val="333333"/>
          <w:sz w:val="24"/>
          <w:szCs w:val="24"/>
        </w:rPr>
        <w:t>P.</w:t>
      </w:r>
      <w:r w:rsidRPr="00531DCB">
        <w:rPr>
          <w:rFonts w:ascii="Times New Roman" w:hAnsi="Times New Roman" w:cs="Times New Roman"/>
          <w:color w:val="333333"/>
          <w:sz w:val="24"/>
          <w:szCs w:val="24"/>
        </w:rPr>
        <w:t>, </w:t>
      </w:r>
      <w:r w:rsidRPr="00531DCB">
        <w:rPr>
          <w:rStyle w:val="hlfld-contribauthor"/>
          <w:rFonts w:ascii="Times New Roman" w:hAnsi="Times New Roman" w:cs="Times New Roman"/>
          <w:color w:val="333333"/>
          <w:sz w:val="24"/>
          <w:szCs w:val="24"/>
        </w:rPr>
        <w:t>Roberts, </w:t>
      </w:r>
      <w:r w:rsidRPr="00531DCB">
        <w:rPr>
          <w:rStyle w:val="nlmgiven-names"/>
          <w:rFonts w:ascii="Times New Roman" w:hAnsi="Times New Roman" w:cs="Times New Roman"/>
          <w:color w:val="333333"/>
          <w:sz w:val="24"/>
          <w:szCs w:val="24"/>
        </w:rPr>
        <w:t xml:space="preserve">R. </w:t>
      </w:r>
      <w:r w:rsidRPr="00531DCB">
        <w:rPr>
          <w:rFonts w:ascii="Times New Roman" w:hAnsi="Times New Roman" w:cs="Times New Roman"/>
          <w:color w:val="333333"/>
          <w:sz w:val="24"/>
          <w:szCs w:val="24"/>
        </w:rPr>
        <w:t>and </w:t>
      </w:r>
      <w:r w:rsidRPr="00531DCB">
        <w:rPr>
          <w:rStyle w:val="hlfld-contribauthor"/>
          <w:rFonts w:ascii="Times New Roman" w:hAnsi="Times New Roman" w:cs="Times New Roman"/>
          <w:color w:val="333333"/>
          <w:sz w:val="24"/>
          <w:szCs w:val="24"/>
        </w:rPr>
        <w:t>Harris, </w:t>
      </w:r>
      <w:r w:rsidRPr="00531DCB">
        <w:rPr>
          <w:rStyle w:val="nlmgiven-names"/>
          <w:rFonts w:ascii="Times New Roman" w:hAnsi="Times New Roman" w:cs="Times New Roman"/>
          <w:color w:val="333333"/>
          <w:sz w:val="24"/>
          <w:szCs w:val="24"/>
        </w:rPr>
        <w:t>J. K.</w:t>
      </w:r>
      <w:r w:rsidRPr="00531DCB">
        <w:rPr>
          <w:rFonts w:ascii="Times New Roman" w:hAnsi="Times New Roman" w:cs="Times New Roman"/>
          <w:color w:val="333333"/>
          <w:sz w:val="24"/>
          <w:szCs w:val="24"/>
        </w:rPr>
        <w:t> </w:t>
      </w:r>
      <w:r w:rsidRPr="00531DCB">
        <w:rPr>
          <w:rStyle w:val="nlmyear"/>
          <w:rFonts w:ascii="Times New Roman" w:hAnsi="Times New Roman" w:cs="Times New Roman"/>
          <w:color w:val="333333"/>
          <w:sz w:val="24"/>
          <w:szCs w:val="24"/>
        </w:rPr>
        <w:t>2013</w:t>
      </w:r>
      <w:r w:rsidRPr="00531DCB">
        <w:rPr>
          <w:rFonts w:ascii="Times New Roman" w:hAnsi="Times New Roman" w:cs="Times New Roman"/>
          <w:color w:val="333333"/>
          <w:sz w:val="24"/>
          <w:szCs w:val="24"/>
        </w:rPr>
        <w:t>. </w:t>
      </w:r>
      <w:r w:rsidRPr="00531DCB">
        <w:rPr>
          <w:rStyle w:val="nlmarticle-title"/>
          <w:rFonts w:ascii="Times New Roman" w:hAnsi="Times New Roman" w:cs="Times New Roman"/>
          <w:color w:val="333333"/>
          <w:sz w:val="24"/>
          <w:szCs w:val="24"/>
        </w:rPr>
        <w:t xml:space="preserve">A systematic review assessing </w:t>
      </w:r>
      <w:proofErr w:type="spellStart"/>
      <w:r w:rsidRPr="00531DCB">
        <w:rPr>
          <w:rStyle w:val="nlmarticle-title"/>
          <w:rFonts w:ascii="Times New Roman" w:hAnsi="Times New Roman" w:cs="Times New Roman"/>
          <w:color w:val="333333"/>
          <w:sz w:val="24"/>
          <w:szCs w:val="24"/>
        </w:rPr>
        <w:t>bidirectionality</w:t>
      </w:r>
      <w:proofErr w:type="spellEnd"/>
      <w:r w:rsidRPr="00531DCB">
        <w:rPr>
          <w:rStyle w:val="nlmarticle-title"/>
          <w:rFonts w:ascii="Times New Roman" w:hAnsi="Times New Roman" w:cs="Times New Roman"/>
          <w:color w:val="333333"/>
          <w:sz w:val="24"/>
          <w:szCs w:val="24"/>
        </w:rPr>
        <w:t xml:space="preserve"> between sleep disturbances, anxiety and depression</w:t>
      </w:r>
      <w:r w:rsidRPr="00531DCB">
        <w:rPr>
          <w:rFonts w:ascii="Times New Roman" w:hAnsi="Times New Roman" w:cs="Times New Roman"/>
          <w:color w:val="333333"/>
          <w:sz w:val="24"/>
          <w:szCs w:val="24"/>
        </w:rPr>
        <w:t>. </w:t>
      </w:r>
      <w:r w:rsidRPr="00531DCB">
        <w:rPr>
          <w:rFonts w:ascii="Times New Roman" w:hAnsi="Times New Roman" w:cs="Times New Roman"/>
          <w:i/>
          <w:iCs/>
          <w:color w:val="333333"/>
          <w:sz w:val="24"/>
          <w:szCs w:val="24"/>
        </w:rPr>
        <w:t>Sleep</w:t>
      </w:r>
      <w:r w:rsidRPr="00531DCB">
        <w:rPr>
          <w:rFonts w:ascii="Times New Roman" w:hAnsi="Times New Roman" w:cs="Times New Roman"/>
          <w:color w:val="333333"/>
          <w:sz w:val="24"/>
          <w:szCs w:val="24"/>
        </w:rPr>
        <w:t>. 36 (7), </w:t>
      </w:r>
      <w:r w:rsidRPr="00531DCB">
        <w:rPr>
          <w:rStyle w:val="nlmfpage"/>
          <w:rFonts w:ascii="Times New Roman" w:hAnsi="Times New Roman" w:cs="Times New Roman"/>
          <w:color w:val="333333"/>
          <w:sz w:val="24"/>
          <w:szCs w:val="24"/>
        </w:rPr>
        <w:t>1059</w:t>
      </w:r>
      <w:r w:rsidRPr="00531DCB">
        <w:rPr>
          <w:rFonts w:ascii="Times New Roman" w:hAnsi="Times New Roman" w:cs="Times New Roman"/>
          <w:color w:val="333333"/>
          <w:sz w:val="24"/>
          <w:szCs w:val="24"/>
        </w:rPr>
        <w:t>–</w:t>
      </w:r>
      <w:r w:rsidRPr="00531DCB">
        <w:rPr>
          <w:rStyle w:val="nlmlpage"/>
          <w:rFonts w:ascii="Times New Roman" w:hAnsi="Times New Roman" w:cs="Times New Roman"/>
          <w:color w:val="333333"/>
          <w:sz w:val="24"/>
          <w:szCs w:val="24"/>
        </w:rPr>
        <w:t>1068</w:t>
      </w:r>
      <w:r w:rsidRPr="00531DCB">
        <w:rPr>
          <w:rFonts w:ascii="Times New Roman" w:hAnsi="Times New Roman" w:cs="Times New Roman"/>
          <w:color w:val="333333"/>
          <w:sz w:val="24"/>
          <w:szCs w:val="24"/>
        </w:rPr>
        <w:t>.</w:t>
      </w:r>
    </w:p>
    <w:p w14:paraId="6A564D91" w14:textId="77777777" w:rsidR="00D874FA" w:rsidRDefault="00D874FA" w:rsidP="00D874FA">
      <w:pPr>
        <w:spacing w:after="0" w:line="240" w:lineRule="auto"/>
        <w:jc w:val="both"/>
        <w:rPr>
          <w:rFonts w:ascii="Times New Roman" w:hAnsi="Times New Roman" w:cs="Times New Roman"/>
          <w:color w:val="333333"/>
          <w:sz w:val="24"/>
          <w:szCs w:val="24"/>
        </w:rPr>
      </w:pPr>
    </w:p>
    <w:p w14:paraId="4636F07C" w14:textId="3C0D6E89" w:rsidR="00D874FA" w:rsidRPr="00D874FA" w:rsidRDefault="00D874FA" w:rsidP="00D874FA">
      <w:pPr>
        <w:spacing w:after="0" w:line="240" w:lineRule="auto"/>
        <w:jc w:val="both"/>
        <w:rPr>
          <w:rFonts w:ascii="Times New Roman" w:hAnsi="Times New Roman" w:cs="Times New Roman"/>
          <w:color w:val="333333"/>
          <w:sz w:val="24"/>
          <w:szCs w:val="24"/>
        </w:rPr>
      </w:pPr>
      <w:r w:rsidRPr="00D874FA">
        <w:rPr>
          <w:rStyle w:val="hlfld-contribauthor"/>
          <w:rFonts w:ascii="Times New Roman" w:hAnsi="Times New Roman" w:cs="Times New Roman"/>
          <w:color w:val="333333"/>
          <w:sz w:val="24"/>
          <w:szCs w:val="24"/>
        </w:rPr>
        <w:t>Appleton, </w:t>
      </w:r>
      <w:r w:rsidRPr="00D874FA">
        <w:rPr>
          <w:rStyle w:val="nlmgiven-names"/>
          <w:rFonts w:ascii="Times New Roman" w:hAnsi="Times New Roman" w:cs="Times New Roman"/>
          <w:color w:val="333333"/>
          <w:sz w:val="24"/>
          <w:szCs w:val="24"/>
        </w:rPr>
        <w:t>A.</w:t>
      </w:r>
      <w:r w:rsidRPr="00D874FA">
        <w:rPr>
          <w:rFonts w:ascii="Times New Roman" w:hAnsi="Times New Roman" w:cs="Times New Roman"/>
          <w:color w:val="333333"/>
          <w:sz w:val="24"/>
          <w:szCs w:val="24"/>
        </w:rPr>
        <w:t> and </w:t>
      </w:r>
      <w:r w:rsidRPr="00D874FA">
        <w:rPr>
          <w:rStyle w:val="hlfld-contribauthor"/>
          <w:rFonts w:ascii="Times New Roman" w:hAnsi="Times New Roman" w:cs="Times New Roman"/>
          <w:color w:val="333333"/>
          <w:sz w:val="24"/>
          <w:szCs w:val="24"/>
        </w:rPr>
        <w:t>James, </w:t>
      </w:r>
      <w:r w:rsidRPr="00D874FA">
        <w:rPr>
          <w:rStyle w:val="nlmgiven-names"/>
          <w:rFonts w:ascii="Times New Roman" w:hAnsi="Times New Roman" w:cs="Times New Roman"/>
          <w:color w:val="333333"/>
          <w:sz w:val="24"/>
          <w:szCs w:val="24"/>
        </w:rPr>
        <w:t>R.</w:t>
      </w:r>
      <w:r w:rsidRPr="00D874FA">
        <w:rPr>
          <w:rFonts w:ascii="Times New Roman" w:hAnsi="Times New Roman" w:cs="Times New Roman"/>
          <w:color w:val="333333"/>
          <w:sz w:val="24"/>
          <w:szCs w:val="24"/>
        </w:rPr>
        <w:t> </w:t>
      </w:r>
      <w:r w:rsidRPr="00D874FA">
        <w:rPr>
          <w:rStyle w:val="nlmyear"/>
          <w:rFonts w:ascii="Times New Roman" w:hAnsi="Times New Roman" w:cs="Times New Roman"/>
          <w:color w:val="333333"/>
          <w:sz w:val="24"/>
          <w:szCs w:val="24"/>
        </w:rPr>
        <w:t>2018</w:t>
      </w:r>
      <w:r w:rsidRPr="00D874FA">
        <w:rPr>
          <w:rFonts w:ascii="Times New Roman" w:hAnsi="Times New Roman" w:cs="Times New Roman"/>
          <w:color w:val="333333"/>
          <w:sz w:val="24"/>
          <w:szCs w:val="24"/>
        </w:rPr>
        <w:t>. </w:t>
      </w:r>
      <w:r w:rsidRPr="00D874FA">
        <w:rPr>
          <w:rStyle w:val="nlmarticle-title"/>
          <w:rFonts w:ascii="Times New Roman" w:hAnsi="Times New Roman" w:cs="Times New Roman"/>
          <w:color w:val="333333"/>
          <w:sz w:val="24"/>
          <w:szCs w:val="24"/>
        </w:rPr>
        <w:t>Adults (18-75) in the UK who drink alcohol for coping reasons</w:t>
      </w:r>
      <w:r w:rsidRPr="00D874FA">
        <w:rPr>
          <w:rFonts w:ascii="Times New Roman" w:hAnsi="Times New Roman" w:cs="Times New Roman"/>
          <w:color w:val="333333"/>
          <w:sz w:val="24"/>
          <w:szCs w:val="24"/>
        </w:rPr>
        <w:t xml:space="preserve">. </w:t>
      </w:r>
      <w:proofErr w:type="spellStart"/>
      <w:r w:rsidRPr="00D874FA">
        <w:rPr>
          <w:rFonts w:ascii="Times New Roman" w:hAnsi="Times New Roman" w:cs="Times New Roman"/>
          <w:color w:val="333333"/>
          <w:sz w:val="24"/>
          <w:szCs w:val="24"/>
        </w:rPr>
        <w:t>Drinkaware</w:t>
      </w:r>
      <w:proofErr w:type="spellEnd"/>
      <w:r w:rsidRPr="00D874FA">
        <w:rPr>
          <w:rFonts w:ascii="Times New Roman" w:hAnsi="Times New Roman" w:cs="Times New Roman"/>
          <w:color w:val="333333"/>
          <w:sz w:val="24"/>
          <w:szCs w:val="24"/>
        </w:rPr>
        <w:t xml:space="preserve"> research report. Accessed 26/03/2021 from at: </w:t>
      </w:r>
      <w:hyperlink r:id="rId70" w:tgtFrame="_blank" w:history="1">
        <w:r w:rsidRPr="00D874FA">
          <w:rPr>
            <w:rStyle w:val="Hyperlink"/>
            <w:rFonts w:ascii="Times New Roman" w:hAnsi="Times New Roman" w:cs="Times New Roman"/>
            <w:color w:val="10147E"/>
            <w:sz w:val="24"/>
            <w:szCs w:val="24"/>
          </w:rPr>
          <w:t>https://www.drinkaware.co.uk/media/1852/drinking-to-cope-jan-2018.pdf</w:t>
        </w:r>
      </w:hyperlink>
      <w:r w:rsidRPr="00D874FA">
        <w:rPr>
          <w:rFonts w:ascii="Times New Roman" w:hAnsi="Times New Roman" w:cs="Times New Roman"/>
          <w:color w:val="333333"/>
          <w:sz w:val="24"/>
          <w:szCs w:val="24"/>
        </w:rPr>
        <w:t> </w:t>
      </w:r>
      <w:r w:rsidRPr="00D874FA">
        <w:rPr>
          <w:rFonts w:ascii="Times New Roman" w:hAnsi="Times New Roman" w:cs="Times New Roman"/>
          <w:b/>
          <w:bCs/>
          <w:color w:val="333333"/>
          <w:sz w:val="24"/>
          <w:szCs w:val="24"/>
        </w:rPr>
        <w:t xml:space="preserve"> </w:t>
      </w:r>
    </w:p>
    <w:p w14:paraId="2F12A8F9" w14:textId="7AA1ADE7" w:rsidR="00531DCB" w:rsidRDefault="00531DCB" w:rsidP="004D1DD9">
      <w:pPr>
        <w:spacing w:after="0" w:line="240" w:lineRule="auto"/>
        <w:jc w:val="both"/>
        <w:rPr>
          <w:rFonts w:ascii="Times New Roman" w:hAnsi="Times New Roman" w:cs="Times New Roman"/>
          <w:color w:val="000000" w:themeColor="text1"/>
          <w:sz w:val="24"/>
          <w:szCs w:val="24"/>
        </w:rPr>
      </w:pPr>
    </w:p>
    <w:p w14:paraId="4B2E1AD4" w14:textId="00CC0CC6" w:rsidR="005E2E61" w:rsidRPr="007F32A3" w:rsidRDefault="005E2E61" w:rsidP="004D1DD9">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Baines, D. and Blatchford, P. 2019. School break and lunch times and young people’s social lives: a follow-up national study. Nuffield Foundation report. Accessed 31/07/2019 from </w:t>
      </w:r>
      <w:hyperlink r:id="rId71" w:history="1">
        <w:r w:rsidRPr="007F32A3">
          <w:rPr>
            <w:rStyle w:val="Hyperlink"/>
            <w:rFonts w:ascii="Times New Roman" w:hAnsi="Times New Roman" w:cs="Times New Roman"/>
            <w:color w:val="000000" w:themeColor="text1"/>
            <w:sz w:val="24"/>
            <w:szCs w:val="24"/>
            <w:u w:val="none"/>
          </w:rPr>
          <w:t>https://www.nuffieldfoundation.org/sites/default/files/files/Baines%2042402%20BreaktimeSurvey%20-%20Main%20public%20report%20(May19)-Final(1).pdf</w:t>
        </w:r>
      </w:hyperlink>
      <w:r w:rsidRPr="007F32A3">
        <w:rPr>
          <w:rFonts w:ascii="Times New Roman" w:hAnsi="Times New Roman" w:cs="Times New Roman"/>
          <w:color w:val="000000" w:themeColor="text1"/>
          <w:sz w:val="24"/>
          <w:szCs w:val="24"/>
        </w:rPr>
        <w:t xml:space="preserve"> </w:t>
      </w:r>
    </w:p>
    <w:p w14:paraId="42C80B4F" w14:textId="77777777" w:rsidR="005E2E61" w:rsidRPr="007F32A3" w:rsidRDefault="005E2E61" w:rsidP="00735D03">
      <w:pPr>
        <w:pStyle w:val="textbox"/>
        <w:shd w:val="clear" w:color="auto" w:fill="FFFFFF"/>
        <w:spacing w:before="0" w:beforeAutospacing="0" w:after="0" w:afterAutospacing="0"/>
        <w:jc w:val="both"/>
        <w:rPr>
          <w:color w:val="000000" w:themeColor="text1"/>
        </w:rPr>
      </w:pPr>
    </w:p>
    <w:p w14:paraId="0F66BCCE" w14:textId="77777777" w:rsidR="005E2E61" w:rsidRPr="007F32A3" w:rsidRDefault="005E2E61" w:rsidP="004D1DD9">
      <w:pPr>
        <w:pStyle w:val="textbox"/>
        <w:shd w:val="clear" w:color="auto" w:fill="FFFFFF"/>
        <w:spacing w:before="0" w:beforeAutospacing="0" w:after="0" w:afterAutospacing="0"/>
        <w:jc w:val="both"/>
        <w:rPr>
          <w:color w:val="000000" w:themeColor="text1"/>
        </w:rPr>
      </w:pPr>
      <w:r w:rsidRPr="007F32A3">
        <w:rPr>
          <w:color w:val="000000" w:themeColor="text1"/>
        </w:rPr>
        <w:t xml:space="preserve">Bamford, S. and Worth, J. 2017. Is the grass greener beyond teaching? Slough: NFER.  Accessed 04/07/2019 from </w:t>
      </w:r>
      <w:hyperlink r:id="rId72" w:history="1">
        <w:r w:rsidRPr="007F32A3">
          <w:rPr>
            <w:rStyle w:val="Hyperlink"/>
            <w:color w:val="000000" w:themeColor="text1"/>
            <w:u w:val="none"/>
          </w:rPr>
          <w:t>https://www.nfer.ac.uk/teacher-retention-and-turnover-research-research-update-3-is-the-grass-greener-beyond-teaching</w:t>
        </w:r>
      </w:hyperlink>
      <w:r w:rsidRPr="007F32A3">
        <w:rPr>
          <w:color w:val="000000" w:themeColor="text1"/>
        </w:rPr>
        <w:t xml:space="preserve"> </w:t>
      </w:r>
    </w:p>
    <w:p w14:paraId="7365DBE9"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lang w:eastAsia="en-GB"/>
        </w:rPr>
      </w:pPr>
    </w:p>
    <w:p w14:paraId="25B278E0" w14:textId="77777777" w:rsidR="005E2E61" w:rsidRPr="007F32A3" w:rsidRDefault="005E2E61" w:rsidP="00735D03">
      <w:pPr>
        <w:pStyle w:val="textbox"/>
        <w:shd w:val="clear" w:color="auto" w:fill="FFFFFF"/>
        <w:spacing w:before="0" w:beforeAutospacing="0" w:after="0" w:afterAutospacing="0"/>
        <w:jc w:val="both"/>
        <w:rPr>
          <w:color w:val="000000" w:themeColor="text1"/>
          <w:shd w:val="clear" w:color="auto" w:fill="FFFFFF"/>
        </w:rPr>
      </w:pPr>
      <w:proofErr w:type="spellStart"/>
      <w:r w:rsidRPr="007F32A3">
        <w:rPr>
          <w:color w:val="000000" w:themeColor="text1"/>
          <w:shd w:val="clear" w:color="auto" w:fill="FFFFFF"/>
        </w:rPr>
        <w:t>Beckie</w:t>
      </w:r>
      <w:proofErr w:type="spellEnd"/>
      <w:r w:rsidRPr="007F32A3">
        <w:rPr>
          <w:color w:val="000000" w:themeColor="text1"/>
          <w:shd w:val="clear" w:color="auto" w:fill="FFFFFF"/>
        </w:rPr>
        <w:t xml:space="preserve">, T. M. 2012. A systematic review of </w:t>
      </w:r>
      <w:proofErr w:type="spellStart"/>
      <w:r w:rsidRPr="007F32A3">
        <w:rPr>
          <w:color w:val="000000" w:themeColor="text1"/>
          <w:shd w:val="clear" w:color="auto" w:fill="FFFFFF"/>
        </w:rPr>
        <w:t>allostatic</w:t>
      </w:r>
      <w:proofErr w:type="spellEnd"/>
      <w:r w:rsidRPr="007F32A3">
        <w:rPr>
          <w:color w:val="000000" w:themeColor="text1"/>
          <w:shd w:val="clear" w:color="auto" w:fill="FFFFFF"/>
        </w:rPr>
        <w:t xml:space="preserve"> load, health, and health disparities. </w:t>
      </w:r>
      <w:r w:rsidRPr="007F32A3">
        <w:rPr>
          <w:i/>
          <w:iCs/>
          <w:color w:val="000000" w:themeColor="text1"/>
          <w:shd w:val="clear" w:color="auto" w:fill="FFFFFF"/>
        </w:rPr>
        <w:t>Biological Research for Nursing</w:t>
      </w:r>
      <w:r w:rsidRPr="007F32A3">
        <w:rPr>
          <w:color w:val="000000" w:themeColor="text1"/>
          <w:shd w:val="clear" w:color="auto" w:fill="FFFFFF"/>
        </w:rPr>
        <w:t> </w:t>
      </w:r>
      <w:r w:rsidRPr="007F32A3">
        <w:rPr>
          <w:i/>
          <w:iCs/>
          <w:color w:val="000000" w:themeColor="text1"/>
          <w:shd w:val="clear" w:color="auto" w:fill="FFFFFF"/>
        </w:rPr>
        <w:t>14</w:t>
      </w:r>
      <w:r w:rsidRPr="007F32A3">
        <w:rPr>
          <w:color w:val="000000" w:themeColor="text1"/>
          <w:shd w:val="clear" w:color="auto" w:fill="FFFFFF"/>
        </w:rPr>
        <w:t>(4): 311-346.</w:t>
      </w:r>
    </w:p>
    <w:p w14:paraId="4AD3ED56"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p>
    <w:p w14:paraId="3F44CC6A" w14:textId="6DD0DD89" w:rsidR="005E2E61" w:rsidRPr="007F32A3" w:rsidRDefault="005E2E61" w:rsidP="00735D03">
      <w:pPr>
        <w:pStyle w:val="textbox"/>
        <w:shd w:val="clear" w:color="auto" w:fill="FFFFFF"/>
        <w:spacing w:before="0" w:beforeAutospacing="0" w:after="0" w:afterAutospacing="0"/>
        <w:jc w:val="both"/>
        <w:rPr>
          <w:color w:val="000000" w:themeColor="text1"/>
          <w:shd w:val="clear" w:color="auto" w:fill="FFFFFF"/>
        </w:rPr>
      </w:pPr>
      <w:proofErr w:type="spellStart"/>
      <w:r w:rsidRPr="007F32A3">
        <w:rPr>
          <w:color w:val="000000" w:themeColor="text1"/>
          <w:shd w:val="clear" w:color="auto" w:fill="FFFFFF"/>
        </w:rPr>
        <w:t>Bellingrath</w:t>
      </w:r>
      <w:proofErr w:type="spellEnd"/>
      <w:r w:rsidRPr="007F32A3">
        <w:rPr>
          <w:color w:val="000000" w:themeColor="text1"/>
          <w:shd w:val="clear" w:color="auto" w:fill="FFFFFF"/>
        </w:rPr>
        <w:t>, S.</w:t>
      </w:r>
      <w:r w:rsidR="006156C5">
        <w:rPr>
          <w:color w:val="000000" w:themeColor="text1"/>
          <w:shd w:val="clear" w:color="auto" w:fill="FFFFFF"/>
        </w:rPr>
        <w:t>,</w:t>
      </w:r>
      <w:r w:rsidRPr="007F32A3">
        <w:rPr>
          <w:color w:val="000000" w:themeColor="text1"/>
          <w:shd w:val="clear" w:color="auto" w:fill="FFFFFF"/>
        </w:rPr>
        <w:t xml:space="preserve"> </w:t>
      </w:r>
      <w:proofErr w:type="spellStart"/>
      <w:r w:rsidRPr="007F32A3">
        <w:rPr>
          <w:color w:val="000000" w:themeColor="text1"/>
          <w:shd w:val="clear" w:color="auto" w:fill="FFFFFF"/>
        </w:rPr>
        <w:t>Rohleder</w:t>
      </w:r>
      <w:proofErr w:type="spellEnd"/>
      <w:r w:rsidRPr="007F32A3">
        <w:rPr>
          <w:color w:val="000000" w:themeColor="text1"/>
          <w:shd w:val="clear" w:color="auto" w:fill="FFFFFF"/>
        </w:rPr>
        <w:t xml:space="preserve">, N. and </w:t>
      </w:r>
      <w:proofErr w:type="spellStart"/>
      <w:r w:rsidRPr="007F32A3">
        <w:rPr>
          <w:color w:val="000000" w:themeColor="text1"/>
          <w:shd w:val="clear" w:color="auto" w:fill="FFFFFF"/>
        </w:rPr>
        <w:t>Kudielka</w:t>
      </w:r>
      <w:proofErr w:type="spellEnd"/>
      <w:r w:rsidRPr="007F32A3">
        <w:rPr>
          <w:color w:val="000000" w:themeColor="text1"/>
          <w:shd w:val="clear" w:color="auto" w:fill="FFFFFF"/>
        </w:rPr>
        <w:t xml:space="preserve">, B. M. 2010. Healthy working schoolteachers with high effort–reward-imbalance and </w:t>
      </w:r>
      <w:proofErr w:type="spellStart"/>
      <w:r w:rsidRPr="007F32A3">
        <w:rPr>
          <w:color w:val="000000" w:themeColor="text1"/>
          <w:shd w:val="clear" w:color="auto" w:fill="FFFFFF"/>
        </w:rPr>
        <w:t>overcommitment</w:t>
      </w:r>
      <w:proofErr w:type="spellEnd"/>
      <w:r w:rsidRPr="007F32A3">
        <w:rPr>
          <w:color w:val="000000" w:themeColor="text1"/>
          <w:shd w:val="clear" w:color="auto" w:fill="FFFFFF"/>
        </w:rPr>
        <w:t xml:space="preserve"> show increased pro-inflammatory immune activity and a dampened innate immune defence. </w:t>
      </w:r>
      <w:r w:rsidRPr="007F32A3">
        <w:rPr>
          <w:i/>
          <w:iCs/>
          <w:color w:val="000000" w:themeColor="text1"/>
          <w:shd w:val="clear" w:color="auto" w:fill="FFFFFF"/>
        </w:rPr>
        <w:t xml:space="preserve">Brain, </w:t>
      </w:r>
      <w:proofErr w:type="spellStart"/>
      <w:r w:rsidRPr="007F32A3">
        <w:rPr>
          <w:i/>
          <w:iCs/>
          <w:color w:val="000000" w:themeColor="text1"/>
          <w:shd w:val="clear" w:color="auto" w:fill="FFFFFF"/>
        </w:rPr>
        <w:t>Behavior</w:t>
      </w:r>
      <w:proofErr w:type="spellEnd"/>
      <w:r w:rsidRPr="007F32A3">
        <w:rPr>
          <w:i/>
          <w:iCs/>
          <w:color w:val="000000" w:themeColor="text1"/>
          <w:shd w:val="clear" w:color="auto" w:fill="FFFFFF"/>
        </w:rPr>
        <w:t>, and Immunity</w:t>
      </w:r>
      <w:r w:rsidRPr="007F32A3">
        <w:rPr>
          <w:color w:val="000000" w:themeColor="text1"/>
          <w:shd w:val="clear" w:color="auto" w:fill="FFFFFF"/>
        </w:rPr>
        <w:t> </w:t>
      </w:r>
      <w:r w:rsidRPr="007F32A3">
        <w:rPr>
          <w:i/>
          <w:iCs/>
          <w:color w:val="000000" w:themeColor="text1"/>
          <w:shd w:val="clear" w:color="auto" w:fill="FFFFFF"/>
        </w:rPr>
        <w:t>24</w:t>
      </w:r>
      <w:r w:rsidRPr="007F32A3">
        <w:rPr>
          <w:color w:val="000000" w:themeColor="text1"/>
          <w:shd w:val="clear" w:color="auto" w:fill="FFFFFF"/>
        </w:rPr>
        <w:t>(8): 1332-1339.</w:t>
      </w:r>
    </w:p>
    <w:p w14:paraId="4D62E5FC" w14:textId="77777777" w:rsidR="005E2E61" w:rsidRPr="007F32A3" w:rsidRDefault="005E2E61" w:rsidP="00735D03">
      <w:pPr>
        <w:pStyle w:val="textbox"/>
        <w:shd w:val="clear" w:color="auto" w:fill="FFFFFF"/>
        <w:spacing w:before="0" w:beforeAutospacing="0" w:after="0" w:afterAutospacing="0"/>
        <w:ind w:left="720" w:hanging="720"/>
        <w:jc w:val="both"/>
        <w:rPr>
          <w:rStyle w:val="authors"/>
          <w:rFonts w:eastAsiaTheme="minorEastAsia"/>
          <w:color w:val="000000" w:themeColor="text1"/>
        </w:rPr>
      </w:pPr>
    </w:p>
    <w:p w14:paraId="661DC877"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t>Benatti</w:t>
      </w:r>
      <w:proofErr w:type="spellEnd"/>
      <w:r w:rsidRPr="007F32A3">
        <w:rPr>
          <w:rFonts w:ascii="Times New Roman" w:hAnsi="Times New Roman" w:cs="Times New Roman"/>
          <w:color w:val="000000" w:themeColor="text1"/>
          <w:sz w:val="24"/>
          <w:szCs w:val="24"/>
          <w:shd w:val="clear" w:color="auto" w:fill="FFFFFF"/>
        </w:rPr>
        <w:t xml:space="preserve">, F. B. and </w:t>
      </w:r>
      <w:proofErr w:type="spellStart"/>
      <w:r w:rsidRPr="007F32A3">
        <w:rPr>
          <w:rFonts w:ascii="Times New Roman" w:hAnsi="Times New Roman" w:cs="Times New Roman"/>
          <w:color w:val="000000" w:themeColor="text1"/>
          <w:sz w:val="24"/>
          <w:szCs w:val="24"/>
          <w:shd w:val="clear" w:color="auto" w:fill="FFFFFF"/>
        </w:rPr>
        <w:t>Ried</w:t>
      </w:r>
      <w:proofErr w:type="spellEnd"/>
      <w:r w:rsidRPr="007F32A3">
        <w:rPr>
          <w:rFonts w:ascii="Times New Roman" w:hAnsi="Times New Roman" w:cs="Times New Roman"/>
          <w:color w:val="000000" w:themeColor="text1"/>
          <w:sz w:val="24"/>
          <w:szCs w:val="24"/>
          <w:shd w:val="clear" w:color="auto" w:fill="FFFFFF"/>
        </w:rPr>
        <w:t>-Larsen, M. 2015. The effects of breaking up prolonged sitting time: a review of experimental studies. </w:t>
      </w:r>
      <w:r w:rsidRPr="007F32A3">
        <w:rPr>
          <w:rFonts w:ascii="Times New Roman" w:hAnsi="Times New Roman" w:cs="Times New Roman"/>
          <w:i/>
          <w:iCs/>
          <w:color w:val="000000" w:themeColor="text1"/>
          <w:sz w:val="24"/>
          <w:szCs w:val="24"/>
          <w:shd w:val="clear" w:color="auto" w:fill="FFFFFF"/>
        </w:rPr>
        <w:t>Medicine &amp; Science in Sports &amp; Exercise</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47</w:t>
      </w:r>
      <w:r w:rsidRPr="007F32A3">
        <w:rPr>
          <w:rFonts w:ascii="Times New Roman" w:hAnsi="Times New Roman" w:cs="Times New Roman"/>
          <w:color w:val="000000" w:themeColor="text1"/>
          <w:sz w:val="24"/>
          <w:szCs w:val="24"/>
          <w:shd w:val="clear" w:color="auto" w:fill="FFFFFF"/>
        </w:rPr>
        <w:t>(10): 2053-61.</w:t>
      </w:r>
    </w:p>
    <w:p w14:paraId="1FA067DB" w14:textId="77777777" w:rsidR="005E2E61" w:rsidRPr="007F32A3" w:rsidRDefault="005E2E61" w:rsidP="00735D03">
      <w:pPr>
        <w:pStyle w:val="textbox"/>
        <w:shd w:val="clear" w:color="auto" w:fill="FFFFFF"/>
        <w:spacing w:before="0" w:beforeAutospacing="0" w:after="0" w:afterAutospacing="0"/>
        <w:jc w:val="both"/>
        <w:rPr>
          <w:rStyle w:val="authors"/>
          <w:rFonts w:eastAsiaTheme="minorEastAsia"/>
          <w:color w:val="000000" w:themeColor="text1"/>
        </w:rPr>
      </w:pPr>
    </w:p>
    <w:p w14:paraId="67BD023D" w14:textId="00CFD3C0"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t>Berryhill, J.</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Linney</w:t>
      </w:r>
      <w:proofErr w:type="spellEnd"/>
      <w:r w:rsidRPr="007F32A3">
        <w:rPr>
          <w:rFonts w:ascii="Times New Roman" w:hAnsi="Times New Roman" w:cs="Times New Roman"/>
          <w:color w:val="000000" w:themeColor="text1"/>
          <w:sz w:val="24"/>
          <w:szCs w:val="24"/>
          <w:shd w:val="clear" w:color="auto" w:fill="FFFFFF"/>
        </w:rPr>
        <w:t xml:space="preserve">, J. and </w:t>
      </w:r>
      <w:proofErr w:type="spellStart"/>
      <w:r w:rsidRPr="007F32A3">
        <w:rPr>
          <w:rFonts w:ascii="Times New Roman" w:hAnsi="Times New Roman" w:cs="Times New Roman"/>
          <w:color w:val="000000" w:themeColor="text1"/>
          <w:sz w:val="24"/>
          <w:szCs w:val="24"/>
          <w:shd w:val="clear" w:color="auto" w:fill="FFFFFF"/>
        </w:rPr>
        <w:t>Fromewick</w:t>
      </w:r>
      <w:proofErr w:type="spellEnd"/>
      <w:r w:rsidRPr="007F32A3">
        <w:rPr>
          <w:rFonts w:ascii="Times New Roman" w:hAnsi="Times New Roman" w:cs="Times New Roman"/>
          <w:color w:val="000000" w:themeColor="text1"/>
          <w:sz w:val="24"/>
          <w:szCs w:val="24"/>
          <w:shd w:val="clear" w:color="auto" w:fill="FFFFFF"/>
        </w:rPr>
        <w:t xml:space="preserve">, J. 2009 </w:t>
      </w:r>
      <w:proofErr w:type="gramStart"/>
      <w:r w:rsidRPr="007F32A3">
        <w:rPr>
          <w:rFonts w:ascii="Times New Roman" w:hAnsi="Times New Roman" w:cs="Times New Roman"/>
          <w:color w:val="000000" w:themeColor="text1"/>
          <w:sz w:val="24"/>
          <w:szCs w:val="24"/>
          <w:shd w:val="clear" w:color="auto" w:fill="FFFFFF"/>
        </w:rPr>
        <w:t>The</w:t>
      </w:r>
      <w:proofErr w:type="gramEnd"/>
      <w:r w:rsidRPr="007F32A3">
        <w:rPr>
          <w:rFonts w:ascii="Times New Roman" w:hAnsi="Times New Roman" w:cs="Times New Roman"/>
          <w:color w:val="000000" w:themeColor="text1"/>
          <w:sz w:val="24"/>
          <w:szCs w:val="24"/>
          <w:shd w:val="clear" w:color="auto" w:fill="FFFFFF"/>
        </w:rPr>
        <w:t xml:space="preserve"> effects of educational accountability on teachers: are policies too stress provoking for their own good? </w:t>
      </w:r>
      <w:r w:rsidRPr="007F32A3">
        <w:rPr>
          <w:rStyle w:val="Strong"/>
          <w:rFonts w:ascii="Times New Roman" w:hAnsi="Times New Roman" w:cs="Times New Roman"/>
          <w:b w:val="0"/>
          <w:i/>
          <w:color w:val="000000" w:themeColor="text1"/>
          <w:sz w:val="24"/>
          <w:szCs w:val="24"/>
        </w:rPr>
        <w:t>International Journal of Education Policy and Leadership</w:t>
      </w:r>
      <w:r w:rsidRPr="007F32A3">
        <w:rPr>
          <w:rFonts w:ascii="Times New Roman" w:hAnsi="Times New Roman" w:cs="Times New Roman"/>
          <w:b/>
          <w:color w:val="000000" w:themeColor="text1"/>
          <w:sz w:val="24"/>
          <w:szCs w:val="24"/>
          <w:shd w:val="clear" w:color="auto" w:fill="FFFFFF"/>
        </w:rPr>
        <w:t xml:space="preserve"> </w:t>
      </w:r>
      <w:r w:rsidRPr="007F32A3">
        <w:rPr>
          <w:rFonts w:ascii="Times New Roman" w:hAnsi="Times New Roman" w:cs="Times New Roman"/>
          <w:color w:val="000000" w:themeColor="text1"/>
          <w:sz w:val="24"/>
          <w:szCs w:val="24"/>
          <w:shd w:val="clear" w:color="auto" w:fill="FFFFFF"/>
        </w:rPr>
        <w:t xml:space="preserve">4(5) 1-13. </w:t>
      </w:r>
    </w:p>
    <w:p w14:paraId="590BDB84"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36F12C5F" w14:textId="1D3BC356" w:rsidR="005E2E61" w:rsidRPr="007F32A3" w:rsidRDefault="005E2E61" w:rsidP="00735D03">
      <w:pPr>
        <w:spacing w:after="0" w:line="240" w:lineRule="auto"/>
        <w:jc w:val="both"/>
        <w:rPr>
          <w:rFonts w:ascii="Times New Roman" w:eastAsia="Times New Roman" w:hAnsi="Times New Roman" w:cs="Times New Roman"/>
          <w:bCs/>
          <w:color w:val="000000" w:themeColor="text1"/>
          <w:sz w:val="24"/>
          <w:szCs w:val="24"/>
          <w:lang w:eastAsia="en-GB"/>
        </w:rPr>
      </w:pPr>
      <w:proofErr w:type="spellStart"/>
      <w:r w:rsidRPr="007F32A3">
        <w:rPr>
          <w:rFonts w:ascii="Times New Roman" w:eastAsia="Times New Roman" w:hAnsi="Times New Roman" w:cs="Times New Roman"/>
          <w:bCs/>
          <w:color w:val="000000" w:themeColor="text1"/>
          <w:sz w:val="24"/>
          <w:szCs w:val="24"/>
          <w:lang w:eastAsia="en-GB"/>
        </w:rPr>
        <w:t>Bitler</w:t>
      </w:r>
      <w:proofErr w:type="spellEnd"/>
      <w:r w:rsidRPr="007F32A3">
        <w:rPr>
          <w:rFonts w:ascii="Times New Roman" w:eastAsia="Times New Roman" w:hAnsi="Times New Roman" w:cs="Times New Roman"/>
          <w:bCs/>
          <w:color w:val="000000" w:themeColor="text1"/>
          <w:sz w:val="24"/>
          <w:szCs w:val="24"/>
          <w:lang w:eastAsia="en-GB"/>
        </w:rPr>
        <w:t>, M.</w:t>
      </w:r>
      <w:r w:rsidR="006156C5">
        <w:rPr>
          <w:rFonts w:ascii="Times New Roman" w:eastAsia="Times New Roman" w:hAnsi="Times New Roman" w:cs="Times New Roman"/>
          <w:bCs/>
          <w:color w:val="000000" w:themeColor="text1"/>
          <w:sz w:val="24"/>
          <w:szCs w:val="24"/>
          <w:lang w:eastAsia="en-GB"/>
        </w:rPr>
        <w:t>,</w:t>
      </w:r>
      <w:r w:rsidRPr="007F32A3">
        <w:rPr>
          <w:rFonts w:ascii="Times New Roman" w:eastAsia="Times New Roman" w:hAnsi="Times New Roman" w:cs="Times New Roman"/>
          <w:bCs/>
          <w:color w:val="000000" w:themeColor="text1"/>
          <w:sz w:val="24"/>
          <w:szCs w:val="24"/>
          <w:lang w:eastAsia="en-GB"/>
        </w:rPr>
        <w:t xml:space="preserve"> Corcoran, S</w:t>
      </w:r>
      <w:r w:rsidR="006156C5">
        <w:rPr>
          <w:rFonts w:ascii="Times New Roman" w:eastAsia="Times New Roman" w:hAnsi="Times New Roman" w:cs="Times New Roman"/>
          <w:bCs/>
          <w:color w:val="000000" w:themeColor="text1"/>
          <w:sz w:val="24"/>
          <w:szCs w:val="24"/>
          <w:lang w:eastAsia="en-GB"/>
        </w:rPr>
        <w:t>.,</w:t>
      </w:r>
      <w:r w:rsidRPr="007F32A3">
        <w:rPr>
          <w:rFonts w:ascii="Times New Roman" w:eastAsia="Times New Roman" w:hAnsi="Times New Roman" w:cs="Times New Roman"/>
          <w:bCs/>
          <w:color w:val="000000" w:themeColor="text1"/>
          <w:sz w:val="24"/>
          <w:szCs w:val="24"/>
          <w:lang w:eastAsia="en-GB"/>
        </w:rPr>
        <w:t xml:space="preserve"> </w:t>
      </w:r>
      <w:proofErr w:type="spellStart"/>
      <w:r w:rsidRPr="007F32A3">
        <w:rPr>
          <w:rFonts w:ascii="Times New Roman" w:eastAsia="Times New Roman" w:hAnsi="Times New Roman" w:cs="Times New Roman"/>
          <w:bCs/>
          <w:color w:val="000000" w:themeColor="text1"/>
          <w:sz w:val="24"/>
          <w:szCs w:val="24"/>
          <w:lang w:eastAsia="en-GB"/>
        </w:rPr>
        <w:t>Domina</w:t>
      </w:r>
      <w:proofErr w:type="spellEnd"/>
      <w:r w:rsidRPr="007F32A3">
        <w:rPr>
          <w:rFonts w:ascii="Times New Roman" w:eastAsia="Times New Roman" w:hAnsi="Times New Roman" w:cs="Times New Roman"/>
          <w:bCs/>
          <w:color w:val="000000" w:themeColor="text1"/>
          <w:sz w:val="24"/>
          <w:szCs w:val="24"/>
          <w:lang w:eastAsia="en-GB"/>
        </w:rPr>
        <w:t xml:space="preserve">, T. and </w:t>
      </w:r>
      <w:proofErr w:type="spellStart"/>
      <w:r w:rsidRPr="007F32A3">
        <w:rPr>
          <w:rFonts w:ascii="Times New Roman" w:eastAsia="Times New Roman" w:hAnsi="Times New Roman" w:cs="Times New Roman"/>
          <w:bCs/>
          <w:color w:val="000000" w:themeColor="text1"/>
          <w:sz w:val="24"/>
          <w:szCs w:val="24"/>
          <w:lang w:eastAsia="en-GB"/>
        </w:rPr>
        <w:t>Penner</w:t>
      </w:r>
      <w:proofErr w:type="spellEnd"/>
      <w:r w:rsidRPr="007F32A3">
        <w:rPr>
          <w:rFonts w:ascii="Times New Roman" w:eastAsia="Times New Roman" w:hAnsi="Times New Roman" w:cs="Times New Roman"/>
          <w:bCs/>
          <w:color w:val="000000" w:themeColor="text1"/>
          <w:sz w:val="24"/>
          <w:szCs w:val="24"/>
          <w:lang w:eastAsia="en-GB"/>
        </w:rPr>
        <w:t xml:space="preserve">, E. 2019. </w:t>
      </w:r>
      <w:r w:rsidRPr="007F32A3">
        <w:rPr>
          <w:rFonts w:ascii="Times New Roman" w:hAnsi="Times New Roman" w:cs="Times New Roman"/>
          <w:color w:val="000000" w:themeColor="text1"/>
          <w:sz w:val="24"/>
          <w:szCs w:val="24"/>
          <w:shd w:val="clear" w:color="auto" w:fill="FFFFFF"/>
        </w:rPr>
        <w:t xml:space="preserve">Teacher effects on student achievement and height. A cautionary tale. </w:t>
      </w:r>
      <w:r w:rsidRPr="007F32A3">
        <w:rPr>
          <w:rFonts w:ascii="Times New Roman" w:hAnsi="Times New Roman" w:cs="Times New Roman"/>
          <w:bCs/>
          <w:color w:val="000000" w:themeColor="text1"/>
          <w:sz w:val="24"/>
          <w:szCs w:val="24"/>
          <w:shd w:val="clear" w:color="auto" w:fill="FFFFFF"/>
        </w:rPr>
        <w:t>NBER Working Paper No. 26480.</w:t>
      </w:r>
    </w:p>
    <w:p w14:paraId="5D40150C"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7E7453B5" w14:textId="59E1754D" w:rsidR="005E2E61" w:rsidRPr="007F32A3" w:rsidRDefault="005E2E61" w:rsidP="00735D03">
      <w:pPr>
        <w:spacing w:after="0" w:line="240" w:lineRule="auto"/>
        <w:jc w:val="both"/>
        <w:rPr>
          <w:rFonts w:ascii="Times New Roman" w:eastAsia="Times New Roman" w:hAnsi="Times New Roman" w:cs="Times New Roman"/>
          <w:color w:val="000000" w:themeColor="text1"/>
          <w:sz w:val="24"/>
          <w:szCs w:val="24"/>
          <w:lang w:eastAsia="en-GB"/>
        </w:rPr>
      </w:pPr>
      <w:r w:rsidRPr="007F32A3">
        <w:rPr>
          <w:rFonts w:ascii="Times New Roman" w:eastAsia="Times New Roman" w:hAnsi="Times New Roman" w:cs="Times New Roman"/>
          <w:color w:val="000000" w:themeColor="text1"/>
          <w:sz w:val="24"/>
          <w:szCs w:val="24"/>
          <w:lang w:eastAsia="en-GB"/>
        </w:rPr>
        <w:t>Boyd, D.</w:t>
      </w:r>
      <w:r w:rsidR="006156C5">
        <w:rPr>
          <w:rFonts w:ascii="Times New Roman" w:eastAsia="Times New Roman" w:hAnsi="Times New Roman" w:cs="Times New Roman"/>
          <w:color w:val="000000" w:themeColor="text1"/>
          <w:sz w:val="24"/>
          <w:szCs w:val="24"/>
          <w:lang w:eastAsia="en-GB"/>
        </w:rPr>
        <w:t>,</w:t>
      </w:r>
      <w:r w:rsidRPr="007F32A3">
        <w:rPr>
          <w:rFonts w:ascii="Times New Roman" w:eastAsia="Times New Roman" w:hAnsi="Times New Roman" w:cs="Times New Roman"/>
          <w:color w:val="000000" w:themeColor="text1"/>
          <w:sz w:val="24"/>
          <w:szCs w:val="24"/>
          <w:lang w:eastAsia="en-GB"/>
        </w:rPr>
        <w:t xml:space="preserve"> Grossman, P.</w:t>
      </w:r>
      <w:r w:rsidR="006156C5">
        <w:rPr>
          <w:rFonts w:ascii="Times New Roman" w:eastAsia="Times New Roman" w:hAnsi="Times New Roman" w:cs="Times New Roman"/>
          <w:color w:val="000000" w:themeColor="text1"/>
          <w:sz w:val="24"/>
          <w:szCs w:val="24"/>
          <w:lang w:eastAsia="en-GB"/>
        </w:rPr>
        <w:t>,</w:t>
      </w:r>
      <w:r w:rsidRPr="007F32A3">
        <w:rPr>
          <w:rFonts w:ascii="Times New Roman" w:eastAsia="Times New Roman" w:hAnsi="Times New Roman" w:cs="Times New Roman"/>
          <w:color w:val="000000" w:themeColor="text1"/>
          <w:sz w:val="24"/>
          <w:szCs w:val="24"/>
          <w:lang w:eastAsia="en-GB"/>
        </w:rPr>
        <w:t xml:space="preserve"> </w:t>
      </w:r>
      <w:proofErr w:type="spellStart"/>
      <w:r w:rsidRPr="007F32A3">
        <w:rPr>
          <w:rFonts w:ascii="Times New Roman" w:eastAsia="Times New Roman" w:hAnsi="Times New Roman" w:cs="Times New Roman"/>
          <w:color w:val="000000" w:themeColor="text1"/>
          <w:sz w:val="24"/>
          <w:szCs w:val="24"/>
          <w:lang w:eastAsia="en-GB"/>
        </w:rPr>
        <w:t>Ing</w:t>
      </w:r>
      <w:proofErr w:type="spellEnd"/>
      <w:r w:rsidRPr="007F32A3">
        <w:rPr>
          <w:rFonts w:ascii="Times New Roman" w:eastAsia="Times New Roman" w:hAnsi="Times New Roman" w:cs="Times New Roman"/>
          <w:color w:val="000000" w:themeColor="text1"/>
          <w:sz w:val="24"/>
          <w:szCs w:val="24"/>
          <w:lang w:eastAsia="en-GB"/>
        </w:rPr>
        <w:t>, M.</w:t>
      </w:r>
      <w:r w:rsidR="006156C5">
        <w:rPr>
          <w:rFonts w:ascii="Times New Roman" w:eastAsia="Times New Roman" w:hAnsi="Times New Roman" w:cs="Times New Roman"/>
          <w:color w:val="000000" w:themeColor="text1"/>
          <w:sz w:val="24"/>
          <w:szCs w:val="24"/>
          <w:lang w:eastAsia="en-GB"/>
        </w:rPr>
        <w:t>,</w:t>
      </w:r>
      <w:r w:rsidRPr="007F32A3">
        <w:rPr>
          <w:rFonts w:ascii="Times New Roman" w:eastAsia="Times New Roman" w:hAnsi="Times New Roman" w:cs="Times New Roman"/>
          <w:color w:val="000000" w:themeColor="text1"/>
          <w:sz w:val="24"/>
          <w:szCs w:val="24"/>
          <w:lang w:eastAsia="en-GB"/>
        </w:rPr>
        <w:t xml:space="preserve"> Lankford, H.</w:t>
      </w:r>
      <w:r w:rsidR="006156C5">
        <w:rPr>
          <w:rFonts w:ascii="Times New Roman" w:eastAsia="Times New Roman" w:hAnsi="Times New Roman" w:cs="Times New Roman"/>
          <w:color w:val="000000" w:themeColor="text1"/>
          <w:sz w:val="24"/>
          <w:szCs w:val="24"/>
          <w:lang w:eastAsia="en-GB"/>
        </w:rPr>
        <w:t>,</w:t>
      </w:r>
      <w:r w:rsidRPr="007F32A3">
        <w:rPr>
          <w:rFonts w:ascii="Times New Roman" w:eastAsia="Times New Roman" w:hAnsi="Times New Roman" w:cs="Times New Roman"/>
          <w:color w:val="000000" w:themeColor="text1"/>
          <w:sz w:val="24"/>
          <w:szCs w:val="24"/>
          <w:lang w:eastAsia="en-GB"/>
        </w:rPr>
        <w:t xml:space="preserve"> Loeb, S. and Wyckoff, J. 2011. The influence of school administrators on teacher retention decisions. </w:t>
      </w:r>
      <w:r w:rsidRPr="007F32A3">
        <w:rPr>
          <w:rFonts w:ascii="Times New Roman" w:eastAsia="Times New Roman" w:hAnsi="Times New Roman" w:cs="Times New Roman"/>
          <w:i/>
          <w:iCs/>
          <w:color w:val="000000" w:themeColor="text1"/>
          <w:sz w:val="24"/>
          <w:szCs w:val="24"/>
          <w:lang w:eastAsia="en-GB"/>
        </w:rPr>
        <w:t>American Educational Research Journal</w:t>
      </w:r>
      <w:r w:rsidRPr="007F32A3">
        <w:rPr>
          <w:rFonts w:ascii="Times New Roman" w:eastAsia="Times New Roman" w:hAnsi="Times New Roman" w:cs="Times New Roman"/>
          <w:color w:val="000000" w:themeColor="text1"/>
          <w:sz w:val="24"/>
          <w:szCs w:val="24"/>
          <w:lang w:eastAsia="en-GB"/>
        </w:rPr>
        <w:t> </w:t>
      </w:r>
      <w:r w:rsidRPr="007F32A3">
        <w:rPr>
          <w:rFonts w:ascii="Times New Roman" w:eastAsia="Times New Roman" w:hAnsi="Times New Roman" w:cs="Times New Roman"/>
          <w:i/>
          <w:iCs/>
          <w:color w:val="000000" w:themeColor="text1"/>
          <w:sz w:val="24"/>
          <w:szCs w:val="24"/>
          <w:lang w:eastAsia="en-GB"/>
        </w:rPr>
        <w:t>48</w:t>
      </w:r>
      <w:r w:rsidRPr="007F32A3">
        <w:rPr>
          <w:rFonts w:ascii="Times New Roman" w:eastAsia="Times New Roman" w:hAnsi="Times New Roman" w:cs="Times New Roman"/>
          <w:color w:val="000000" w:themeColor="text1"/>
          <w:sz w:val="24"/>
          <w:szCs w:val="24"/>
          <w:lang w:eastAsia="en-GB"/>
        </w:rPr>
        <w:t>(2): 303-333.</w:t>
      </w:r>
    </w:p>
    <w:p w14:paraId="4FBC4B9A"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05AD2EBD"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shd w:val="clear" w:color="auto" w:fill="FFFFFF"/>
        </w:rPr>
        <w:t>Bradbury, A. and Roberts-Holmes, G. 2018. </w:t>
      </w:r>
      <w:r w:rsidRPr="007F32A3">
        <w:rPr>
          <w:rFonts w:ascii="Times New Roman" w:hAnsi="Times New Roman" w:cs="Times New Roman"/>
          <w:i/>
          <w:iCs/>
          <w:color w:val="000000" w:themeColor="text1"/>
          <w:sz w:val="24"/>
          <w:szCs w:val="24"/>
          <w:shd w:val="clear" w:color="auto" w:fill="FFFFFF"/>
        </w:rPr>
        <w:t xml:space="preserve">The </w:t>
      </w:r>
      <w:proofErr w:type="spellStart"/>
      <w:r w:rsidRPr="007F32A3">
        <w:rPr>
          <w:rFonts w:ascii="Times New Roman" w:hAnsi="Times New Roman" w:cs="Times New Roman"/>
          <w:i/>
          <w:iCs/>
          <w:color w:val="000000" w:themeColor="text1"/>
          <w:sz w:val="24"/>
          <w:szCs w:val="24"/>
          <w:shd w:val="clear" w:color="auto" w:fill="FFFFFF"/>
        </w:rPr>
        <w:t>datafication</w:t>
      </w:r>
      <w:proofErr w:type="spellEnd"/>
      <w:r w:rsidRPr="007F32A3">
        <w:rPr>
          <w:rFonts w:ascii="Times New Roman" w:hAnsi="Times New Roman" w:cs="Times New Roman"/>
          <w:i/>
          <w:iCs/>
          <w:color w:val="000000" w:themeColor="text1"/>
          <w:sz w:val="24"/>
          <w:szCs w:val="24"/>
          <w:shd w:val="clear" w:color="auto" w:fill="FFFFFF"/>
        </w:rPr>
        <w:t xml:space="preserve"> of primary and early </w:t>
      </w:r>
      <w:proofErr w:type="gramStart"/>
      <w:r w:rsidRPr="007F32A3">
        <w:rPr>
          <w:rFonts w:ascii="Times New Roman" w:hAnsi="Times New Roman" w:cs="Times New Roman"/>
          <w:i/>
          <w:iCs/>
          <w:color w:val="000000" w:themeColor="text1"/>
          <w:sz w:val="24"/>
          <w:szCs w:val="24"/>
          <w:shd w:val="clear" w:color="auto" w:fill="FFFFFF"/>
        </w:rPr>
        <w:t>years</w:t>
      </w:r>
      <w:proofErr w:type="gramEnd"/>
      <w:r w:rsidRPr="007F32A3">
        <w:rPr>
          <w:rFonts w:ascii="Times New Roman" w:hAnsi="Times New Roman" w:cs="Times New Roman"/>
          <w:i/>
          <w:iCs/>
          <w:color w:val="000000" w:themeColor="text1"/>
          <w:sz w:val="24"/>
          <w:szCs w:val="24"/>
          <w:shd w:val="clear" w:color="auto" w:fill="FFFFFF"/>
        </w:rPr>
        <w:t xml:space="preserve"> education: Playing with numbers</w:t>
      </w:r>
      <w:r w:rsidRPr="007F32A3">
        <w:rPr>
          <w:rFonts w:ascii="Times New Roman" w:hAnsi="Times New Roman" w:cs="Times New Roman"/>
          <w:color w:val="000000" w:themeColor="text1"/>
          <w:sz w:val="24"/>
          <w:szCs w:val="24"/>
          <w:shd w:val="clear" w:color="auto" w:fill="FFFFFF"/>
        </w:rPr>
        <w:t>. Routledge.</w:t>
      </w:r>
    </w:p>
    <w:p w14:paraId="5FE6A954" w14:textId="77777777" w:rsidR="005E2E61" w:rsidRPr="007F32A3" w:rsidRDefault="005E2E61" w:rsidP="00735D03">
      <w:pPr>
        <w:pStyle w:val="textbox"/>
        <w:shd w:val="clear" w:color="auto" w:fill="FFFFFF"/>
        <w:spacing w:before="0" w:beforeAutospacing="0" w:after="0" w:afterAutospacing="0"/>
        <w:jc w:val="both"/>
        <w:rPr>
          <w:rStyle w:val="authors"/>
          <w:rFonts w:eastAsiaTheme="minorEastAsia"/>
          <w:color w:val="000000" w:themeColor="text1"/>
        </w:rPr>
      </w:pPr>
    </w:p>
    <w:p w14:paraId="2EFADCD9" w14:textId="612B7C3A" w:rsidR="005E2E61" w:rsidRPr="007F32A3" w:rsidRDefault="005E2E61" w:rsidP="00735D03">
      <w:pPr>
        <w:spacing w:after="0" w:line="240" w:lineRule="auto"/>
        <w:jc w:val="both"/>
        <w:rPr>
          <w:rFonts w:ascii="Times New Roman" w:eastAsia="Times New Roman" w:hAnsi="Times New Roman" w:cs="Times New Roman"/>
          <w:bCs/>
          <w:color w:val="000000" w:themeColor="text1"/>
          <w:sz w:val="24"/>
          <w:szCs w:val="24"/>
          <w:lang w:eastAsia="en-GB"/>
        </w:rPr>
      </w:pPr>
      <w:r w:rsidRPr="007F32A3">
        <w:rPr>
          <w:rFonts w:ascii="Times New Roman" w:eastAsia="Times New Roman" w:hAnsi="Times New Roman" w:cs="Times New Roman"/>
          <w:bCs/>
          <w:color w:val="000000" w:themeColor="text1"/>
          <w:sz w:val="24"/>
          <w:szCs w:val="24"/>
          <w:lang w:eastAsia="en-GB"/>
        </w:rPr>
        <w:t>Brill, F.</w:t>
      </w:r>
      <w:r w:rsidR="006156C5">
        <w:rPr>
          <w:rFonts w:ascii="Times New Roman" w:eastAsia="Times New Roman" w:hAnsi="Times New Roman" w:cs="Times New Roman"/>
          <w:bCs/>
          <w:color w:val="000000" w:themeColor="text1"/>
          <w:sz w:val="24"/>
          <w:szCs w:val="24"/>
          <w:lang w:eastAsia="en-GB"/>
        </w:rPr>
        <w:t>,</w:t>
      </w:r>
      <w:r w:rsidRPr="007F32A3">
        <w:rPr>
          <w:rFonts w:ascii="Times New Roman" w:eastAsia="Times New Roman" w:hAnsi="Times New Roman" w:cs="Times New Roman"/>
          <w:bCs/>
          <w:color w:val="000000" w:themeColor="text1"/>
          <w:sz w:val="24"/>
          <w:szCs w:val="24"/>
          <w:lang w:eastAsia="en-GB"/>
        </w:rPr>
        <w:t xml:space="preserve"> Grayson, H.</w:t>
      </w:r>
      <w:r w:rsidR="006156C5">
        <w:rPr>
          <w:rFonts w:ascii="Times New Roman" w:eastAsia="Times New Roman" w:hAnsi="Times New Roman" w:cs="Times New Roman"/>
          <w:bCs/>
          <w:color w:val="000000" w:themeColor="text1"/>
          <w:sz w:val="24"/>
          <w:szCs w:val="24"/>
          <w:lang w:eastAsia="en-GB"/>
        </w:rPr>
        <w:t>,</w:t>
      </w:r>
      <w:r w:rsidRPr="007F32A3">
        <w:rPr>
          <w:rFonts w:ascii="Times New Roman" w:eastAsia="Times New Roman" w:hAnsi="Times New Roman" w:cs="Times New Roman"/>
          <w:bCs/>
          <w:color w:val="000000" w:themeColor="text1"/>
          <w:sz w:val="24"/>
          <w:szCs w:val="24"/>
          <w:lang w:eastAsia="en-GB"/>
        </w:rPr>
        <w:t xml:space="preserve"> Kuhn, L. and O’Donnell, S. 2018. What impact does accountability have on curriculum, standards and engagement in education? A literature review. Slough: NFER. Accessed 09/01/2020 from </w:t>
      </w:r>
      <w:hyperlink r:id="rId73" w:history="1">
        <w:r w:rsidRPr="007F32A3">
          <w:rPr>
            <w:rStyle w:val="Hyperlink"/>
            <w:rFonts w:ascii="Times New Roman" w:eastAsia="Times New Roman" w:hAnsi="Times New Roman" w:cs="Times New Roman"/>
            <w:bCs/>
            <w:color w:val="000000" w:themeColor="text1"/>
            <w:sz w:val="24"/>
            <w:szCs w:val="24"/>
            <w:u w:val="none"/>
            <w:lang w:eastAsia="en-GB"/>
          </w:rPr>
          <w:t>https://www.nfer.ac.uk/media/3032/nfer_accountability_literature_review_2018.pdf</w:t>
        </w:r>
      </w:hyperlink>
      <w:r w:rsidRPr="007F32A3">
        <w:rPr>
          <w:rFonts w:ascii="Times New Roman" w:eastAsia="Times New Roman" w:hAnsi="Times New Roman" w:cs="Times New Roman"/>
          <w:bCs/>
          <w:color w:val="000000" w:themeColor="text1"/>
          <w:sz w:val="24"/>
          <w:szCs w:val="24"/>
          <w:lang w:eastAsia="en-GB"/>
        </w:rPr>
        <w:t xml:space="preserve"> </w:t>
      </w:r>
    </w:p>
    <w:p w14:paraId="71B09D63" w14:textId="77777777" w:rsidR="005E2E61" w:rsidRPr="007F32A3" w:rsidRDefault="005E2E61" w:rsidP="00735D03">
      <w:pPr>
        <w:pStyle w:val="textbox"/>
        <w:shd w:val="clear" w:color="auto" w:fill="FFFFFF"/>
        <w:spacing w:before="0" w:beforeAutospacing="0" w:after="0" w:afterAutospacing="0"/>
        <w:jc w:val="both"/>
        <w:rPr>
          <w:rStyle w:val="authors"/>
          <w:rFonts w:eastAsiaTheme="minorEastAsia"/>
          <w:color w:val="000000" w:themeColor="text1"/>
        </w:rPr>
      </w:pPr>
    </w:p>
    <w:p w14:paraId="1F92D2A8" w14:textId="5C499B7B" w:rsidR="005E2E61" w:rsidRPr="007F32A3" w:rsidRDefault="005E2E61" w:rsidP="00735D03">
      <w:pPr>
        <w:pStyle w:val="textbox"/>
        <w:shd w:val="clear" w:color="auto" w:fill="FFFFFF"/>
        <w:spacing w:before="0" w:beforeAutospacing="0" w:after="0" w:afterAutospacing="0"/>
        <w:jc w:val="both"/>
        <w:rPr>
          <w:color w:val="000000" w:themeColor="text1"/>
        </w:rPr>
      </w:pPr>
      <w:r w:rsidRPr="007F32A3">
        <w:rPr>
          <w:rStyle w:val="authors"/>
          <w:rFonts w:eastAsiaTheme="minorEastAsia"/>
          <w:color w:val="000000" w:themeColor="text1"/>
        </w:rPr>
        <w:t>Bryson, A.</w:t>
      </w:r>
      <w:r w:rsidR="006156C5">
        <w:rPr>
          <w:rStyle w:val="authors"/>
          <w:rFonts w:eastAsiaTheme="minorEastAsia"/>
          <w:color w:val="000000" w:themeColor="text1"/>
        </w:rPr>
        <w:t>,</w:t>
      </w:r>
      <w:r w:rsidRPr="007F32A3">
        <w:rPr>
          <w:rStyle w:val="authors"/>
          <w:rFonts w:eastAsiaTheme="minorEastAsia"/>
          <w:color w:val="000000" w:themeColor="text1"/>
        </w:rPr>
        <w:t xml:space="preserve"> Stokes, L. and Wilkinson, D.</w:t>
      </w:r>
      <w:r w:rsidRPr="007F32A3">
        <w:rPr>
          <w:color w:val="000000" w:themeColor="text1"/>
        </w:rPr>
        <w:t xml:space="preserve"> </w:t>
      </w:r>
      <w:r w:rsidRPr="007F32A3">
        <w:rPr>
          <w:rStyle w:val="Date1"/>
          <w:rFonts w:eastAsiaTheme="majorEastAsia"/>
          <w:color w:val="000000" w:themeColor="text1"/>
        </w:rPr>
        <w:t>2019.</w:t>
      </w:r>
      <w:r w:rsidRPr="007F32A3">
        <w:rPr>
          <w:color w:val="000000" w:themeColor="text1"/>
        </w:rPr>
        <w:t xml:space="preserve"> </w:t>
      </w:r>
      <w:r w:rsidRPr="007F32A3">
        <w:rPr>
          <w:rStyle w:val="arttitle"/>
          <w:rFonts w:eastAsiaTheme="minorEastAsia"/>
          <w:color w:val="000000" w:themeColor="text1"/>
        </w:rPr>
        <w:t>Who is better off? Wellbeing and commitment among staff in schools and elsewhere.</w:t>
      </w:r>
      <w:r w:rsidRPr="007F32A3">
        <w:rPr>
          <w:color w:val="000000" w:themeColor="text1"/>
        </w:rPr>
        <w:t xml:space="preserve"> </w:t>
      </w:r>
      <w:r w:rsidRPr="007F32A3">
        <w:rPr>
          <w:rStyle w:val="serialtitle"/>
          <w:i/>
          <w:iCs/>
          <w:color w:val="000000" w:themeColor="text1"/>
        </w:rPr>
        <w:t>Education Economics</w:t>
      </w:r>
      <w:r w:rsidRPr="007F32A3">
        <w:rPr>
          <w:color w:val="000000" w:themeColor="text1"/>
        </w:rPr>
        <w:t xml:space="preserve"> </w:t>
      </w:r>
      <w:r w:rsidRPr="007F32A3">
        <w:rPr>
          <w:rStyle w:val="doilink"/>
          <w:color w:val="000000" w:themeColor="text1"/>
        </w:rPr>
        <w:t xml:space="preserve">DOI: </w:t>
      </w:r>
      <w:hyperlink r:id="rId74" w:history="1">
        <w:r w:rsidRPr="007F32A3">
          <w:rPr>
            <w:rStyle w:val="Hyperlink"/>
            <w:rFonts w:eastAsiaTheme="minorEastAsia"/>
            <w:color w:val="000000" w:themeColor="text1"/>
            <w:u w:val="none"/>
          </w:rPr>
          <w:t>10.1080/09645292.2019.1623178</w:t>
        </w:r>
      </w:hyperlink>
    </w:p>
    <w:p w14:paraId="5EA83BE4"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lang w:eastAsia="en-GB"/>
        </w:rPr>
      </w:pPr>
    </w:p>
    <w:p w14:paraId="4DB03B8D" w14:textId="77777777" w:rsidR="00D874FA" w:rsidRDefault="005E2E61" w:rsidP="00D874FA">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Bueno, C. and Sass, T. R. 2018. The effects of differential pay on teacher recruitment, retention and quality. Accessed 07/07/2020 from http://sites.gsu. </w:t>
      </w:r>
      <w:proofErr w:type="gramStart"/>
      <w:r w:rsidRPr="007F32A3">
        <w:rPr>
          <w:rFonts w:ascii="Times New Roman" w:hAnsi="Times New Roman" w:cs="Times New Roman"/>
          <w:color w:val="000000" w:themeColor="text1"/>
          <w:sz w:val="24"/>
          <w:szCs w:val="24"/>
        </w:rPr>
        <w:t>edu/cbueno1/files/2014/02/The-Effects-of-Differential-Pay-on-Teacher-Recruitment-</w:t>
      </w:r>
      <w:proofErr w:type="gramEnd"/>
      <w:r w:rsidRPr="007F32A3">
        <w:rPr>
          <w:rFonts w:ascii="Times New Roman" w:hAnsi="Times New Roman" w:cs="Times New Roman"/>
          <w:color w:val="000000" w:themeColor="text1"/>
          <w:sz w:val="24"/>
          <w:szCs w:val="24"/>
        </w:rPr>
        <w:t xml:space="preserve"> 9b-plus-abstract-2bjl269.pdf </w:t>
      </w:r>
    </w:p>
    <w:p w14:paraId="27B56C8E" w14:textId="77777777" w:rsidR="00D874FA" w:rsidRDefault="00D874FA" w:rsidP="00D874FA">
      <w:pPr>
        <w:spacing w:after="0" w:line="240" w:lineRule="auto"/>
        <w:jc w:val="both"/>
        <w:rPr>
          <w:rFonts w:ascii="Times New Roman" w:hAnsi="Times New Roman" w:cs="Times New Roman"/>
          <w:color w:val="000000" w:themeColor="text1"/>
          <w:sz w:val="24"/>
          <w:szCs w:val="24"/>
        </w:rPr>
      </w:pPr>
    </w:p>
    <w:p w14:paraId="24067582" w14:textId="6D2E63BE" w:rsidR="00D874FA" w:rsidRPr="00D874FA" w:rsidRDefault="00D874FA" w:rsidP="00D874FA">
      <w:pPr>
        <w:spacing w:after="0" w:line="240" w:lineRule="auto"/>
        <w:jc w:val="both"/>
        <w:rPr>
          <w:rFonts w:ascii="Times New Roman" w:hAnsi="Times New Roman" w:cs="Times New Roman"/>
          <w:color w:val="000000" w:themeColor="text1"/>
          <w:sz w:val="24"/>
          <w:szCs w:val="24"/>
        </w:rPr>
      </w:pPr>
      <w:r w:rsidRPr="00D874FA">
        <w:rPr>
          <w:rStyle w:val="hlfld-contribauthor"/>
          <w:rFonts w:ascii="Times New Roman" w:hAnsi="Times New Roman" w:cs="Times New Roman"/>
          <w:color w:val="333333"/>
          <w:sz w:val="24"/>
          <w:szCs w:val="24"/>
        </w:rPr>
        <w:t>Bulman, </w:t>
      </w:r>
      <w:r w:rsidRPr="00D874FA">
        <w:rPr>
          <w:rStyle w:val="nlmgiven-names"/>
          <w:rFonts w:ascii="Times New Roman" w:hAnsi="Times New Roman" w:cs="Times New Roman"/>
          <w:color w:val="333333"/>
          <w:sz w:val="24"/>
          <w:szCs w:val="24"/>
        </w:rPr>
        <w:t>M.</w:t>
      </w:r>
      <w:r w:rsidRPr="00D874FA">
        <w:rPr>
          <w:rFonts w:ascii="Times New Roman" w:hAnsi="Times New Roman" w:cs="Times New Roman"/>
          <w:color w:val="333333"/>
          <w:sz w:val="24"/>
          <w:szCs w:val="24"/>
        </w:rPr>
        <w:t> </w:t>
      </w:r>
      <w:r w:rsidRPr="00D874FA">
        <w:rPr>
          <w:rStyle w:val="nlmyear"/>
          <w:rFonts w:ascii="Times New Roman" w:hAnsi="Times New Roman" w:cs="Times New Roman"/>
          <w:color w:val="333333"/>
          <w:sz w:val="24"/>
          <w:szCs w:val="24"/>
        </w:rPr>
        <w:t>2018</w:t>
      </w:r>
      <w:r w:rsidRPr="00D874FA">
        <w:rPr>
          <w:rFonts w:ascii="Times New Roman" w:hAnsi="Times New Roman" w:cs="Times New Roman"/>
          <w:color w:val="333333"/>
          <w:sz w:val="24"/>
          <w:szCs w:val="24"/>
        </w:rPr>
        <w:t>. </w:t>
      </w:r>
      <w:r w:rsidRPr="00D874FA">
        <w:rPr>
          <w:rStyle w:val="nlmarticle-title"/>
          <w:rFonts w:ascii="Times New Roman" w:hAnsi="Times New Roman" w:cs="Times New Roman"/>
          <w:color w:val="333333"/>
          <w:sz w:val="24"/>
          <w:szCs w:val="24"/>
        </w:rPr>
        <w:t>More than half of teachers have been diagnosed with mental health issues, study shows</w:t>
      </w:r>
      <w:r w:rsidRPr="00D874FA">
        <w:rPr>
          <w:rFonts w:ascii="Times New Roman" w:hAnsi="Times New Roman" w:cs="Times New Roman"/>
          <w:color w:val="333333"/>
          <w:sz w:val="24"/>
          <w:szCs w:val="24"/>
        </w:rPr>
        <w:t>. </w:t>
      </w:r>
      <w:r w:rsidRPr="00D874FA">
        <w:rPr>
          <w:rFonts w:ascii="Times New Roman" w:hAnsi="Times New Roman" w:cs="Times New Roman"/>
          <w:i/>
          <w:iCs/>
          <w:color w:val="333333"/>
          <w:sz w:val="24"/>
          <w:szCs w:val="24"/>
        </w:rPr>
        <w:t>The Independent 23rd January 2018</w:t>
      </w:r>
      <w:r w:rsidRPr="00D874FA">
        <w:rPr>
          <w:rFonts w:ascii="Times New Roman" w:hAnsi="Times New Roman" w:cs="Times New Roman"/>
          <w:color w:val="333333"/>
          <w:sz w:val="24"/>
          <w:szCs w:val="24"/>
        </w:rPr>
        <w:t>. Accessed 26/03/2021 from </w:t>
      </w:r>
      <w:hyperlink r:id="rId75" w:tgtFrame="_blank" w:history="1">
        <w:r w:rsidRPr="00D874FA">
          <w:rPr>
            <w:rStyle w:val="Hyperlink"/>
            <w:rFonts w:ascii="Times New Roman" w:hAnsi="Times New Roman" w:cs="Times New Roman"/>
            <w:color w:val="10147E"/>
            <w:sz w:val="24"/>
            <w:szCs w:val="24"/>
          </w:rPr>
          <w:t>https://www.independent.co.uk/news/uk/home-news/uk-teachers-mental-health-diagnose-issues-targets-education-school-pupils-exams-a8174101.html</w:t>
        </w:r>
      </w:hyperlink>
      <w:r w:rsidRPr="00D874FA">
        <w:rPr>
          <w:rFonts w:ascii="Times New Roman" w:hAnsi="Times New Roman" w:cs="Times New Roman"/>
          <w:color w:val="333333"/>
          <w:sz w:val="24"/>
          <w:szCs w:val="24"/>
        </w:rPr>
        <w:t> (</w:t>
      </w:r>
      <w:r w:rsidRPr="00D874FA">
        <w:rPr>
          <w:rStyle w:val="nlmdate-in-citation"/>
          <w:rFonts w:ascii="Times New Roman" w:hAnsi="Times New Roman" w:cs="Times New Roman"/>
          <w:color w:val="333333"/>
          <w:sz w:val="24"/>
          <w:szCs w:val="24"/>
        </w:rPr>
        <w:t>accessed </w:t>
      </w:r>
      <w:r w:rsidRPr="00D874FA">
        <w:rPr>
          <w:rStyle w:val="nlmday"/>
          <w:rFonts w:ascii="Times New Roman" w:hAnsi="Times New Roman" w:cs="Times New Roman"/>
          <w:color w:val="333333"/>
          <w:sz w:val="24"/>
          <w:szCs w:val="24"/>
        </w:rPr>
        <w:t>19</w:t>
      </w:r>
      <w:r w:rsidRPr="00D874FA">
        <w:rPr>
          <w:rStyle w:val="nlmdate-in-citation"/>
          <w:rFonts w:ascii="Times New Roman" w:hAnsi="Times New Roman" w:cs="Times New Roman"/>
          <w:color w:val="333333"/>
          <w:sz w:val="24"/>
          <w:szCs w:val="24"/>
        </w:rPr>
        <w:t> </w:t>
      </w:r>
      <w:r w:rsidRPr="00D874FA">
        <w:rPr>
          <w:rStyle w:val="nlmmonth"/>
          <w:rFonts w:ascii="Times New Roman" w:hAnsi="Times New Roman" w:cs="Times New Roman"/>
          <w:color w:val="333333"/>
          <w:sz w:val="24"/>
          <w:szCs w:val="24"/>
        </w:rPr>
        <w:t>July</w:t>
      </w:r>
      <w:r w:rsidRPr="00D874FA">
        <w:rPr>
          <w:rStyle w:val="nlmdate-in-citation"/>
          <w:rFonts w:ascii="Times New Roman" w:hAnsi="Times New Roman" w:cs="Times New Roman"/>
          <w:color w:val="333333"/>
          <w:sz w:val="24"/>
          <w:szCs w:val="24"/>
        </w:rPr>
        <w:t>2019</w:t>
      </w:r>
      <w:r w:rsidRPr="00D874FA">
        <w:rPr>
          <w:rFonts w:ascii="Times New Roman" w:hAnsi="Times New Roman" w:cs="Times New Roman"/>
          <w:color w:val="333333"/>
          <w:sz w:val="24"/>
          <w:szCs w:val="24"/>
        </w:rPr>
        <w:t>) </w:t>
      </w:r>
      <w:hyperlink r:id="rId76" w:tgtFrame="_blank" w:history="1">
        <w:r w:rsidRPr="00D874FA">
          <w:rPr>
            <w:rStyle w:val="Hyperlink"/>
            <w:rFonts w:ascii="Times New Roman" w:hAnsi="Times New Roman" w:cs="Times New Roman"/>
            <w:color w:val="10147E"/>
            <w:sz w:val="24"/>
            <w:szCs w:val="24"/>
          </w:rPr>
          <w:t>[Google Scholar]</w:t>
        </w:r>
      </w:hyperlink>
    </w:p>
    <w:p w14:paraId="37A1C370" w14:textId="3C173260" w:rsidR="00D874FA" w:rsidRPr="00D874FA" w:rsidRDefault="00D874FA" w:rsidP="00D874FA">
      <w:pPr>
        <w:spacing w:before="100" w:beforeAutospacing="1" w:after="100" w:afterAutospacing="1" w:line="240" w:lineRule="auto"/>
        <w:jc w:val="both"/>
        <w:rPr>
          <w:rFonts w:ascii="Times New Roman" w:hAnsi="Times New Roman" w:cs="Times New Roman"/>
          <w:b/>
          <w:bCs/>
          <w:color w:val="333333"/>
          <w:sz w:val="24"/>
          <w:szCs w:val="24"/>
        </w:rPr>
      </w:pPr>
      <w:r w:rsidRPr="00D874FA">
        <w:rPr>
          <w:rStyle w:val="hlfld-contribauthor"/>
          <w:rFonts w:ascii="Times New Roman" w:hAnsi="Times New Roman" w:cs="Times New Roman"/>
          <w:color w:val="333333"/>
          <w:sz w:val="24"/>
          <w:szCs w:val="24"/>
        </w:rPr>
        <w:t>Busby, </w:t>
      </w:r>
      <w:r w:rsidRPr="00D874FA">
        <w:rPr>
          <w:rStyle w:val="nlmgiven-names"/>
          <w:rFonts w:ascii="Times New Roman" w:hAnsi="Times New Roman" w:cs="Times New Roman"/>
          <w:color w:val="333333"/>
          <w:sz w:val="24"/>
          <w:szCs w:val="24"/>
        </w:rPr>
        <w:t>E.</w:t>
      </w:r>
      <w:r w:rsidRPr="00D874FA">
        <w:rPr>
          <w:rFonts w:ascii="Times New Roman" w:hAnsi="Times New Roman" w:cs="Times New Roman"/>
          <w:color w:val="333333"/>
          <w:sz w:val="24"/>
          <w:szCs w:val="24"/>
        </w:rPr>
        <w:t> </w:t>
      </w:r>
      <w:r w:rsidRPr="00D874FA">
        <w:rPr>
          <w:rStyle w:val="nlmyear"/>
          <w:rFonts w:ascii="Times New Roman" w:hAnsi="Times New Roman" w:cs="Times New Roman"/>
          <w:color w:val="333333"/>
          <w:sz w:val="24"/>
          <w:szCs w:val="24"/>
        </w:rPr>
        <w:t>2018</w:t>
      </w:r>
      <w:r w:rsidRPr="00D874FA">
        <w:rPr>
          <w:rFonts w:ascii="Times New Roman" w:hAnsi="Times New Roman" w:cs="Times New Roman"/>
          <w:color w:val="333333"/>
          <w:sz w:val="24"/>
          <w:szCs w:val="24"/>
        </w:rPr>
        <w:t>. </w:t>
      </w:r>
      <w:r w:rsidRPr="00D874FA">
        <w:rPr>
          <w:rStyle w:val="nlmarticle-title"/>
          <w:rFonts w:ascii="Times New Roman" w:hAnsi="Times New Roman" w:cs="Times New Roman"/>
          <w:color w:val="333333"/>
          <w:sz w:val="24"/>
          <w:szCs w:val="24"/>
        </w:rPr>
        <w:t>Two in five newly qualified teachers experience mental health problems, new study reveals</w:t>
      </w:r>
      <w:r w:rsidRPr="00D874FA">
        <w:rPr>
          <w:rFonts w:ascii="Times New Roman" w:hAnsi="Times New Roman" w:cs="Times New Roman"/>
          <w:color w:val="333333"/>
          <w:sz w:val="24"/>
          <w:szCs w:val="24"/>
        </w:rPr>
        <w:t>. </w:t>
      </w:r>
      <w:r w:rsidRPr="00D874FA">
        <w:rPr>
          <w:rFonts w:ascii="Times New Roman" w:hAnsi="Times New Roman" w:cs="Times New Roman"/>
          <w:i/>
          <w:iCs/>
          <w:color w:val="333333"/>
          <w:sz w:val="24"/>
          <w:szCs w:val="24"/>
        </w:rPr>
        <w:t>The Independent</w:t>
      </w:r>
      <w:r w:rsidRPr="00D874FA">
        <w:rPr>
          <w:rFonts w:ascii="Times New Roman" w:hAnsi="Times New Roman" w:cs="Times New Roman"/>
          <w:color w:val="333333"/>
          <w:sz w:val="24"/>
          <w:szCs w:val="24"/>
        </w:rPr>
        <w:t> 21st October 2018. Accessed 26/03/2021 from: </w:t>
      </w:r>
      <w:hyperlink r:id="rId77" w:tgtFrame="_blank" w:history="1">
        <w:r w:rsidRPr="00D874FA">
          <w:rPr>
            <w:rStyle w:val="Hyperlink"/>
            <w:rFonts w:ascii="Times New Roman" w:hAnsi="Times New Roman" w:cs="Times New Roman"/>
            <w:color w:val="10147E"/>
            <w:sz w:val="24"/>
            <w:szCs w:val="24"/>
          </w:rPr>
          <w:t>https://www.independent.co.uk/news/education/education-news/teachers-mental-health-anxiety-panic-attacks-insomnia-education-a8592551.html</w:t>
        </w:r>
      </w:hyperlink>
      <w:r w:rsidRPr="00D874FA">
        <w:rPr>
          <w:rFonts w:ascii="Times New Roman" w:hAnsi="Times New Roman" w:cs="Times New Roman"/>
          <w:color w:val="333333"/>
          <w:sz w:val="24"/>
          <w:szCs w:val="24"/>
        </w:rPr>
        <w:t> </w:t>
      </w:r>
      <w:r w:rsidRPr="00D874FA">
        <w:rPr>
          <w:rFonts w:ascii="Times New Roman" w:hAnsi="Times New Roman" w:cs="Times New Roman"/>
          <w:b/>
          <w:bCs/>
          <w:color w:val="333333"/>
          <w:sz w:val="24"/>
          <w:szCs w:val="24"/>
        </w:rPr>
        <w:t xml:space="preserve"> </w:t>
      </w:r>
    </w:p>
    <w:p w14:paraId="2EFA4F42" w14:textId="77777777" w:rsidR="005E2E61" w:rsidRPr="007F32A3" w:rsidRDefault="005E2E61" w:rsidP="00735D03">
      <w:pPr>
        <w:pStyle w:val="textbox"/>
        <w:shd w:val="clear" w:color="auto" w:fill="FFFFFF"/>
        <w:spacing w:before="0" w:beforeAutospacing="0" w:after="0" w:afterAutospacing="0"/>
        <w:jc w:val="both"/>
        <w:rPr>
          <w:color w:val="000000" w:themeColor="text1"/>
          <w:shd w:val="clear" w:color="auto" w:fill="FFFFFF"/>
        </w:rPr>
      </w:pPr>
      <w:r w:rsidRPr="007F32A3">
        <w:rPr>
          <w:color w:val="000000" w:themeColor="text1"/>
          <w:shd w:val="clear" w:color="auto" w:fill="FFFFFF"/>
        </w:rPr>
        <w:t xml:space="preserve">Cameron, D. 2010. PM speech on wellbeing. Accessed 07/07/2020 from </w:t>
      </w:r>
      <w:hyperlink r:id="rId78" w:history="1">
        <w:r w:rsidRPr="007F32A3">
          <w:rPr>
            <w:rStyle w:val="Hyperlink"/>
            <w:color w:val="000000" w:themeColor="text1"/>
            <w:shd w:val="clear" w:color="auto" w:fill="FFFFFF"/>
          </w:rPr>
          <w:t>https://www.gov.uk/government/speeches/pm-speech-on-wellbeing</w:t>
        </w:r>
      </w:hyperlink>
      <w:r w:rsidRPr="007F32A3">
        <w:rPr>
          <w:color w:val="000000" w:themeColor="text1"/>
          <w:shd w:val="clear" w:color="auto" w:fill="FFFFFF"/>
        </w:rPr>
        <w:t xml:space="preserve"> </w:t>
      </w:r>
    </w:p>
    <w:p w14:paraId="53BF5E4F" w14:textId="77777777" w:rsidR="005E2E61" w:rsidRPr="007F32A3" w:rsidRDefault="005E2E61" w:rsidP="00735D03">
      <w:pPr>
        <w:pStyle w:val="textbox"/>
        <w:shd w:val="clear" w:color="auto" w:fill="FFFFFF"/>
        <w:spacing w:before="0" w:beforeAutospacing="0" w:after="0" w:afterAutospacing="0"/>
        <w:ind w:left="720" w:hanging="720"/>
        <w:jc w:val="both"/>
        <w:rPr>
          <w:color w:val="000000" w:themeColor="text1"/>
          <w:shd w:val="clear" w:color="auto" w:fill="FFFFFF"/>
        </w:rPr>
      </w:pPr>
    </w:p>
    <w:p w14:paraId="6F91E12D" w14:textId="77777777" w:rsidR="005E2E61" w:rsidRPr="007F32A3" w:rsidRDefault="005E2E61" w:rsidP="00735D03">
      <w:pPr>
        <w:pStyle w:val="textbox"/>
        <w:shd w:val="clear" w:color="auto" w:fill="FFFFFF"/>
        <w:spacing w:before="0" w:beforeAutospacing="0" w:after="0" w:afterAutospacing="0"/>
        <w:jc w:val="both"/>
        <w:rPr>
          <w:color w:val="000000" w:themeColor="text1"/>
        </w:rPr>
      </w:pPr>
      <w:r w:rsidRPr="007F32A3">
        <w:rPr>
          <w:color w:val="000000" w:themeColor="text1"/>
        </w:rPr>
        <w:t xml:space="preserve">Chadi, A. and </w:t>
      </w:r>
      <w:proofErr w:type="spellStart"/>
      <w:r w:rsidRPr="007F32A3">
        <w:rPr>
          <w:color w:val="000000" w:themeColor="text1"/>
        </w:rPr>
        <w:t>Hetschko</w:t>
      </w:r>
      <w:proofErr w:type="spellEnd"/>
      <w:r w:rsidRPr="007F32A3">
        <w:rPr>
          <w:color w:val="000000" w:themeColor="text1"/>
        </w:rPr>
        <w:t>, C. 2018. The magic of the new: How job changes affect job satisfaction. </w:t>
      </w:r>
      <w:r w:rsidRPr="007F32A3">
        <w:rPr>
          <w:i/>
          <w:iCs/>
          <w:color w:val="000000" w:themeColor="text1"/>
        </w:rPr>
        <w:t>Journal of Economics &amp; Management Strategy</w:t>
      </w:r>
      <w:r w:rsidRPr="007F32A3">
        <w:rPr>
          <w:color w:val="000000" w:themeColor="text1"/>
        </w:rPr>
        <w:t> </w:t>
      </w:r>
      <w:r w:rsidRPr="007F32A3">
        <w:rPr>
          <w:i/>
          <w:iCs/>
          <w:color w:val="000000" w:themeColor="text1"/>
        </w:rPr>
        <w:t>27</w:t>
      </w:r>
      <w:r w:rsidRPr="007F32A3">
        <w:rPr>
          <w:color w:val="000000" w:themeColor="text1"/>
        </w:rPr>
        <w:t>(1): 23-39.</w:t>
      </w:r>
    </w:p>
    <w:p w14:paraId="4A786B71" w14:textId="77777777" w:rsidR="005E2E61" w:rsidRPr="007F32A3" w:rsidRDefault="005E2E61" w:rsidP="00735D03">
      <w:pPr>
        <w:pStyle w:val="textbox"/>
        <w:shd w:val="clear" w:color="auto" w:fill="FFFFFF"/>
        <w:spacing w:before="0" w:beforeAutospacing="0" w:after="0" w:afterAutospacing="0"/>
        <w:jc w:val="both"/>
        <w:rPr>
          <w:color w:val="000000" w:themeColor="text1"/>
          <w:shd w:val="clear" w:color="auto" w:fill="FFFFFF"/>
        </w:rPr>
      </w:pPr>
    </w:p>
    <w:p w14:paraId="08BE9DB4" w14:textId="77777777" w:rsidR="005E2E61" w:rsidRPr="007F32A3" w:rsidRDefault="005E2E61" w:rsidP="00735D03">
      <w:pPr>
        <w:pStyle w:val="textbox"/>
        <w:shd w:val="clear" w:color="auto" w:fill="FFFFFF"/>
        <w:spacing w:before="0" w:beforeAutospacing="0" w:after="0" w:afterAutospacing="0"/>
        <w:jc w:val="both"/>
        <w:rPr>
          <w:color w:val="000000" w:themeColor="text1"/>
          <w:shd w:val="clear" w:color="auto" w:fill="FFFFFF"/>
        </w:rPr>
      </w:pPr>
      <w:proofErr w:type="spellStart"/>
      <w:r w:rsidRPr="007F32A3">
        <w:rPr>
          <w:color w:val="000000" w:themeColor="text1"/>
          <w:shd w:val="clear" w:color="auto" w:fill="FFFFFF"/>
        </w:rPr>
        <w:t>Chandola</w:t>
      </w:r>
      <w:proofErr w:type="spellEnd"/>
      <w:r w:rsidRPr="007F32A3">
        <w:rPr>
          <w:color w:val="000000" w:themeColor="text1"/>
          <w:shd w:val="clear" w:color="auto" w:fill="FFFFFF"/>
        </w:rPr>
        <w:t xml:space="preserve">, T. and Zhang, N. 2017. Re-employment, job quality, health and </w:t>
      </w:r>
      <w:proofErr w:type="spellStart"/>
      <w:r w:rsidRPr="007F32A3">
        <w:rPr>
          <w:color w:val="000000" w:themeColor="text1"/>
          <w:shd w:val="clear" w:color="auto" w:fill="FFFFFF"/>
        </w:rPr>
        <w:t>allostatic</w:t>
      </w:r>
      <w:proofErr w:type="spellEnd"/>
      <w:r w:rsidRPr="007F32A3">
        <w:rPr>
          <w:color w:val="000000" w:themeColor="text1"/>
          <w:shd w:val="clear" w:color="auto" w:fill="FFFFFF"/>
        </w:rPr>
        <w:t xml:space="preserve"> load biomarkers: prospective evidence from the UK Household Longitudinal Study. </w:t>
      </w:r>
      <w:r w:rsidRPr="007F32A3">
        <w:rPr>
          <w:i/>
          <w:iCs/>
          <w:color w:val="000000" w:themeColor="text1"/>
          <w:shd w:val="clear" w:color="auto" w:fill="FFFFFF"/>
        </w:rPr>
        <w:t>International Journal of Epidemiology</w:t>
      </w:r>
      <w:r w:rsidRPr="007F32A3">
        <w:rPr>
          <w:color w:val="000000" w:themeColor="text1"/>
          <w:shd w:val="clear" w:color="auto" w:fill="FFFFFF"/>
        </w:rPr>
        <w:t> </w:t>
      </w:r>
      <w:r w:rsidRPr="007F32A3">
        <w:rPr>
          <w:i/>
          <w:iCs/>
          <w:color w:val="000000" w:themeColor="text1"/>
          <w:shd w:val="clear" w:color="auto" w:fill="FFFFFF"/>
        </w:rPr>
        <w:t>47</w:t>
      </w:r>
      <w:r w:rsidRPr="007F32A3">
        <w:rPr>
          <w:color w:val="000000" w:themeColor="text1"/>
          <w:shd w:val="clear" w:color="auto" w:fill="FFFFFF"/>
        </w:rPr>
        <w:t>(1): 47-57.</w:t>
      </w:r>
    </w:p>
    <w:p w14:paraId="13B4B917" w14:textId="77777777" w:rsidR="005E2E61" w:rsidRPr="007F32A3" w:rsidRDefault="005E2E61" w:rsidP="00735D03">
      <w:pPr>
        <w:pStyle w:val="textbox"/>
        <w:shd w:val="clear" w:color="auto" w:fill="FFFFFF"/>
        <w:spacing w:before="0" w:beforeAutospacing="0" w:after="0" w:afterAutospacing="0"/>
        <w:jc w:val="both"/>
        <w:rPr>
          <w:color w:val="000000" w:themeColor="text1"/>
          <w:shd w:val="clear" w:color="auto" w:fill="FFFFFF"/>
        </w:rPr>
      </w:pPr>
    </w:p>
    <w:p w14:paraId="172D71C3" w14:textId="77777777"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Cooper-Gibson Research. 2018. Factors affecting teacher retention: qualitative investigation. Department for Education Research Report. Accessed 13/09/2019 from </w:t>
      </w:r>
      <w:hyperlink r:id="rId79" w:history="1">
        <w:r w:rsidRPr="007F32A3">
          <w:rPr>
            <w:rStyle w:val="Hyperlink"/>
            <w:rFonts w:ascii="Times New Roman" w:hAnsi="Times New Roman" w:cs="Times New Roman"/>
            <w:color w:val="000000" w:themeColor="text1"/>
            <w:sz w:val="24"/>
            <w:szCs w:val="24"/>
          </w:rPr>
          <w:t>https://assets.publishing.service.gov.uk/government/uploads/system/uploads/attachment_data/file/686947/Factors_affecting_teacher_retention_-_qualitative_investigation.pdf</w:t>
        </w:r>
      </w:hyperlink>
      <w:r w:rsidRPr="007F32A3">
        <w:rPr>
          <w:rFonts w:ascii="Times New Roman" w:hAnsi="Times New Roman" w:cs="Times New Roman"/>
          <w:color w:val="000000" w:themeColor="text1"/>
          <w:sz w:val="24"/>
          <w:szCs w:val="24"/>
        </w:rPr>
        <w:t xml:space="preserve"> </w:t>
      </w:r>
    </w:p>
    <w:p w14:paraId="4572077A" w14:textId="77777777" w:rsidR="005E2E61" w:rsidRPr="007F32A3" w:rsidRDefault="005E2E61" w:rsidP="00735D03">
      <w:pPr>
        <w:pStyle w:val="textbox"/>
        <w:shd w:val="clear" w:color="auto" w:fill="FFFFFF"/>
        <w:spacing w:before="0" w:beforeAutospacing="0" w:after="0" w:afterAutospacing="0"/>
        <w:jc w:val="both"/>
        <w:rPr>
          <w:color w:val="000000" w:themeColor="text1"/>
          <w:shd w:val="clear" w:color="auto" w:fill="FFFFFF"/>
        </w:rPr>
      </w:pPr>
    </w:p>
    <w:p w14:paraId="4295B1A8"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r w:rsidRPr="007F32A3">
        <w:rPr>
          <w:rStyle w:val="authors"/>
          <w:color w:val="000000" w:themeColor="text1"/>
        </w:rPr>
        <w:t>Craig, C.</w:t>
      </w:r>
      <w:r w:rsidRPr="007F32A3">
        <w:rPr>
          <w:color w:val="000000" w:themeColor="text1"/>
          <w:shd w:val="clear" w:color="auto" w:fill="FFFFFF"/>
        </w:rPr>
        <w:t xml:space="preserve"> </w:t>
      </w:r>
      <w:r w:rsidRPr="007F32A3">
        <w:rPr>
          <w:rStyle w:val="Date1"/>
          <w:rFonts w:eastAsiaTheme="majorEastAsia"/>
          <w:color w:val="000000" w:themeColor="text1"/>
        </w:rPr>
        <w:t>2017.</w:t>
      </w:r>
      <w:r w:rsidRPr="007F32A3">
        <w:rPr>
          <w:color w:val="000000" w:themeColor="text1"/>
          <w:shd w:val="clear" w:color="auto" w:fill="FFFFFF"/>
        </w:rPr>
        <w:t xml:space="preserve"> </w:t>
      </w:r>
      <w:r w:rsidRPr="007F32A3">
        <w:rPr>
          <w:rStyle w:val="arttitle"/>
          <w:color w:val="000000" w:themeColor="text1"/>
        </w:rPr>
        <w:t xml:space="preserve">International teacher attrition: </w:t>
      </w:r>
      <w:proofErr w:type="spellStart"/>
      <w:r w:rsidRPr="007F32A3">
        <w:rPr>
          <w:rStyle w:val="arttitle"/>
          <w:color w:val="000000" w:themeColor="text1"/>
        </w:rPr>
        <w:t>multiperspective</w:t>
      </w:r>
      <w:proofErr w:type="spellEnd"/>
      <w:r w:rsidRPr="007F32A3">
        <w:rPr>
          <w:rStyle w:val="arttitle"/>
          <w:color w:val="000000" w:themeColor="text1"/>
        </w:rPr>
        <w:t xml:space="preserve"> views.</w:t>
      </w:r>
      <w:r w:rsidRPr="007F32A3">
        <w:rPr>
          <w:color w:val="000000" w:themeColor="text1"/>
          <w:shd w:val="clear" w:color="auto" w:fill="FFFFFF"/>
        </w:rPr>
        <w:t xml:space="preserve"> </w:t>
      </w:r>
      <w:r w:rsidRPr="007F32A3">
        <w:rPr>
          <w:rStyle w:val="serialtitle"/>
          <w:i/>
          <w:color w:val="000000" w:themeColor="text1"/>
        </w:rPr>
        <w:t>Teachers and Teaching</w:t>
      </w:r>
      <w:r w:rsidRPr="007F32A3">
        <w:rPr>
          <w:color w:val="000000" w:themeColor="text1"/>
          <w:shd w:val="clear" w:color="auto" w:fill="FFFFFF"/>
        </w:rPr>
        <w:t xml:space="preserve"> </w:t>
      </w:r>
      <w:r w:rsidRPr="007F32A3">
        <w:rPr>
          <w:rStyle w:val="volumeissue"/>
          <w:rFonts w:eastAsiaTheme="majorEastAsia"/>
          <w:color w:val="000000" w:themeColor="text1"/>
        </w:rPr>
        <w:t>23(8):</w:t>
      </w:r>
      <w:r w:rsidRPr="007F32A3">
        <w:rPr>
          <w:color w:val="000000" w:themeColor="text1"/>
          <w:shd w:val="clear" w:color="auto" w:fill="FFFFFF"/>
        </w:rPr>
        <w:t xml:space="preserve"> </w:t>
      </w:r>
      <w:r w:rsidRPr="007F32A3">
        <w:rPr>
          <w:rStyle w:val="pagerange"/>
          <w:rFonts w:eastAsiaTheme="minorEastAsia"/>
          <w:color w:val="000000" w:themeColor="text1"/>
        </w:rPr>
        <w:t>859-862.</w:t>
      </w:r>
      <w:r w:rsidRPr="007F32A3">
        <w:rPr>
          <w:color w:val="000000" w:themeColor="text1"/>
          <w:shd w:val="clear" w:color="auto" w:fill="FFFFFF"/>
        </w:rPr>
        <w:t xml:space="preserve"> </w:t>
      </w:r>
      <w:r w:rsidRPr="007F32A3">
        <w:rPr>
          <w:rStyle w:val="doilink"/>
          <w:color w:val="000000" w:themeColor="text1"/>
        </w:rPr>
        <w:t xml:space="preserve">DOI: </w:t>
      </w:r>
      <w:hyperlink r:id="rId80" w:history="1">
        <w:r w:rsidRPr="007F32A3">
          <w:rPr>
            <w:rStyle w:val="Hyperlink"/>
            <w:rFonts w:eastAsiaTheme="minorEastAsia"/>
            <w:color w:val="000000" w:themeColor="text1"/>
          </w:rPr>
          <w:t>10.1080/13540602.2017.1360860</w:t>
        </w:r>
      </w:hyperlink>
    </w:p>
    <w:p w14:paraId="03CD47D0"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75489881" w14:textId="0BA44A26"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Deakin, G.</w:t>
      </w:r>
      <w:r w:rsidR="006156C5">
        <w:rPr>
          <w:rFonts w:ascii="Times New Roman" w:hAnsi="Times New Roman" w:cs="Times New Roman"/>
          <w:color w:val="000000" w:themeColor="text1"/>
          <w:sz w:val="24"/>
          <w:szCs w:val="24"/>
        </w:rPr>
        <w:t>,</w:t>
      </w:r>
      <w:r w:rsidRPr="007F32A3">
        <w:rPr>
          <w:rFonts w:ascii="Times New Roman" w:hAnsi="Times New Roman" w:cs="Times New Roman"/>
          <w:color w:val="000000" w:themeColor="text1"/>
          <w:sz w:val="24"/>
          <w:szCs w:val="24"/>
        </w:rPr>
        <w:t xml:space="preserve"> James, N.</w:t>
      </w:r>
      <w:r w:rsidR="006156C5">
        <w:rPr>
          <w:rFonts w:ascii="Times New Roman" w:hAnsi="Times New Roman" w:cs="Times New Roman"/>
          <w:color w:val="000000" w:themeColor="text1"/>
          <w:sz w:val="24"/>
          <w:szCs w:val="24"/>
        </w:rPr>
        <w:t>,</w:t>
      </w:r>
      <w:r w:rsidRPr="007F32A3">
        <w:rPr>
          <w:rFonts w:ascii="Times New Roman" w:hAnsi="Times New Roman" w:cs="Times New Roman"/>
          <w:color w:val="000000" w:themeColor="text1"/>
          <w:sz w:val="24"/>
          <w:szCs w:val="24"/>
        </w:rPr>
        <w:t xml:space="preserve"> </w:t>
      </w:r>
      <w:proofErr w:type="spellStart"/>
      <w:r w:rsidRPr="007F32A3">
        <w:rPr>
          <w:rFonts w:ascii="Times New Roman" w:hAnsi="Times New Roman" w:cs="Times New Roman"/>
          <w:color w:val="000000" w:themeColor="text1"/>
          <w:sz w:val="24"/>
          <w:szCs w:val="24"/>
        </w:rPr>
        <w:t>Tickner</w:t>
      </w:r>
      <w:proofErr w:type="spellEnd"/>
      <w:r w:rsidRPr="007F32A3">
        <w:rPr>
          <w:rFonts w:ascii="Times New Roman" w:hAnsi="Times New Roman" w:cs="Times New Roman"/>
          <w:color w:val="000000" w:themeColor="text1"/>
          <w:sz w:val="24"/>
          <w:szCs w:val="24"/>
        </w:rPr>
        <w:t xml:space="preserve">, M. and </w:t>
      </w:r>
      <w:proofErr w:type="spellStart"/>
      <w:r w:rsidRPr="007F32A3">
        <w:rPr>
          <w:rFonts w:ascii="Times New Roman" w:hAnsi="Times New Roman" w:cs="Times New Roman"/>
          <w:color w:val="000000" w:themeColor="text1"/>
          <w:sz w:val="24"/>
          <w:szCs w:val="24"/>
        </w:rPr>
        <w:t>Tidswell</w:t>
      </w:r>
      <w:proofErr w:type="spellEnd"/>
      <w:r w:rsidRPr="007F32A3">
        <w:rPr>
          <w:rFonts w:ascii="Times New Roman" w:hAnsi="Times New Roman" w:cs="Times New Roman"/>
          <w:color w:val="000000" w:themeColor="text1"/>
          <w:sz w:val="24"/>
          <w:szCs w:val="24"/>
        </w:rPr>
        <w:t xml:space="preserve">, J. 2010. </w:t>
      </w:r>
      <w:r w:rsidRPr="007F32A3">
        <w:rPr>
          <w:rFonts w:ascii="Times New Roman" w:hAnsi="Times New Roman" w:cs="Times New Roman"/>
          <w:i/>
          <w:iCs/>
          <w:color w:val="000000" w:themeColor="text1"/>
          <w:sz w:val="24"/>
          <w:szCs w:val="24"/>
        </w:rPr>
        <w:t>Teachers’ workload diary survey 2010 (Research Report DfE-RR057)</w:t>
      </w:r>
      <w:r w:rsidRPr="007F32A3">
        <w:rPr>
          <w:rFonts w:ascii="Times New Roman" w:hAnsi="Times New Roman" w:cs="Times New Roman"/>
          <w:color w:val="000000" w:themeColor="text1"/>
          <w:sz w:val="24"/>
          <w:szCs w:val="24"/>
        </w:rPr>
        <w:t>. London: Department for Education.</w:t>
      </w:r>
    </w:p>
    <w:p w14:paraId="7D0F7190"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p>
    <w:p w14:paraId="5484A64F"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Department for Education 2018. </w:t>
      </w:r>
      <w:r w:rsidRPr="007F32A3">
        <w:rPr>
          <w:rFonts w:ascii="Times New Roman" w:hAnsi="Times New Roman" w:cs="Times New Roman"/>
          <w:iCs/>
          <w:color w:val="000000" w:themeColor="text1"/>
          <w:sz w:val="24"/>
          <w:szCs w:val="24"/>
        </w:rPr>
        <w:t>Factors affecting teacher retention: Qualitative investigation</w:t>
      </w:r>
      <w:r w:rsidRPr="007F32A3">
        <w:rPr>
          <w:rFonts w:ascii="Times New Roman" w:hAnsi="Times New Roman" w:cs="Times New Roman"/>
          <w:color w:val="000000" w:themeColor="text1"/>
          <w:sz w:val="24"/>
          <w:szCs w:val="24"/>
        </w:rPr>
        <w:t xml:space="preserve">. Accessed 05/07/2019 from </w:t>
      </w:r>
      <w:hyperlink r:id="rId81" w:history="1">
        <w:r w:rsidRPr="007F32A3">
          <w:rPr>
            <w:rStyle w:val="Hyperlink"/>
            <w:rFonts w:ascii="Times New Roman" w:hAnsi="Times New Roman" w:cs="Times New Roman"/>
            <w:color w:val="000000" w:themeColor="text1"/>
            <w:sz w:val="24"/>
            <w:szCs w:val="24"/>
            <w:u w:val="none"/>
          </w:rPr>
          <w:t>https://assets.publishing.service.gov.uk/government/uploads/system/uploads/attachment_data/file/686947/Factors_affecting_teacher_retention_-_qualitative_investigation.pdf</w:t>
        </w:r>
      </w:hyperlink>
      <w:r w:rsidRPr="007F32A3">
        <w:rPr>
          <w:rFonts w:ascii="Times New Roman" w:hAnsi="Times New Roman" w:cs="Times New Roman"/>
          <w:color w:val="000000" w:themeColor="text1"/>
          <w:sz w:val="24"/>
          <w:szCs w:val="24"/>
        </w:rPr>
        <w:t xml:space="preserve"> </w:t>
      </w:r>
    </w:p>
    <w:p w14:paraId="7FED0E6B"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444F2A63"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Department for Education. 2019a. Reducing school workload. Accessed 07/07/2020 from </w:t>
      </w:r>
      <w:hyperlink r:id="rId82" w:anchor="department-for-education-policy" w:history="1">
        <w:r w:rsidRPr="007F32A3">
          <w:rPr>
            <w:rStyle w:val="Hyperlink"/>
            <w:rFonts w:ascii="Times New Roman" w:hAnsi="Times New Roman" w:cs="Times New Roman"/>
            <w:color w:val="000000" w:themeColor="text1"/>
            <w:sz w:val="24"/>
            <w:szCs w:val="24"/>
            <w:u w:val="none"/>
          </w:rPr>
          <w:t>https://www.gov.uk/government/collections/reducing-school-workload#department-for-education-policy</w:t>
        </w:r>
      </w:hyperlink>
      <w:r w:rsidRPr="007F32A3">
        <w:rPr>
          <w:rFonts w:ascii="Times New Roman" w:hAnsi="Times New Roman" w:cs="Times New Roman"/>
          <w:color w:val="000000" w:themeColor="text1"/>
          <w:sz w:val="24"/>
          <w:szCs w:val="24"/>
        </w:rPr>
        <w:t xml:space="preserve"> </w:t>
      </w:r>
    </w:p>
    <w:p w14:paraId="2C19FA33"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lastRenderedPageBreak/>
        <w:t xml:space="preserve">Department for Education. 2019b. Teacher retention and recruitment strategy. Accessed 07/07/2020 from </w:t>
      </w:r>
      <w:hyperlink r:id="rId83" w:history="1">
        <w:r w:rsidRPr="007F32A3">
          <w:rPr>
            <w:rStyle w:val="Hyperlink"/>
            <w:rFonts w:ascii="Times New Roman" w:hAnsi="Times New Roman" w:cs="Times New Roman"/>
            <w:color w:val="000000" w:themeColor="text1"/>
            <w:sz w:val="24"/>
            <w:szCs w:val="24"/>
            <w:u w:val="none"/>
          </w:rPr>
          <w:t>https://www.gov.uk/government/publications/teacher-recruitment-and-retention-strategy</w:t>
        </w:r>
      </w:hyperlink>
      <w:r w:rsidRPr="007F32A3">
        <w:rPr>
          <w:rFonts w:ascii="Times New Roman" w:hAnsi="Times New Roman" w:cs="Times New Roman"/>
          <w:color w:val="000000" w:themeColor="text1"/>
          <w:sz w:val="24"/>
          <w:szCs w:val="24"/>
        </w:rPr>
        <w:t xml:space="preserve"> </w:t>
      </w:r>
    </w:p>
    <w:p w14:paraId="7BA02F05" w14:textId="77777777" w:rsidR="005E2E61" w:rsidRPr="007F32A3" w:rsidRDefault="005E2E61" w:rsidP="00735D03">
      <w:pPr>
        <w:pStyle w:val="Heading1"/>
        <w:spacing w:line="240" w:lineRule="auto"/>
        <w:jc w:val="both"/>
        <w:rPr>
          <w:rFonts w:ascii="Times New Roman" w:hAnsi="Times New Roman" w:cs="Times New Roman"/>
          <w:b/>
          <w:color w:val="000000" w:themeColor="text1"/>
          <w:sz w:val="24"/>
          <w:szCs w:val="24"/>
        </w:rPr>
      </w:pPr>
      <w:bookmarkStart w:id="34" w:name="_Toc67406025"/>
      <w:r w:rsidRPr="007F32A3">
        <w:rPr>
          <w:rFonts w:ascii="Times New Roman" w:hAnsi="Times New Roman" w:cs="Times New Roman"/>
          <w:color w:val="000000" w:themeColor="text1"/>
          <w:sz w:val="24"/>
          <w:szCs w:val="24"/>
        </w:rPr>
        <w:t>Department for Education. 2019c. Support on wellbeing for teachers in schools and colleges. Accessed 07/07/2020 fromhttps://www.gov.uk/government/news/support-on-wellbeing-for-teachers-in-schools-and-colleges</w:t>
      </w:r>
      <w:bookmarkEnd w:id="34"/>
    </w:p>
    <w:p w14:paraId="4B38D15F" w14:textId="77777777" w:rsidR="005E2E61" w:rsidRPr="007F32A3" w:rsidRDefault="005E2E61" w:rsidP="00735D03">
      <w:pPr>
        <w:pStyle w:val="Heading1"/>
        <w:spacing w:line="240" w:lineRule="auto"/>
        <w:jc w:val="both"/>
        <w:rPr>
          <w:rFonts w:ascii="Times New Roman" w:hAnsi="Times New Roman" w:cs="Times New Roman"/>
          <w:b/>
          <w:color w:val="000000" w:themeColor="text1"/>
          <w:sz w:val="24"/>
          <w:szCs w:val="24"/>
        </w:rPr>
      </w:pPr>
      <w:bookmarkStart w:id="35" w:name="_Toc67406026"/>
      <w:r w:rsidRPr="007F32A3">
        <w:rPr>
          <w:rFonts w:ascii="Times New Roman" w:hAnsi="Times New Roman" w:cs="Times New Roman"/>
          <w:color w:val="000000" w:themeColor="text1"/>
          <w:sz w:val="24"/>
          <w:szCs w:val="24"/>
        </w:rPr>
        <w:t xml:space="preserve">Department for Education. 2020a. </w:t>
      </w:r>
      <w:proofErr w:type="gramStart"/>
      <w:r w:rsidRPr="007F32A3">
        <w:rPr>
          <w:rFonts w:ascii="Times New Roman" w:hAnsi="Times New Roman" w:cs="Times New Roman"/>
          <w:color w:val="000000" w:themeColor="text1"/>
          <w:sz w:val="24"/>
          <w:szCs w:val="24"/>
        </w:rPr>
        <w:t>Extra</w:t>
      </w:r>
      <w:proofErr w:type="gramEnd"/>
      <w:r w:rsidRPr="007F32A3">
        <w:rPr>
          <w:rFonts w:ascii="Times New Roman" w:hAnsi="Times New Roman" w:cs="Times New Roman"/>
          <w:color w:val="000000" w:themeColor="text1"/>
          <w:sz w:val="24"/>
          <w:szCs w:val="24"/>
        </w:rPr>
        <w:t xml:space="preserve"> mental health support for pupils and teachers. Accessed 07/07/2020 from </w:t>
      </w:r>
      <w:hyperlink r:id="rId84" w:history="1">
        <w:r w:rsidRPr="007F32A3">
          <w:rPr>
            <w:rStyle w:val="Hyperlink"/>
            <w:rFonts w:ascii="Times New Roman" w:hAnsi="Times New Roman" w:cs="Times New Roman"/>
            <w:color w:val="000000" w:themeColor="text1"/>
            <w:sz w:val="24"/>
            <w:szCs w:val="24"/>
            <w:u w:val="none"/>
          </w:rPr>
          <w:t>https://www.gov.uk/government/news/extra-mental-health-support-for-pupils-and-teachers</w:t>
        </w:r>
        <w:bookmarkEnd w:id="35"/>
      </w:hyperlink>
      <w:r w:rsidRPr="007F32A3">
        <w:rPr>
          <w:rFonts w:ascii="Times New Roman" w:hAnsi="Times New Roman" w:cs="Times New Roman"/>
          <w:color w:val="000000" w:themeColor="text1"/>
          <w:sz w:val="24"/>
          <w:szCs w:val="24"/>
        </w:rPr>
        <w:t xml:space="preserve"> </w:t>
      </w:r>
    </w:p>
    <w:p w14:paraId="5DC4FB68" w14:textId="77777777"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Elliott, V. et al. 2016. </w:t>
      </w:r>
      <w:r w:rsidRPr="007F32A3">
        <w:rPr>
          <w:rFonts w:ascii="Times New Roman" w:hAnsi="Times New Roman" w:cs="Times New Roman"/>
          <w:i/>
          <w:iCs/>
          <w:color w:val="000000" w:themeColor="text1"/>
          <w:sz w:val="24"/>
          <w:szCs w:val="24"/>
        </w:rPr>
        <w:t>A marked improvement? A review of the evidence on written marking</w:t>
      </w:r>
      <w:r w:rsidRPr="007F32A3">
        <w:rPr>
          <w:rFonts w:ascii="Times New Roman" w:hAnsi="Times New Roman" w:cs="Times New Roman"/>
          <w:color w:val="000000" w:themeColor="text1"/>
          <w:sz w:val="24"/>
          <w:szCs w:val="24"/>
        </w:rPr>
        <w:t xml:space="preserve">. Education Endowment Foundation. Accessed 27/01/20 from </w:t>
      </w:r>
      <w:hyperlink r:id="rId85" w:history="1">
        <w:r w:rsidRPr="007F32A3">
          <w:rPr>
            <w:rStyle w:val="Hyperlink"/>
            <w:rFonts w:ascii="Times New Roman" w:hAnsi="Times New Roman" w:cs="Times New Roman"/>
            <w:color w:val="000000" w:themeColor="text1"/>
            <w:sz w:val="24"/>
            <w:szCs w:val="24"/>
            <w:u w:val="none"/>
          </w:rPr>
          <w:t>https://educationendowmentfoundation.org.uk/public/files/Presentations/Publications/EEF_Marking_Review_April_2016.pdf</w:t>
        </w:r>
      </w:hyperlink>
    </w:p>
    <w:p w14:paraId="68EDB313" w14:textId="184E7523"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14F090CA" w14:textId="4E2CDA20" w:rsidR="007F32A3" w:rsidRPr="007F32A3" w:rsidRDefault="007F32A3" w:rsidP="00735D03">
      <w:pPr>
        <w:spacing w:after="0" w:line="240" w:lineRule="auto"/>
        <w:jc w:val="both"/>
        <w:rPr>
          <w:rFonts w:ascii="Times New Roman" w:hAnsi="Times New Roman" w:cs="Times New Roman"/>
          <w:color w:val="000000" w:themeColor="text1"/>
          <w:sz w:val="24"/>
          <w:szCs w:val="24"/>
        </w:rPr>
      </w:pPr>
    </w:p>
    <w:p w14:paraId="66A004E4" w14:textId="5213936E" w:rsidR="007F32A3" w:rsidRPr="007F32A3" w:rsidRDefault="007F32A3" w:rsidP="007F32A3">
      <w:pPr>
        <w:spacing w:line="240" w:lineRule="auto"/>
        <w:jc w:val="both"/>
        <w:rPr>
          <w:rFonts w:ascii="Times New Roman" w:hAnsi="Times New Roman" w:cs="Times New Roman"/>
          <w:color w:val="000000" w:themeColor="text1"/>
          <w:sz w:val="24"/>
          <w:szCs w:val="24"/>
        </w:rPr>
      </w:pPr>
      <w:proofErr w:type="spellStart"/>
      <w:r w:rsidRPr="007F32A3">
        <w:rPr>
          <w:rFonts w:ascii="Times New Roman" w:hAnsi="Times New Roman" w:cs="Times New Roman"/>
          <w:sz w:val="24"/>
          <w:szCs w:val="24"/>
        </w:rPr>
        <w:t>Fancourt</w:t>
      </w:r>
      <w:proofErr w:type="spellEnd"/>
      <w:r w:rsidRPr="007F32A3">
        <w:rPr>
          <w:rFonts w:ascii="Times New Roman" w:hAnsi="Times New Roman" w:cs="Times New Roman"/>
          <w:sz w:val="24"/>
          <w:szCs w:val="24"/>
        </w:rPr>
        <w:t>, D.</w:t>
      </w:r>
      <w:r w:rsidR="006156C5">
        <w:rPr>
          <w:rFonts w:ascii="Times New Roman" w:hAnsi="Times New Roman" w:cs="Times New Roman"/>
          <w:sz w:val="24"/>
          <w:szCs w:val="24"/>
        </w:rPr>
        <w:t>,</w:t>
      </w:r>
      <w:r w:rsidRPr="007F32A3">
        <w:rPr>
          <w:rFonts w:ascii="Times New Roman" w:hAnsi="Times New Roman" w:cs="Times New Roman"/>
          <w:sz w:val="24"/>
          <w:szCs w:val="24"/>
        </w:rPr>
        <w:t xml:space="preserve"> Bu, F.</w:t>
      </w:r>
      <w:r w:rsidR="006156C5">
        <w:rPr>
          <w:rFonts w:ascii="Times New Roman" w:hAnsi="Times New Roman" w:cs="Times New Roman"/>
          <w:sz w:val="24"/>
          <w:szCs w:val="24"/>
        </w:rPr>
        <w:t>,</w:t>
      </w:r>
      <w:r w:rsidRPr="007F32A3">
        <w:rPr>
          <w:rFonts w:ascii="Times New Roman" w:hAnsi="Times New Roman" w:cs="Times New Roman"/>
          <w:sz w:val="24"/>
          <w:szCs w:val="24"/>
        </w:rPr>
        <w:t xml:space="preserve"> Wan </w:t>
      </w:r>
      <w:proofErr w:type="spellStart"/>
      <w:r w:rsidRPr="007F32A3">
        <w:rPr>
          <w:rFonts w:ascii="Times New Roman" w:hAnsi="Times New Roman" w:cs="Times New Roman"/>
          <w:sz w:val="24"/>
          <w:szCs w:val="24"/>
        </w:rPr>
        <w:t>Mak</w:t>
      </w:r>
      <w:proofErr w:type="spellEnd"/>
      <w:r w:rsidRPr="007F32A3">
        <w:rPr>
          <w:rFonts w:ascii="Times New Roman" w:hAnsi="Times New Roman" w:cs="Times New Roman"/>
          <w:sz w:val="24"/>
          <w:szCs w:val="24"/>
        </w:rPr>
        <w:t xml:space="preserve">, H. and Steptoe, A. 2020. </w:t>
      </w:r>
      <w:r w:rsidR="00817BCE">
        <w:rPr>
          <w:rFonts w:ascii="Times New Roman" w:hAnsi="Times New Roman" w:cs="Times New Roman"/>
          <w:sz w:val="24"/>
          <w:szCs w:val="24"/>
        </w:rPr>
        <w:t>Covid</w:t>
      </w:r>
      <w:r w:rsidRPr="007F32A3">
        <w:rPr>
          <w:rFonts w:ascii="Times New Roman" w:hAnsi="Times New Roman" w:cs="Times New Roman"/>
          <w:sz w:val="24"/>
          <w:szCs w:val="24"/>
        </w:rPr>
        <w:t xml:space="preserve">-19 Social Study. Accessed </w:t>
      </w:r>
      <w:r w:rsidRPr="007F32A3">
        <w:rPr>
          <w:rFonts w:ascii="Times New Roman" w:hAnsi="Times New Roman" w:cs="Times New Roman"/>
          <w:color w:val="000000" w:themeColor="text1"/>
          <w:sz w:val="24"/>
          <w:szCs w:val="24"/>
        </w:rPr>
        <w:t xml:space="preserve">16/09/2020 from </w:t>
      </w:r>
      <w:hyperlink r:id="rId86" w:history="1">
        <w:r w:rsidRPr="007F32A3">
          <w:rPr>
            <w:rStyle w:val="Hyperlink"/>
            <w:rFonts w:ascii="Times New Roman" w:hAnsi="Times New Roman" w:cs="Times New Roman"/>
            <w:color w:val="000000" w:themeColor="text1"/>
            <w:sz w:val="24"/>
            <w:szCs w:val="24"/>
          </w:rPr>
          <w:t>https://mk0nuffieldfounpg9ee.kinstacdn.com/wp-content/uploads/2020/04/</w:t>
        </w:r>
        <w:r w:rsidR="00817BCE">
          <w:rPr>
            <w:rStyle w:val="Hyperlink"/>
            <w:rFonts w:ascii="Times New Roman" w:hAnsi="Times New Roman" w:cs="Times New Roman"/>
            <w:color w:val="000000" w:themeColor="text1"/>
            <w:sz w:val="24"/>
            <w:szCs w:val="24"/>
          </w:rPr>
          <w:t>Covid</w:t>
        </w:r>
        <w:r w:rsidRPr="007F32A3">
          <w:rPr>
            <w:rStyle w:val="Hyperlink"/>
            <w:rFonts w:ascii="Times New Roman" w:hAnsi="Times New Roman" w:cs="Times New Roman"/>
            <w:color w:val="000000" w:themeColor="text1"/>
            <w:sz w:val="24"/>
            <w:szCs w:val="24"/>
          </w:rPr>
          <w:t>-19-social-study-results-9-June-2020.pdf</w:t>
        </w:r>
      </w:hyperlink>
    </w:p>
    <w:p w14:paraId="01FBC822"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Feng, L. and Sass, T. R. 2018. The impact of incentives to recruit and retain teachers in “hard-to-staff” subjects. </w:t>
      </w:r>
      <w:r w:rsidRPr="007F32A3">
        <w:rPr>
          <w:rFonts w:ascii="Times New Roman" w:hAnsi="Times New Roman" w:cs="Times New Roman"/>
          <w:i/>
          <w:iCs/>
          <w:color w:val="000000" w:themeColor="text1"/>
          <w:sz w:val="24"/>
          <w:szCs w:val="24"/>
        </w:rPr>
        <w:t>Journal of Policy Analysis and Management 37</w:t>
      </w:r>
      <w:r w:rsidRPr="007F32A3">
        <w:rPr>
          <w:rFonts w:ascii="Times New Roman" w:hAnsi="Times New Roman" w:cs="Times New Roman"/>
          <w:color w:val="000000" w:themeColor="text1"/>
          <w:sz w:val="24"/>
          <w:szCs w:val="24"/>
        </w:rPr>
        <w:t>(1): 112-135.</w:t>
      </w:r>
    </w:p>
    <w:p w14:paraId="333966DE"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3C2C1410" w14:textId="609EDE6B" w:rsidR="005E2E61" w:rsidRPr="007F32A3" w:rsidRDefault="005E2E61" w:rsidP="004D1DD9">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t>Fernet</w:t>
      </w:r>
      <w:proofErr w:type="spellEnd"/>
      <w:r w:rsidRPr="007F32A3">
        <w:rPr>
          <w:rFonts w:ascii="Times New Roman" w:hAnsi="Times New Roman" w:cs="Times New Roman"/>
          <w:color w:val="000000" w:themeColor="text1"/>
          <w:sz w:val="24"/>
          <w:szCs w:val="24"/>
          <w:shd w:val="clear" w:color="auto" w:fill="FFFFFF"/>
        </w:rPr>
        <w:t>, C.</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Guay</w:t>
      </w:r>
      <w:proofErr w:type="spellEnd"/>
      <w:r w:rsidRPr="007F32A3">
        <w:rPr>
          <w:rFonts w:ascii="Times New Roman" w:hAnsi="Times New Roman" w:cs="Times New Roman"/>
          <w:color w:val="000000" w:themeColor="text1"/>
          <w:sz w:val="24"/>
          <w:szCs w:val="24"/>
          <w:shd w:val="clear" w:color="auto" w:fill="FFFFFF"/>
        </w:rPr>
        <w:t>, F.</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Senécal</w:t>
      </w:r>
      <w:proofErr w:type="spellEnd"/>
      <w:r w:rsidRPr="007F32A3">
        <w:rPr>
          <w:rFonts w:ascii="Times New Roman" w:hAnsi="Times New Roman" w:cs="Times New Roman"/>
          <w:color w:val="000000" w:themeColor="text1"/>
          <w:sz w:val="24"/>
          <w:szCs w:val="24"/>
          <w:shd w:val="clear" w:color="auto" w:fill="FFFFFF"/>
        </w:rPr>
        <w:t xml:space="preserve">, C. and Austin, S. 2012. Predicting </w:t>
      </w:r>
      <w:proofErr w:type="spellStart"/>
      <w:r w:rsidRPr="007F32A3">
        <w:rPr>
          <w:rFonts w:ascii="Times New Roman" w:hAnsi="Times New Roman" w:cs="Times New Roman"/>
          <w:color w:val="000000" w:themeColor="text1"/>
          <w:sz w:val="24"/>
          <w:szCs w:val="24"/>
          <w:shd w:val="clear" w:color="auto" w:fill="FFFFFF"/>
        </w:rPr>
        <w:t>intraindividual</w:t>
      </w:r>
      <w:proofErr w:type="spellEnd"/>
      <w:r w:rsidRPr="007F32A3">
        <w:rPr>
          <w:rFonts w:ascii="Times New Roman" w:hAnsi="Times New Roman" w:cs="Times New Roman"/>
          <w:color w:val="000000" w:themeColor="text1"/>
          <w:sz w:val="24"/>
          <w:szCs w:val="24"/>
          <w:shd w:val="clear" w:color="auto" w:fill="FFFFFF"/>
        </w:rPr>
        <w:t xml:space="preserve"> changes in teacher burnout: The role of perceived school environment and motivational factors. </w:t>
      </w:r>
      <w:r w:rsidRPr="007F32A3">
        <w:rPr>
          <w:rFonts w:ascii="Times New Roman" w:hAnsi="Times New Roman" w:cs="Times New Roman"/>
          <w:i/>
          <w:iCs/>
          <w:color w:val="000000" w:themeColor="text1"/>
          <w:sz w:val="24"/>
          <w:szCs w:val="24"/>
          <w:shd w:val="clear" w:color="auto" w:fill="FFFFFF"/>
        </w:rPr>
        <w:t>Teaching and Teacher Education</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28</w:t>
      </w:r>
      <w:r w:rsidRPr="007F32A3">
        <w:rPr>
          <w:rFonts w:ascii="Times New Roman" w:hAnsi="Times New Roman" w:cs="Times New Roman"/>
          <w:color w:val="000000" w:themeColor="text1"/>
          <w:sz w:val="24"/>
          <w:szCs w:val="24"/>
          <w:shd w:val="clear" w:color="auto" w:fill="FFFFFF"/>
        </w:rPr>
        <w:t>(4): 514-525.</w:t>
      </w:r>
    </w:p>
    <w:p w14:paraId="020A8A40"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696663F5"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r w:rsidRPr="007F32A3">
        <w:rPr>
          <w:rFonts w:eastAsiaTheme="minorHAnsi"/>
          <w:color w:val="000000" w:themeColor="text1"/>
        </w:rPr>
        <w:t xml:space="preserve">Foster, D. 2019. Teacher recruitment and retention in England. House of Commons briefing paper 7222. Accessed 17/07/2019 from </w:t>
      </w:r>
      <w:hyperlink r:id="rId87" w:history="1">
        <w:r w:rsidRPr="007F32A3">
          <w:rPr>
            <w:rStyle w:val="Hyperlink"/>
            <w:rFonts w:eastAsiaTheme="minorHAnsi"/>
            <w:color w:val="000000" w:themeColor="text1"/>
          </w:rPr>
          <w:t>https://researchbriefings.files.parliament.uk/documents/CBP-7222/CBP-7222.pdf</w:t>
        </w:r>
      </w:hyperlink>
      <w:r w:rsidRPr="007F32A3">
        <w:rPr>
          <w:rFonts w:eastAsiaTheme="minorHAnsi"/>
          <w:color w:val="000000" w:themeColor="text1"/>
        </w:rPr>
        <w:t xml:space="preserve"> </w:t>
      </w:r>
    </w:p>
    <w:p w14:paraId="101CEEB6"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40FE7BCE"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Gibb, N. 2020. Improving the wellbeing of staff in schools and colleges. Accessed 07/07/2020 from </w:t>
      </w:r>
      <w:hyperlink r:id="rId88" w:history="1">
        <w:r w:rsidRPr="007F32A3">
          <w:rPr>
            <w:rStyle w:val="Hyperlink"/>
            <w:rFonts w:ascii="Times New Roman" w:hAnsi="Times New Roman" w:cs="Times New Roman"/>
            <w:color w:val="000000" w:themeColor="text1"/>
            <w:sz w:val="24"/>
            <w:szCs w:val="24"/>
          </w:rPr>
          <w:t>https://assets.publishing.service.gov.uk/government/uploads/system/uploads/attachment_data/file/890547/Nick_Gibb_letter_to_EAG.pdf</w:t>
        </w:r>
      </w:hyperlink>
      <w:r w:rsidRPr="007F32A3">
        <w:rPr>
          <w:rFonts w:ascii="Times New Roman" w:hAnsi="Times New Roman" w:cs="Times New Roman"/>
          <w:color w:val="000000" w:themeColor="text1"/>
          <w:sz w:val="24"/>
          <w:szCs w:val="24"/>
        </w:rPr>
        <w:t xml:space="preserve"> </w:t>
      </w:r>
    </w:p>
    <w:p w14:paraId="7DE076CF"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rPr>
        <w:t>Gibson, S., Oliver, L. and Dennison, M. 2015. Workload challenge: Analysis of teacher consultation responses. Department for Education Research Report DfE-RR445. London: Department for Education.</w:t>
      </w:r>
    </w:p>
    <w:p w14:paraId="273ACF66"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16333A9F"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roofErr w:type="spellStart"/>
      <w:r w:rsidRPr="007F32A3">
        <w:rPr>
          <w:rFonts w:ascii="Times New Roman" w:hAnsi="Times New Roman" w:cs="Times New Roman"/>
          <w:color w:val="000000" w:themeColor="text1"/>
          <w:sz w:val="24"/>
          <w:szCs w:val="24"/>
        </w:rPr>
        <w:t>Gielen</w:t>
      </w:r>
      <w:proofErr w:type="spellEnd"/>
      <w:r w:rsidRPr="007F32A3">
        <w:rPr>
          <w:rFonts w:ascii="Times New Roman" w:hAnsi="Times New Roman" w:cs="Times New Roman"/>
          <w:color w:val="000000" w:themeColor="text1"/>
          <w:sz w:val="24"/>
          <w:szCs w:val="24"/>
        </w:rPr>
        <w:t>, A. C. 2013. Repeated job quits: stepping stones or learning about quality</w:t>
      </w:r>
      <w:proofErr w:type="gramStart"/>
      <w:r w:rsidRPr="007F32A3">
        <w:rPr>
          <w:rFonts w:ascii="Times New Roman" w:hAnsi="Times New Roman" w:cs="Times New Roman"/>
          <w:color w:val="000000" w:themeColor="text1"/>
          <w:sz w:val="24"/>
          <w:szCs w:val="24"/>
        </w:rPr>
        <w:t>?.</w:t>
      </w:r>
      <w:proofErr w:type="gramEnd"/>
      <w:r w:rsidRPr="007F32A3">
        <w:rPr>
          <w:rFonts w:ascii="Times New Roman" w:hAnsi="Times New Roman" w:cs="Times New Roman"/>
          <w:color w:val="000000" w:themeColor="text1"/>
          <w:sz w:val="24"/>
          <w:szCs w:val="24"/>
        </w:rPr>
        <w:t> </w:t>
      </w:r>
      <w:r w:rsidRPr="007F32A3">
        <w:rPr>
          <w:rFonts w:ascii="Times New Roman" w:hAnsi="Times New Roman" w:cs="Times New Roman"/>
          <w:i/>
          <w:iCs/>
          <w:color w:val="000000" w:themeColor="text1"/>
          <w:sz w:val="24"/>
          <w:szCs w:val="24"/>
        </w:rPr>
        <w:t xml:space="preserve">IZA Journal of European </w:t>
      </w:r>
      <w:proofErr w:type="spellStart"/>
      <w:r w:rsidRPr="007F32A3">
        <w:rPr>
          <w:rFonts w:ascii="Times New Roman" w:hAnsi="Times New Roman" w:cs="Times New Roman"/>
          <w:i/>
          <w:iCs/>
          <w:color w:val="000000" w:themeColor="text1"/>
          <w:sz w:val="24"/>
          <w:szCs w:val="24"/>
        </w:rPr>
        <w:t>Labor</w:t>
      </w:r>
      <w:proofErr w:type="spellEnd"/>
      <w:r w:rsidRPr="007F32A3">
        <w:rPr>
          <w:rFonts w:ascii="Times New Roman" w:hAnsi="Times New Roman" w:cs="Times New Roman"/>
          <w:i/>
          <w:iCs/>
          <w:color w:val="000000" w:themeColor="text1"/>
          <w:sz w:val="24"/>
          <w:szCs w:val="24"/>
        </w:rPr>
        <w:t xml:space="preserve"> Studies</w:t>
      </w:r>
      <w:r w:rsidRPr="007F32A3">
        <w:rPr>
          <w:rFonts w:ascii="Times New Roman" w:hAnsi="Times New Roman" w:cs="Times New Roman"/>
          <w:color w:val="000000" w:themeColor="text1"/>
          <w:sz w:val="24"/>
          <w:szCs w:val="24"/>
        </w:rPr>
        <w:t> </w:t>
      </w:r>
      <w:r w:rsidRPr="007F32A3">
        <w:rPr>
          <w:rFonts w:ascii="Times New Roman" w:hAnsi="Times New Roman" w:cs="Times New Roman"/>
          <w:i/>
          <w:iCs/>
          <w:color w:val="000000" w:themeColor="text1"/>
          <w:sz w:val="24"/>
          <w:szCs w:val="24"/>
        </w:rPr>
        <w:t>2</w:t>
      </w:r>
      <w:r w:rsidRPr="007F32A3">
        <w:rPr>
          <w:rFonts w:ascii="Times New Roman" w:hAnsi="Times New Roman" w:cs="Times New Roman"/>
          <w:color w:val="000000" w:themeColor="text1"/>
          <w:sz w:val="24"/>
          <w:szCs w:val="24"/>
        </w:rPr>
        <w:t>(7).</w:t>
      </w:r>
    </w:p>
    <w:p w14:paraId="465CB2F0" w14:textId="77777777" w:rsidR="005E2E61" w:rsidRPr="007F32A3" w:rsidRDefault="005E2E61" w:rsidP="00735D03">
      <w:pPr>
        <w:spacing w:after="0" w:line="240" w:lineRule="auto"/>
        <w:jc w:val="both"/>
        <w:rPr>
          <w:rFonts w:ascii="Times New Roman" w:eastAsia="Times New Roman" w:hAnsi="Times New Roman" w:cs="Times New Roman"/>
          <w:bCs/>
          <w:color w:val="000000" w:themeColor="text1"/>
          <w:sz w:val="24"/>
          <w:szCs w:val="24"/>
          <w:lang w:eastAsia="en-GB"/>
        </w:rPr>
      </w:pPr>
    </w:p>
    <w:p w14:paraId="6D497E79" w14:textId="77777777" w:rsidR="005E2E61" w:rsidRPr="007F32A3" w:rsidRDefault="005E2E61" w:rsidP="00735D03">
      <w:pPr>
        <w:spacing w:after="0" w:line="240" w:lineRule="auto"/>
        <w:jc w:val="both"/>
        <w:rPr>
          <w:rFonts w:ascii="Times New Roman" w:eastAsia="Times New Roman" w:hAnsi="Times New Roman" w:cs="Times New Roman"/>
          <w:bCs/>
          <w:color w:val="000000" w:themeColor="text1"/>
          <w:sz w:val="24"/>
          <w:szCs w:val="24"/>
          <w:lang w:eastAsia="en-GB"/>
        </w:rPr>
      </w:pPr>
      <w:r w:rsidRPr="007F32A3">
        <w:rPr>
          <w:rFonts w:ascii="Times New Roman" w:eastAsia="Times New Roman" w:hAnsi="Times New Roman" w:cs="Times New Roman"/>
          <w:bCs/>
          <w:color w:val="000000" w:themeColor="text1"/>
          <w:sz w:val="24"/>
          <w:szCs w:val="24"/>
          <w:lang w:eastAsia="en-GB"/>
        </w:rPr>
        <w:t xml:space="preserve">Gilbert, C. 2011. Towards a self-improving system: the role of school accountability. Accessed 09/01/2020 from </w:t>
      </w:r>
      <w:hyperlink r:id="rId89" w:history="1">
        <w:r w:rsidRPr="007F32A3">
          <w:rPr>
            <w:rStyle w:val="Hyperlink"/>
            <w:rFonts w:ascii="Times New Roman" w:eastAsia="Times New Roman" w:hAnsi="Times New Roman" w:cs="Times New Roman"/>
            <w:bCs/>
            <w:color w:val="000000" w:themeColor="text1"/>
            <w:sz w:val="24"/>
            <w:szCs w:val="24"/>
            <w:u w:val="none"/>
            <w:lang w:eastAsia="en-GB"/>
          </w:rPr>
          <w:t>https://dera.ioe.ac.uk/14919/1/towards-a-self-improving-system-school-accountability-thinkpiece%5B1%5D.pdf</w:t>
        </w:r>
      </w:hyperlink>
      <w:r w:rsidRPr="007F32A3">
        <w:rPr>
          <w:rFonts w:ascii="Times New Roman" w:eastAsia="Times New Roman" w:hAnsi="Times New Roman" w:cs="Times New Roman"/>
          <w:bCs/>
          <w:color w:val="000000" w:themeColor="text1"/>
          <w:sz w:val="24"/>
          <w:szCs w:val="24"/>
          <w:lang w:eastAsia="en-GB"/>
        </w:rPr>
        <w:t xml:space="preserve"> </w:t>
      </w:r>
    </w:p>
    <w:p w14:paraId="3785C744"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223A5758" w14:textId="77777777" w:rsidR="005E2E61" w:rsidRPr="007F32A3" w:rsidRDefault="005E2E61" w:rsidP="00735D03">
      <w:pPr>
        <w:spacing w:after="0" w:line="240" w:lineRule="auto"/>
        <w:jc w:val="both"/>
        <w:rPr>
          <w:rFonts w:ascii="Times New Roman" w:eastAsia="Times New Roman" w:hAnsi="Times New Roman" w:cs="Times New Roman"/>
          <w:bCs/>
          <w:color w:val="000000" w:themeColor="text1"/>
          <w:sz w:val="24"/>
          <w:szCs w:val="24"/>
          <w:lang w:eastAsia="en-GB"/>
        </w:rPr>
      </w:pPr>
      <w:r w:rsidRPr="007F32A3">
        <w:rPr>
          <w:rFonts w:ascii="Times New Roman" w:eastAsia="Times New Roman" w:hAnsi="Times New Roman" w:cs="Times New Roman"/>
          <w:bCs/>
          <w:color w:val="000000" w:themeColor="text1"/>
          <w:sz w:val="24"/>
          <w:szCs w:val="24"/>
          <w:lang w:eastAsia="en-GB"/>
        </w:rPr>
        <w:t xml:space="preserve">Goldstein, H. 1997. Methods in school effectiveness research. </w:t>
      </w:r>
      <w:r w:rsidRPr="007F32A3">
        <w:rPr>
          <w:rFonts w:ascii="Times New Roman" w:eastAsia="Times New Roman" w:hAnsi="Times New Roman" w:cs="Times New Roman"/>
          <w:bCs/>
          <w:i/>
          <w:color w:val="000000" w:themeColor="text1"/>
          <w:sz w:val="24"/>
          <w:szCs w:val="24"/>
          <w:lang w:eastAsia="en-GB"/>
        </w:rPr>
        <w:t>School effectiveness and school improvement</w:t>
      </w:r>
      <w:r w:rsidRPr="007F32A3">
        <w:rPr>
          <w:rFonts w:ascii="Times New Roman" w:eastAsia="Times New Roman" w:hAnsi="Times New Roman" w:cs="Times New Roman"/>
          <w:bCs/>
          <w:color w:val="000000" w:themeColor="text1"/>
          <w:sz w:val="24"/>
          <w:szCs w:val="24"/>
          <w:lang w:eastAsia="en-GB"/>
        </w:rPr>
        <w:t>. 8: 369-95.</w:t>
      </w:r>
    </w:p>
    <w:p w14:paraId="33358411"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27184363" w14:textId="49C7A9D4"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lastRenderedPageBreak/>
        <w:t>Hakanen</w:t>
      </w:r>
      <w:proofErr w:type="spellEnd"/>
      <w:r w:rsidRPr="007F32A3">
        <w:rPr>
          <w:rFonts w:ascii="Times New Roman" w:hAnsi="Times New Roman" w:cs="Times New Roman"/>
          <w:color w:val="000000" w:themeColor="text1"/>
          <w:sz w:val="24"/>
          <w:szCs w:val="24"/>
          <w:shd w:val="clear" w:color="auto" w:fill="FFFFFF"/>
        </w:rPr>
        <w:t>, J. J.</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Bakker, A. B. and </w:t>
      </w:r>
      <w:proofErr w:type="spellStart"/>
      <w:r w:rsidRPr="007F32A3">
        <w:rPr>
          <w:rFonts w:ascii="Times New Roman" w:hAnsi="Times New Roman" w:cs="Times New Roman"/>
          <w:color w:val="000000" w:themeColor="text1"/>
          <w:sz w:val="24"/>
          <w:szCs w:val="24"/>
          <w:shd w:val="clear" w:color="auto" w:fill="FFFFFF"/>
        </w:rPr>
        <w:t>Schaufeli</w:t>
      </w:r>
      <w:proofErr w:type="spellEnd"/>
      <w:r w:rsidRPr="007F32A3">
        <w:rPr>
          <w:rFonts w:ascii="Times New Roman" w:hAnsi="Times New Roman" w:cs="Times New Roman"/>
          <w:color w:val="000000" w:themeColor="text1"/>
          <w:sz w:val="24"/>
          <w:szCs w:val="24"/>
          <w:shd w:val="clear" w:color="auto" w:fill="FFFFFF"/>
        </w:rPr>
        <w:t>, W. B. 2006. Burnout and work engagement among teachers. </w:t>
      </w:r>
      <w:r w:rsidRPr="007F32A3">
        <w:rPr>
          <w:rFonts w:ascii="Times New Roman" w:hAnsi="Times New Roman" w:cs="Times New Roman"/>
          <w:i/>
          <w:iCs/>
          <w:color w:val="000000" w:themeColor="text1"/>
          <w:sz w:val="24"/>
          <w:szCs w:val="24"/>
          <w:shd w:val="clear" w:color="auto" w:fill="FFFFFF"/>
        </w:rPr>
        <w:t>Journal of school psychology</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43</w:t>
      </w:r>
      <w:r w:rsidRPr="007F32A3">
        <w:rPr>
          <w:rFonts w:ascii="Times New Roman" w:hAnsi="Times New Roman" w:cs="Times New Roman"/>
          <w:color w:val="000000" w:themeColor="text1"/>
          <w:sz w:val="24"/>
          <w:szCs w:val="24"/>
          <w:shd w:val="clear" w:color="auto" w:fill="FFFFFF"/>
        </w:rPr>
        <w:t>(6): 495-513.</w:t>
      </w:r>
    </w:p>
    <w:p w14:paraId="68DE042E" w14:textId="77777777" w:rsidR="005E2E61" w:rsidRPr="007F32A3" w:rsidRDefault="005E2E61" w:rsidP="00735D03">
      <w:pPr>
        <w:pStyle w:val="textbox"/>
        <w:spacing w:before="0" w:beforeAutospacing="0" w:after="0" w:afterAutospacing="0"/>
        <w:jc w:val="both"/>
        <w:rPr>
          <w:color w:val="000000" w:themeColor="text1"/>
        </w:rPr>
      </w:pPr>
    </w:p>
    <w:p w14:paraId="28534309"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Hamilton, L. and </w:t>
      </w:r>
      <w:proofErr w:type="spellStart"/>
      <w:r w:rsidRPr="007F32A3">
        <w:rPr>
          <w:rFonts w:ascii="Times New Roman" w:hAnsi="Times New Roman" w:cs="Times New Roman"/>
          <w:color w:val="000000" w:themeColor="text1"/>
          <w:sz w:val="24"/>
          <w:szCs w:val="24"/>
        </w:rPr>
        <w:t>Koretz</w:t>
      </w:r>
      <w:proofErr w:type="spellEnd"/>
      <w:r w:rsidRPr="007F32A3">
        <w:rPr>
          <w:rFonts w:ascii="Times New Roman" w:hAnsi="Times New Roman" w:cs="Times New Roman"/>
          <w:color w:val="000000" w:themeColor="text1"/>
          <w:sz w:val="24"/>
          <w:szCs w:val="24"/>
        </w:rPr>
        <w:t xml:space="preserve">, D. 2002. Tests and their use in test-based accountability systems in L. Hamilton, B. </w:t>
      </w:r>
      <w:proofErr w:type="spellStart"/>
      <w:r w:rsidRPr="007F32A3">
        <w:rPr>
          <w:rFonts w:ascii="Times New Roman" w:hAnsi="Times New Roman" w:cs="Times New Roman"/>
          <w:color w:val="000000" w:themeColor="text1"/>
          <w:sz w:val="24"/>
          <w:szCs w:val="24"/>
        </w:rPr>
        <w:t>Stecher</w:t>
      </w:r>
      <w:proofErr w:type="spellEnd"/>
      <w:r w:rsidRPr="007F32A3">
        <w:rPr>
          <w:rFonts w:ascii="Times New Roman" w:hAnsi="Times New Roman" w:cs="Times New Roman"/>
          <w:color w:val="000000" w:themeColor="text1"/>
          <w:sz w:val="24"/>
          <w:szCs w:val="24"/>
        </w:rPr>
        <w:t xml:space="preserve"> and S. Klein (</w:t>
      </w:r>
      <w:proofErr w:type="spellStart"/>
      <w:r w:rsidRPr="007F32A3">
        <w:rPr>
          <w:rFonts w:ascii="Times New Roman" w:hAnsi="Times New Roman" w:cs="Times New Roman"/>
          <w:color w:val="000000" w:themeColor="text1"/>
          <w:sz w:val="24"/>
          <w:szCs w:val="24"/>
        </w:rPr>
        <w:t>eds</w:t>
      </w:r>
      <w:proofErr w:type="spellEnd"/>
      <w:r w:rsidRPr="007F32A3">
        <w:rPr>
          <w:rFonts w:ascii="Times New Roman" w:hAnsi="Times New Roman" w:cs="Times New Roman"/>
          <w:color w:val="000000" w:themeColor="text1"/>
          <w:sz w:val="24"/>
          <w:szCs w:val="24"/>
        </w:rPr>
        <w:t xml:space="preserve">) </w:t>
      </w:r>
      <w:r w:rsidRPr="007F32A3">
        <w:rPr>
          <w:rFonts w:ascii="Times New Roman" w:hAnsi="Times New Roman" w:cs="Times New Roman"/>
          <w:i/>
          <w:color w:val="000000" w:themeColor="text1"/>
          <w:sz w:val="24"/>
          <w:szCs w:val="24"/>
        </w:rPr>
        <w:t>Making Sense of Test-Based Accountability in Education</w:t>
      </w:r>
      <w:r w:rsidRPr="007F32A3">
        <w:rPr>
          <w:rFonts w:ascii="Times New Roman" w:hAnsi="Times New Roman" w:cs="Times New Roman"/>
          <w:color w:val="000000" w:themeColor="text1"/>
          <w:sz w:val="24"/>
          <w:szCs w:val="24"/>
        </w:rPr>
        <w:t xml:space="preserve">. RAND. </w:t>
      </w:r>
    </w:p>
    <w:p w14:paraId="1D3F8072" w14:textId="77777777" w:rsidR="005E2E61" w:rsidRPr="007F32A3" w:rsidRDefault="005E2E61" w:rsidP="00735D03">
      <w:pPr>
        <w:pStyle w:val="textbox"/>
        <w:spacing w:before="0" w:beforeAutospacing="0" w:after="0" w:afterAutospacing="0"/>
        <w:jc w:val="both"/>
        <w:rPr>
          <w:color w:val="000000" w:themeColor="text1"/>
        </w:rPr>
      </w:pPr>
    </w:p>
    <w:p w14:paraId="282F5687"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t>Hanushek</w:t>
      </w:r>
      <w:proofErr w:type="spellEnd"/>
      <w:r w:rsidRPr="007F32A3">
        <w:rPr>
          <w:rFonts w:ascii="Times New Roman" w:hAnsi="Times New Roman" w:cs="Times New Roman"/>
          <w:color w:val="000000" w:themeColor="text1"/>
          <w:sz w:val="24"/>
          <w:szCs w:val="24"/>
          <w:shd w:val="clear" w:color="auto" w:fill="FFFFFF"/>
        </w:rPr>
        <w:t xml:space="preserve">, E. and Raymond, M. 2005. </w:t>
      </w:r>
      <w:r w:rsidRPr="007F32A3">
        <w:rPr>
          <w:rFonts w:ascii="Times New Roman" w:hAnsi="Times New Roman" w:cs="Times New Roman"/>
          <w:color w:val="000000" w:themeColor="text1"/>
          <w:sz w:val="24"/>
          <w:szCs w:val="24"/>
        </w:rPr>
        <w:t>Does school accountability lead to improved student performance?</w:t>
      </w:r>
      <w:r w:rsidRPr="007F32A3">
        <w:rPr>
          <w:rFonts w:ascii="Times New Roman" w:hAnsi="Times New Roman" w:cs="Times New Roman"/>
          <w:color w:val="000000" w:themeColor="text1"/>
          <w:sz w:val="24"/>
          <w:szCs w:val="24"/>
          <w:shd w:val="clear" w:color="auto" w:fill="FFFFFF"/>
        </w:rPr>
        <w:t xml:space="preserve"> </w:t>
      </w:r>
      <w:r w:rsidRPr="007F32A3">
        <w:rPr>
          <w:rFonts w:ascii="Times New Roman" w:hAnsi="Times New Roman" w:cs="Times New Roman"/>
          <w:i/>
          <w:color w:val="000000" w:themeColor="text1"/>
          <w:sz w:val="24"/>
          <w:szCs w:val="24"/>
          <w:shd w:val="clear" w:color="auto" w:fill="FFFFFF"/>
        </w:rPr>
        <w:t>Journal of Policy Analysis and Management</w:t>
      </w:r>
      <w:r w:rsidRPr="007F32A3">
        <w:rPr>
          <w:rFonts w:ascii="Times New Roman" w:hAnsi="Times New Roman" w:cs="Times New Roman"/>
          <w:color w:val="000000" w:themeColor="text1"/>
          <w:sz w:val="24"/>
          <w:szCs w:val="24"/>
          <w:shd w:val="clear" w:color="auto" w:fill="FFFFFF"/>
        </w:rPr>
        <w:t xml:space="preserve"> 24(2): 297-327.</w:t>
      </w:r>
    </w:p>
    <w:p w14:paraId="3B174CF7" w14:textId="77777777" w:rsidR="005E2E61" w:rsidRPr="007F32A3" w:rsidRDefault="005E2E61" w:rsidP="00735D03">
      <w:pPr>
        <w:pStyle w:val="textbox"/>
        <w:spacing w:before="0" w:beforeAutospacing="0" w:after="0" w:afterAutospacing="0"/>
        <w:jc w:val="both"/>
        <w:rPr>
          <w:color w:val="000000" w:themeColor="text1"/>
        </w:rPr>
      </w:pPr>
    </w:p>
    <w:p w14:paraId="07F063FE" w14:textId="77777777" w:rsidR="005E2E61" w:rsidRPr="007F32A3" w:rsidRDefault="005E2E61" w:rsidP="00735D03">
      <w:pPr>
        <w:pStyle w:val="textbox"/>
        <w:spacing w:before="0" w:beforeAutospacing="0" w:after="0" w:afterAutospacing="0"/>
        <w:jc w:val="both"/>
        <w:rPr>
          <w:color w:val="000000" w:themeColor="text1"/>
        </w:rPr>
      </w:pPr>
      <w:r w:rsidRPr="007F32A3">
        <w:rPr>
          <w:color w:val="000000" w:themeColor="text1"/>
        </w:rPr>
        <w:t xml:space="preserve">Health and Safety Executive. 2019. Work-related stress, anxiety or depression statistics in Great Britain 2019. Accessed 29/11/2019 from </w:t>
      </w:r>
      <w:hyperlink r:id="rId90" w:history="1">
        <w:r w:rsidRPr="007F32A3">
          <w:rPr>
            <w:rStyle w:val="Hyperlink"/>
            <w:color w:val="000000" w:themeColor="text1"/>
          </w:rPr>
          <w:t>http://www.hse.gov.uk/statistics/causdis/stress.pdf</w:t>
        </w:r>
      </w:hyperlink>
      <w:r w:rsidRPr="007F32A3">
        <w:rPr>
          <w:color w:val="000000" w:themeColor="text1"/>
        </w:rPr>
        <w:t xml:space="preserve"> </w:t>
      </w:r>
    </w:p>
    <w:p w14:paraId="2C38CCF5" w14:textId="77777777" w:rsidR="005E2E61" w:rsidRPr="007F32A3" w:rsidRDefault="005E2E61" w:rsidP="00735D03">
      <w:pPr>
        <w:pStyle w:val="textbox"/>
        <w:spacing w:before="0" w:beforeAutospacing="0" w:after="0" w:afterAutospacing="0"/>
        <w:jc w:val="both"/>
        <w:rPr>
          <w:rStyle w:val="nlm-surname"/>
          <w:rFonts w:eastAsiaTheme="majorEastAsia"/>
          <w:color w:val="000000" w:themeColor="text1"/>
          <w:bdr w:val="none" w:sz="0" w:space="0" w:color="auto" w:frame="1"/>
        </w:rPr>
      </w:pPr>
    </w:p>
    <w:p w14:paraId="1A1BAA00" w14:textId="77777777" w:rsidR="005E2E61" w:rsidRPr="007F32A3" w:rsidRDefault="005E2E61" w:rsidP="00735D03">
      <w:pPr>
        <w:pStyle w:val="textbox"/>
        <w:shd w:val="clear" w:color="auto" w:fill="FFFFFF"/>
        <w:spacing w:before="0" w:beforeAutospacing="0" w:after="0" w:afterAutospacing="0"/>
        <w:jc w:val="both"/>
        <w:rPr>
          <w:color w:val="000000" w:themeColor="text1"/>
        </w:rPr>
      </w:pPr>
      <w:r w:rsidRPr="007F32A3">
        <w:rPr>
          <w:color w:val="000000" w:themeColor="text1"/>
        </w:rPr>
        <w:t xml:space="preserve">House of Commons. 2018. Retaining and developing the teaching workforce. Seventeenth Report of Session 2017–19. Accessed 09/02/2018 from </w:t>
      </w:r>
      <w:hyperlink r:id="rId91" w:history="1">
        <w:r w:rsidRPr="007F32A3">
          <w:rPr>
            <w:rStyle w:val="Hyperlink"/>
            <w:color w:val="000000" w:themeColor="text1"/>
          </w:rPr>
          <w:t>https://publications.parliament.uk/pa/cm201719/cmselect/cmpubacc/460/460.pdf</w:t>
        </w:r>
      </w:hyperlink>
      <w:r w:rsidRPr="007F32A3">
        <w:rPr>
          <w:color w:val="000000" w:themeColor="text1"/>
        </w:rPr>
        <w:t xml:space="preserve"> </w:t>
      </w:r>
    </w:p>
    <w:p w14:paraId="3255710E" w14:textId="77777777" w:rsidR="005E2E61" w:rsidRPr="007F32A3" w:rsidRDefault="005E2E61" w:rsidP="00735D03">
      <w:pPr>
        <w:pStyle w:val="textbox"/>
        <w:spacing w:before="0" w:beforeAutospacing="0" w:after="0" w:afterAutospacing="0"/>
        <w:jc w:val="both"/>
        <w:rPr>
          <w:rStyle w:val="nlm-surname"/>
          <w:rFonts w:eastAsiaTheme="majorEastAsia"/>
          <w:color w:val="000000" w:themeColor="text1"/>
          <w:bdr w:val="none" w:sz="0" w:space="0" w:color="auto" w:frame="1"/>
        </w:rPr>
      </w:pPr>
    </w:p>
    <w:p w14:paraId="12DF02A0" w14:textId="77777777" w:rsidR="005E2E61" w:rsidRPr="007F32A3" w:rsidRDefault="005E2E61" w:rsidP="00735D03">
      <w:pPr>
        <w:pStyle w:val="textbox"/>
        <w:spacing w:before="0" w:beforeAutospacing="0" w:after="0" w:afterAutospacing="0"/>
        <w:jc w:val="both"/>
        <w:rPr>
          <w:rFonts w:eastAsiaTheme="minorEastAsia"/>
          <w:color w:val="000000" w:themeColor="text1"/>
          <w:bdr w:val="none" w:sz="0" w:space="0" w:color="auto" w:frame="1"/>
        </w:rPr>
      </w:pPr>
      <w:proofErr w:type="spellStart"/>
      <w:r w:rsidRPr="007F32A3">
        <w:rPr>
          <w:rStyle w:val="nlm-surname"/>
          <w:rFonts w:eastAsiaTheme="majorEastAsia"/>
          <w:color w:val="000000" w:themeColor="text1"/>
          <w:bdr w:val="none" w:sz="0" w:space="0" w:color="auto" w:frame="1"/>
        </w:rPr>
        <w:t>Iacobucci</w:t>
      </w:r>
      <w:proofErr w:type="spellEnd"/>
      <w:r w:rsidRPr="007F32A3">
        <w:rPr>
          <w:rStyle w:val="nlm-surname"/>
          <w:rFonts w:eastAsiaTheme="majorEastAsia"/>
          <w:color w:val="000000" w:themeColor="text1"/>
          <w:bdr w:val="none" w:sz="0" w:space="0" w:color="auto" w:frame="1"/>
        </w:rPr>
        <w:t>,</w:t>
      </w:r>
      <w:r w:rsidRPr="007F32A3">
        <w:rPr>
          <w:rStyle w:val="highwire-cite-authors"/>
          <w:color w:val="000000" w:themeColor="text1"/>
          <w:bdr w:val="none" w:sz="0" w:space="0" w:color="auto" w:frame="1"/>
        </w:rPr>
        <w:t xml:space="preserve"> </w:t>
      </w:r>
      <w:r w:rsidRPr="007F32A3">
        <w:rPr>
          <w:rStyle w:val="nlm-given-names"/>
          <w:color w:val="000000" w:themeColor="text1"/>
          <w:bdr w:val="none" w:sz="0" w:space="0" w:color="auto" w:frame="1"/>
        </w:rPr>
        <w:t>G</w:t>
      </w:r>
      <w:r w:rsidRPr="007F32A3">
        <w:rPr>
          <w:rStyle w:val="highwire-cite-authors"/>
          <w:color w:val="000000" w:themeColor="text1"/>
          <w:bdr w:val="none" w:sz="0" w:space="0" w:color="auto" w:frame="1"/>
        </w:rPr>
        <w:t xml:space="preserve">. 2019. </w:t>
      </w:r>
      <w:r w:rsidRPr="007F32A3">
        <w:rPr>
          <w:rStyle w:val="highwire-cite-title"/>
          <w:color w:val="000000" w:themeColor="text1"/>
          <w:bdr w:val="none" w:sz="0" w:space="0" w:color="auto" w:frame="1"/>
        </w:rPr>
        <w:t>NHS prescribed record number of antidepressants last year.</w:t>
      </w:r>
      <w:r w:rsidRPr="007F32A3">
        <w:rPr>
          <w:color w:val="000000" w:themeColor="text1"/>
          <w:shd w:val="clear" w:color="auto" w:fill="EEEEEE"/>
        </w:rPr>
        <w:t xml:space="preserve"> </w:t>
      </w:r>
      <w:r w:rsidRPr="007F32A3">
        <w:rPr>
          <w:rStyle w:val="highwire-cite-metadata-journal"/>
          <w:rFonts w:eastAsiaTheme="minorEastAsia"/>
          <w:i/>
          <w:iCs/>
          <w:color w:val="000000" w:themeColor="text1"/>
          <w:bdr w:val="none" w:sz="0" w:space="0" w:color="auto" w:frame="1"/>
        </w:rPr>
        <w:t>BMJ</w:t>
      </w:r>
      <w:r w:rsidRPr="007F32A3">
        <w:rPr>
          <w:rStyle w:val="highwire-cite-metadata-date"/>
          <w:color w:val="000000" w:themeColor="text1"/>
          <w:bdr w:val="none" w:sz="0" w:space="0" w:color="auto" w:frame="1"/>
        </w:rPr>
        <w:t xml:space="preserve"> </w:t>
      </w:r>
      <w:r w:rsidRPr="007F32A3">
        <w:rPr>
          <w:rStyle w:val="highwire-cite-metadata-volume"/>
          <w:rFonts w:eastAsiaTheme="minorEastAsia"/>
          <w:i/>
          <w:iCs/>
          <w:color w:val="000000" w:themeColor="text1"/>
          <w:bdr w:val="none" w:sz="0" w:space="0" w:color="auto" w:frame="1"/>
        </w:rPr>
        <w:t>364</w:t>
      </w:r>
      <w:r w:rsidRPr="007F32A3">
        <w:rPr>
          <w:rStyle w:val="highwire-cite-metadata-volume"/>
          <w:rFonts w:eastAsiaTheme="minorEastAsia"/>
          <w:color w:val="000000" w:themeColor="text1"/>
          <w:bdr w:val="none" w:sz="0" w:space="0" w:color="auto" w:frame="1"/>
        </w:rPr>
        <w:t>: l1508.</w:t>
      </w:r>
    </w:p>
    <w:p w14:paraId="1074741E"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060151A7" w14:textId="77777777" w:rsidR="008B4E20" w:rsidRDefault="005E2E61" w:rsidP="008B4E20">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t>Jacob, R.</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Goddard, R.</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Kim, M.</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Miller, R. and Goddard, Y. 2015. Exploring the causal impact of the </w:t>
      </w:r>
      <w:proofErr w:type="spellStart"/>
      <w:r w:rsidRPr="007F32A3">
        <w:rPr>
          <w:rFonts w:ascii="Times New Roman" w:hAnsi="Times New Roman" w:cs="Times New Roman"/>
          <w:color w:val="000000" w:themeColor="text1"/>
          <w:sz w:val="24"/>
          <w:szCs w:val="24"/>
          <w:shd w:val="clear" w:color="auto" w:fill="FFFFFF"/>
        </w:rPr>
        <w:t>McREL</w:t>
      </w:r>
      <w:proofErr w:type="spellEnd"/>
      <w:r w:rsidRPr="007F32A3">
        <w:rPr>
          <w:rFonts w:ascii="Times New Roman" w:hAnsi="Times New Roman" w:cs="Times New Roman"/>
          <w:color w:val="000000" w:themeColor="text1"/>
          <w:sz w:val="24"/>
          <w:szCs w:val="24"/>
          <w:shd w:val="clear" w:color="auto" w:fill="FFFFFF"/>
        </w:rPr>
        <w:t xml:space="preserve"> Balanced Leadership Program on leadership, principal efficacy, instructional climate, educator turnover, and student achievement. </w:t>
      </w:r>
      <w:r w:rsidRPr="007F32A3">
        <w:rPr>
          <w:rFonts w:ascii="Times New Roman" w:hAnsi="Times New Roman" w:cs="Times New Roman"/>
          <w:i/>
          <w:iCs/>
          <w:color w:val="000000" w:themeColor="text1"/>
          <w:sz w:val="24"/>
          <w:szCs w:val="24"/>
          <w:shd w:val="clear" w:color="auto" w:fill="FFFFFF"/>
        </w:rPr>
        <w:t>Educational Evaluation and Policy Analysis</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37</w:t>
      </w:r>
      <w:r w:rsidRPr="007F32A3">
        <w:rPr>
          <w:rFonts w:ascii="Times New Roman" w:hAnsi="Times New Roman" w:cs="Times New Roman"/>
          <w:color w:val="000000" w:themeColor="text1"/>
          <w:sz w:val="24"/>
          <w:szCs w:val="24"/>
          <w:shd w:val="clear" w:color="auto" w:fill="FFFFFF"/>
        </w:rPr>
        <w:t>(3): 314-332.</w:t>
      </w:r>
    </w:p>
    <w:p w14:paraId="3913D27D" w14:textId="77777777" w:rsidR="008B4E20" w:rsidRDefault="008B4E20" w:rsidP="008B4E20">
      <w:pPr>
        <w:spacing w:after="0" w:line="240" w:lineRule="auto"/>
        <w:jc w:val="both"/>
        <w:rPr>
          <w:rFonts w:ascii="Times New Roman" w:hAnsi="Times New Roman" w:cs="Times New Roman"/>
          <w:color w:val="000000" w:themeColor="text1"/>
          <w:sz w:val="24"/>
          <w:szCs w:val="24"/>
          <w:shd w:val="clear" w:color="auto" w:fill="FFFFFF"/>
        </w:rPr>
      </w:pPr>
    </w:p>
    <w:p w14:paraId="507C8492" w14:textId="14FFEC2A" w:rsidR="008B4E20" w:rsidRPr="008B4E20" w:rsidRDefault="008B4E20" w:rsidP="008B4E20">
      <w:pPr>
        <w:spacing w:after="0" w:line="240" w:lineRule="auto"/>
        <w:jc w:val="both"/>
        <w:rPr>
          <w:rFonts w:ascii="Times New Roman" w:hAnsi="Times New Roman" w:cs="Times New Roman"/>
          <w:color w:val="000000" w:themeColor="text1"/>
          <w:sz w:val="24"/>
          <w:szCs w:val="24"/>
          <w:shd w:val="clear" w:color="auto" w:fill="FFFFFF"/>
        </w:rPr>
      </w:pPr>
      <w:r w:rsidRPr="008B4E20">
        <w:rPr>
          <w:rFonts w:ascii="Times New Roman" w:hAnsi="Times New Roman" w:cs="Times New Roman"/>
          <w:color w:val="000000" w:themeColor="text1"/>
          <w:sz w:val="24"/>
          <w:szCs w:val="24"/>
        </w:rPr>
        <w:t xml:space="preserve">Jerrim, J. and Sims, S. 2019. </w:t>
      </w:r>
      <w:r w:rsidRPr="008B4E20">
        <w:rPr>
          <w:rFonts w:ascii="Times New Roman" w:hAnsi="Times New Roman" w:cs="Times New Roman"/>
          <w:color w:val="0B0C0C"/>
          <w:sz w:val="24"/>
          <w:szCs w:val="24"/>
        </w:rPr>
        <w:t>Teachers in primary and secondary schools: TALIS 2018</w:t>
      </w:r>
      <w:r>
        <w:rPr>
          <w:rFonts w:ascii="Times New Roman" w:hAnsi="Times New Roman" w:cs="Times New Roman"/>
          <w:color w:val="0B0C0C"/>
          <w:sz w:val="24"/>
          <w:szCs w:val="24"/>
        </w:rPr>
        <w:t xml:space="preserve">. Accessed 26/03/2021 from </w:t>
      </w:r>
      <w:r w:rsidRPr="008B4E20">
        <w:rPr>
          <w:rFonts w:ascii="Times New Roman" w:hAnsi="Times New Roman" w:cs="Times New Roman"/>
          <w:color w:val="0B0C0C"/>
          <w:sz w:val="24"/>
          <w:szCs w:val="24"/>
        </w:rPr>
        <w:t>https://www.gov.uk/government/publications/teachers-in-primary-and-secondary-schools-talis-2018</w:t>
      </w:r>
    </w:p>
    <w:p w14:paraId="32E117D9" w14:textId="45606402" w:rsidR="008B4E20" w:rsidRPr="007F32A3" w:rsidRDefault="008B4E20" w:rsidP="00735D03">
      <w:pPr>
        <w:spacing w:after="0" w:line="240" w:lineRule="auto"/>
        <w:jc w:val="both"/>
        <w:rPr>
          <w:rFonts w:ascii="Times New Roman" w:hAnsi="Times New Roman" w:cs="Times New Roman"/>
          <w:color w:val="000000" w:themeColor="text1"/>
          <w:sz w:val="24"/>
          <w:szCs w:val="24"/>
        </w:rPr>
      </w:pPr>
    </w:p>
    <w:p w14:paraId="5C19E378"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Jerrim, J. and Sims, S. 2020a. Teacher wellbeing. How does England compare to other countries?</w:t>
      </w:r>
    </w:p>
    <w:p w14:paraId="6838581F" w14:textId="55BEB225" w:rsidR="005E2E61" w:rsidRPr="007F32A3" w:rsidRDefault="005E2E61" w:rsidP="00735D03">
      <w:pPr>
        <w:pStyle w:val="Title"/>
        <w:rPr>
          <w:rFonts w:cs="Times New Roman"/>
          <w:b w:val="0"/>
          <w:i/>
          <w:color w:val="000000" w:themeColor="text1"/>
          <w:sz w:val="24"/>
          <w:szCs w:val="24"/>
          <w:lang w:eastAsia="en-GB"/>
        </w:rPr>
      </w:pPr>
      <w:r w:rsidRPr="007F32A3">
        <w:rPr>
          <w:rFonts w:cs="Times New Roman"/>
          <w:b w:val="0"/>
          <w:color w:val="000000" w:themeColor="text1"/>
          <w:sz w:val="24"/>
          <w:szCs w:val="24"/>
          <w:lang w:eastAsia="en-GB"/>
        </w:rPr>
        <w:t>Jerrim, J.</w:t>
      </w:r>
      <w:r w:rsidR="006156C5">
        <w:rPr>
          <w:rFonts w:cs="Times New Roman"/>
          <w:b w:val="0"/>
          <w:color w:val="000000" w:themeColor="text1"/>
          <w:sz w:val="24"/>
          <w:szCs w:val="24"/>
          <w:lang w:eastAsia="en-GB"/>
        </w:rPr>
        <w:t>,</w:t>
      </w:r>
      <w:r w:rsidRPr="007F32A3">
        <w:rPr>
          <w:rFonts w:cs="Times New Roman"/>
          <w:b w:val="0"/>
          <w:color w:val="000000" w:themeColor="text1"/>
          <w:sz w:val="24"/>
          <w:szCs w:val="24"/>
          <w:lang w:eastAsia="en-GB"/>
        </w:rPr>
        <w:t xml:space="preserve"> Sims, S.</w:t>
      </w:r>
      <w:r w:rsidR="006156C5">
        <w:rPr>
          <w:rFonts w:cs="Times New Roman"/>
          <w:b w:val="0"/>
          <w:color w:val="000000" w:themeColor="text1"/>
          <w:sz w:val="24"/>
          <w:szCs w:val="24"/>
          <w:lang w:eastAsia="en-GB"/>
        </w:rPr>
        <w:t>,</w:t>
      </w:r>
      <w:r w:rsidRPr="007F32A3">
        <w:rPr>
          <w:rFonts w:cs="Times New Roman"/>
          <w:b w:val="0"/>
          <w:color w:val="000000" w:themeColor="text1"/>
          <w:sz w:val="24"/>
          <w:szCs w:val="24"/>
          <w:lang w:eastAsia="en-GB"/>
        </w:rPr>
        <w:t xml:space="preserve"> Taylor, H. and Allen, R. 2020a. How does the mental health and wellbeing of teachers compare to other professions? </w:t>
      </w:r>
      <w:r w:rsidRPr="007F32A3">
        <w:rPr>
          <w:rFonts w:cs="Times New Roman"/>
          <w:b w:val="0"/>
          <w:i/>
          <w:color w:val="000000" w:themeColor="text1"/>
          <w:sz w:val="24"/>
          <w:szCs w:val="24"/>
          <w:lang w:eastAsia="en-GB"/>
        </w:rPr>
        <w:t>Review of Education.</w:t>
      </w:r>
    </w:p>
    <w:p w14:paraId="54997BD2"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lang w:eastAsia="en-GB"/>
        </w:rPr>
      </w:pPr>
    </w:p>
    <w:p w14:paraId="1F3009F9" w14:textId="148F1E5A" w:rsidR="005E2E61" w:rsidRPr="007F32A3" w:rsidRDefault="005E2E61" w:rsidP="00735D03">
      <w:pPr>
        <w:pStyle w:val="Title"/>
        <w:rPr>
          <w:rFonts w:cs="Times New Roman"/>
          <w:b w:val="0"/>
          <w:color w:val="000000" w:themeColor="text1"/>
          <w:sz w:val="24"/>
          <w:szCs w:val="24"/>
          <w:lang w:eastAsia="en-GB"/>
        </w:rPr>
      </w:pPr>
      <w:r w:rsidRPr="007F32A3">
        <w:rPr>
          <w:rFonts w:cs="Times New Roman"/>
          <w:b w:val="0"/>
          <w:color w:val="000000" w:themeColor="text1"/>
          <w:sz w:val="24"/>
          <w:szCs w:val="24"/>
          <w:lang w:eastAsia="en-GB"/>
        </w:rPr>
        <w:t>Jerrim, J.</w:t>
      </w:r>
      <w:r w:rsidR="006156C5">
        <w:rPr>
          <w:rFonts w:cs="Times New Roman"/>
          <w:b w:val="0"/>
          <w:color w:val="000000" w:themeColor="text1"/>
          <w:sz w:val="24"/>
          <w:szCs w:val="24"/>
          <w:lang w:eastAsia="en-GB"/>
        </w:rPr>
        <w:t>,</w:t>
      </w:r>
      <w:r w:rsidRPr="007F32A3">
        <w:rPr>
          <w:rFonts w:cs="Times New Roman"/>
          <w:b w:val="0"/>
          <w:color w:val="000000" w:themeColor="text1"/>
          <w:sz w:val="24"/>
          <w:szCs w:val="24"/>
          <w:lang w:eastAsia="en-GB"/>
        </w:rPr>
        <w:t xml:space="preserve"> Sims, S.</w:t>
      </w:r>
      <w:r w:rsidR="006156C5">
        <w:rPr>
          <w:rFonts w:cs="Times New Roman"/>
          <w:b w:val="0"/>
          <w:color w:val="000000" w:themeColor="text1"/>
          <w:sz w:val="24"/>
          <w:szCs w:val="24"/>
          <w:lang w:eastAsia="en-GB"/>
        </w:rPr>
        <w:t>,</w:t>
      </w:r>
      <w:r w:rsidRPr="007F32A3">
        <w:rPr>
          <w:rFonts w:cs="Times New Roman"/>
          <w:b w:val="0"/>
          <w:color w:val="000000" w:themeColor="text1"/>
          <w:sz w:val="24"/>
          <w:szCs w:val="24"/>
          <w:lang w:eastAsia="en-GB"/>
        </w:rPr>
        <w:t xml:space="preserve"> Taylor, H. and Allen, R. 2020b. Has the mental health and wellbeing of teachers in England changed over time? New evidence from three datasets. </w:t>
      </w:r>
    </w:p>
    <w:p w14:paraId="10FB5167"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lang w:eastAsia="en-GB"/>
        </w:rPr>
      </w:pPr>
    </w:p>
    <w:p w14:paraId="146E9BE3" w14:textId="77777777" w:rsidR="005E2E61" w:rsidRPr="007F32A3" w:rsidRDefault="005E2E61" w:rsidP="00735D03">
      <w:pPr>
        <w:spacing w:after="0" w:line="240" w:lineRule="auto"/>
        <w:jc w:val="both"/>
        <w:rPr>
          <w:rFonts w:ascii="Times New Roman" w:hAnsi="Times New Roman" w:cs="Times New Roman"/>
          <w:i/>
          <w:color w:val="000000" w:themeColor="text1"/>
          <w:sz w:val="24"/>
          <w:szCs w:val="24"/>
          <w:lang w:eastAsia="en-GB"/>
        </w:rPr>
      </w:pPr>
      <w:r w:rsidRPr="007F32A3">
        <w:rPr>
          <w:rFonts w:ascii="Times New Roman" w:hAnsi="Times New Roman" w:cs="Times New Roman"/>
          <w:color w:val="000000" w:themeColor="text1"/>
          <w:sz w:val="24"/>
          <w:szCs w:val="24"/>
        </w:rPr>
        <w:t xml:space="preserve">Jerrim, J. 2020. </w:t>
      </w:r>
      <w:r w:rsidRPr="007F32A3">
        <w:rPr>
          <w:rFonts w:ascii="Times New Roman" w:hAnsi="Times New Roman" w:cs="Times New Roman"/>
          <w:color w:val="000000" w:themeColor="text1"/>
          <w:sz w:val="24"/>
          <w:szCs w:val="24"/>
          <w:lang w:eastAsia="en-GB"/>
        </w:rPr>
        <w:t xml:space="preserve">How is life as a newly qualified teacher? New evidence from a longitudinal cohort study in England. </w:t>
      </w:r>
      <w:r w:rsidRPr="007F32A3">
        <w:rPr>
          <w:rFonts w:ascii="Times New Roman" w:hAnsi="Times New Roman" w:cs="Times New Roman"/>
          <w:i/>
          <w:color w:val="000000" w:themeColor="text1"/>
          <w:sz w:val="24"/>
          <w:szCs w:val="24"/>
          <w:lang w:eastAsia="en-GB"/>
        </w:rPr>
        <w:t>British Journal of Educational Studies</w:t>
      </w:r>
    </w:p>
    <w:p w14:paraId="725F012B" w14:textId="77777777" w:rsidR="005E2E61" w:rsidRPr="007F32A3" w:rsidRDefault="005E2E61" w:rsidP="00735D03">
      <w:pPr>
        <w:spacing w:after="0" w:line="240" w:lineRule="auto"/>
        <w:jc w:val="both"/>
        <w:rPr>
          <w:rFonts w:ascii="Times New Roman" w:hAnsi="Times New Roman" w:cs="Times New Roman"/>
          <w:i/>
          <w:color w:val="000000" w:themeColor="text1"/>
          <w:sz w:val="24"/>
          <w:szCs w:val="24"/>
          <w:lang w:eastAsia="en-GB"/>
        </w:rPr>
      </w:pPr>
    </w:p>
    <w:p w14:paraId="41BCC72E" w14:textId="05892FAE"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lang w:eastAsia="en-GB"/>
        </w:rPr>
        <w:t>Jerrim, J.</w:t>
      </w:r>
      <w:r w:rsidR="006156C5">
        <w:rPr>
          <w:rFonts w:ascii="Times New Roman" w:hAnsi="Times New Roman" w:cs="Times New Roman"/>
          <w:color w:val="000000" w:themeColor="text1"/>
          <w:sz w:val="24"/>
          <w:szCs w:val="24"/>
          <w:lang w:eastAsia="en-GB"/>
        </w:rPr>
        <w:t>,</w:t>
      </w:r>
      <w:r w:rsidRPr="007F32A3">
        <w:rPr>
          <w:rFonts w:ascii="Times New Roman" w:hAnsi="Times New Roman" w:cs="Times New Roman"/>
          <w:color w:val="000000" w:themeColor="text1"/>
          <w:sz w:val="24"/>
          <w:szCs w:val="24"/>
          <w:lang w:eastAsia="en-GB"/>
        </w:rPr>
        <w:t xml:space="preserve"> Sims, S.</w:t>
      </w:r>
      <w:r w:rsidR="006156C5">
        <w:rPr>
          <w:rFonts w:ascii="Times New Roman" w:hAnsi="Times New Roman" w:cs="Times New Roman"/>
          <w:color w:val="000000" w:themeColor="text1"/>
          <w:sz w:val="24"/>
          <w:szCs w:val="24"/>
          <w:lang w:eastAsia="en-GB"/>
        </w:rPr>
        <w:t>,</w:t>
      </w:r>
      <w:r w:rsidRPr="007F32A3">
        <w:rPr>
          <w:rFonts w:ascii="Times New Roman" w:hAnsi="Times New Roman" w:cs="Times New Roman"/>
          <w:color w:val="000000" w:themeColor="text1"/>
          <w:sz w:val="24"/>
          <w:szCs w:val="24"/>
          <w:lang w:eastAsia="en-GB"/>
        </w:rPr>
        <w:t xml:space="preserve"> Taylor, H. and Allen, R. 2020c. I quit! Is there an association between leaving teaching and improvements in mental health?</w:t>
      </w:r>
    </w:p>
    <w:p w14:paraId="02321398"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56266690"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Jerrim, J. and Sims, S. 2020b. </w:t>
      </w:r>
      <w:r w:rsidRPr="007F32A3">
        <w:rPr>
          <w:rFonts w:ascii="Times New Roman" w:hAnsi="Times New Roman" w:cs="Times New Roman"/>
          <w:color w:val="000000" w:themeColor="text1"/>
          <w:sz w:val="24"/>
          <w:szCs w:val="24"/>
          <w:lang w:eastAsia="en-GB"/>
        </w:rPr>
        <w:t>Teacher workload and well-being. New international evidence from the OECD TALIS study.</w:t>
      </w:r>
    </w:p>
    <w:p w14:paraId="1A3992EF" w14:textId="77777777" w:rsidR="005E2E61" w:rsidRPr="007F32A3" w:rsidRDefault="005E2E61" w:rsidP="00735D03">
      <w:pPr>
        <w:spacing w:after="0" w:line="240" w:lineRule="auto"/>
        <w:jc w:val="both"/>
        <w:rPr>
          <w:rFonts w:ascii="Times New Roman" w:hAnsi="Times New Roman" w:cs="Times New Roman"/>
          <w:i/>
          <w:color w:val="000000" w:themeColor="text1"/>
          <w:sz w:val="24"/>
          <w:szCs w:val="24"/>
          <w:lang w:eastAsia="en-GB"/>
        </w:rPr>
      </w:pPr>
    </w:p>
    <w:p w14:paraId="2DC6A587"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lang w:eastAsia="en-GB"/>
        </w:rPr>
      </w:pPr>
      <w:r w:rsidRPr="007F32A3">
        <w:rPr>
          <w:rFonts w:ascii="Times New Roman" w:hAnsi="Times New Roman" w:cs="Times New Roman"/>
          <w:color w:val="000000" w:themeColor="text1"/>
          <w:sz w:val="24"/>
          <w:szCs w:val="24"/>
          <w:lang w:eastAsia="en-GB"/>
        </w:rPr>
        <w:t>Jerrim, J. and Sims, S. 2020c. School accountability and teacher stress. International evidence from the OECD TALIS study.</w:t>
      </w:r>
    </w:p>
    <w:p w14:paraId="38C9098E"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13805A71" w14:textId="717E574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r w:rsidRPr="007F32A3">
        <w:rPr>
          <w:rFonts w:eastAsiaTheme="minorHAnsi"/>
          <w:color w:val="000000" w:themeColor="text1"/>
        </w:rPr>
        <w:lastRenderedPageBreak/>
        <w:t>Johnson, S.</w:t>
      </w:r>
      <w:r w:rsidR="006156C5">
        <w:rPr>
          <w:rFonts w:eastAsiaTheme="minorHAnsi"/>
          <w:color w:val="000000" w:themeColor="text1"/>
        </w:rPr>
        <w:t>,</w:t>
      </w:r>
      <w:r w:rsidRPr="007F32A3">
        <w:rPr>
          <w:rFonts w:eastAsiaTheme="minorHAnsi"/>
          <w:color w:val="000000" w:themeColor="text1"/>
        </w:rPr>
        <w:t xml:space="preserve"> Cooper, C.</w:t>
      </w:r>
      <w:r w:rsidR="006156C5">
        <w:rPr>
          <w:rFonts w:eastAsiaTheme="minorHAnsi"/>
          <w:color w:val="000000" w:themeColor="text1"/>
        </w:rPr>
        <w:t>,</w:t>
      </w:r>
      <w:r w:rsidRPr="007F32A3">
        <w:rPr>
          <w:rFonts w:eastAsiaTheme="minorHAnsi"/>
          <w:color w:val="000000" w:themeColor="text1"/>
        </w:rPr>
        <w:t xml:space="preserve"> Cartwright, S.</w:t>
      </w:r>
      <w:r w:rsidR="006156C5">
        <w:rPr>
          <w:rFonts w:eastAsiaTheme="minorHAnsi"/>
          <w:color w:val="000000" w:themeColor="text1"/>
        </w:rPr>
        <w:t>,</w:t>
      </w:r>
      <w:r w:rsidRPr="007F32A3">
        <w:rPr>
          <w:rFonts w:eastAsiaTheme="minorHAnsi"/>
          <w:color w:val="000000" w:themeColor="text1"/>
        </w:rPr>
        <w:t xml:space="preserve"> </w:t>
      </w:r>
      <w:proofErr w:type="spellStart"/>
      <w:r w:rsidRPr="007F32A3">
        <w:rPr>
          <w:rFonts w:eastAsiaTheme="minorHAnsi"/>
          <w:color w:val="000000" w:themeColor="text1"/>
        </w:rPr>
        <w:t>Doland</w:t>
      </w:r>
      <w:proofErr w:type="spellEnd"/>
      <w:r w:rsidRPr="007F32A3">
        <w:rPr>
          <w:rFonts w:eastAsiaTheme="minorHAnsi"/>
          <w:color w:val="000000" w:themeColor="text1"/>
        </w:rPr>
        <w:t>, I.</w:t>
      </w:r>
      <w:r w:rsidR="006156C5">
        <w:rPr>
          <w:rFonts w:eastAsiaTheme="minorHAnsi"/>
          <w:color w:val="000000" w:themeColor="text1"/>
        </w:rPr>
        <w:t>,</w:t>
      </w:r>
      <w:r w:rsidRPr="007F32A3">
        <w:rPr>
          <w:rFonts w:eastAsiaTheme="minorHAnsi"/>
          <w:color w:val="000000" w:themeColor="text1"/>
        </w:rPr>
        <w:t xml:space="preserve"> Taylor, P. and Millet, C. 2005. The experience of work-related stress across occupations. </w:t>
      </w:r>
      <w:r w:rsidRPr="007F32A3">
        <w:rPr>
          <w:rFonts w:eastAsiaTheme="minorHAnsi"/>
          <w:i/>
          <w:iCs/>
          <w:color w:val="000000" w:themeColor="text1"/>
        </w:rPr>
        <w:t>Journal of Managerial Psychology</w:t>
      </w:r>
      <w:r w:rsidRPr="007F32A3">
        <w:rPr>
          <w:rFonts w:eastAsiaTheme="minorHAnsi"/>
          <w:color w:val="000000" w:themeColor="text1"/>
        </w:rPr>
        <w:t xml:space="preserve"> </w:t>
      </w:r>
      <w:r w:rsidRPr="007F32A3">
        <w:rPr>
          <w:rFonts w:eastAsiaTheme="minorHAnsi"/>
          <w:i/>
          <w:iCs/>
          <w:color w:val="000000" w:themeColor="text1"/>
        </w:rPr>
        <w:t>20</w:t>
      </w:r>
      <w:r w:rsidRPr="007F32A3">
        <w:rPr>
          <w:rFonts w:eastAsiaTheme="minorHAnsi"/>
          <w:color w:val="000000" w:themeColor="text1"/>
        </w:rPr>
        <w:t>(2): 178-187.</w:t>
      </w:r>
    </w:p>
    <w:p w14:paraId="3E1A49F6"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119442F4"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r w:rsidRPr="007F32A3">
        <w:rPr>
          <w:rFonts w:eastAsiaTheme="minorHAnsi"/>
          <w:color w:val="000000" w:themeColor="text1"/>
        </w:rPr>
        <w:t xml:space="preserve">Jones, B. D. and </w:t>
      </w:r>
      <w:proofErr w:type="spellStart"/>
      <w:r w:rsidRPr="007F32A3">
        <w:rPr>
          <w:rFonts w:eastAsiaTheme="minorHAnsi"/>
          <w:color w:val="000000" w:themeColor="text1"/>
        </w:rPr>
        <w:t>Egley</w:t>
      </w:r>
      <w:proofErr w:type="spellEnd"/>
      <w:r w:rsidRPr="007F32A3">
        <w:rPr>
          <w:rFonts w:eastAsiaTheme="minorHAnsi"/>
          <w:color w:val="000000" w:themeColor="text1"/>
        </w:rPr>
        <w:t xml:space="preserve">, R. J. 2004. Voices from the frontlines. Teachers’ perceptions of high-stakes testing. </w:t>
      </w:r>
      <w:r w:rsidRPr="007F32A3">
        <w:rPr>
          <w:rFonts w:eastAsiaTheme="minorHAnsi"/>
          <w:i/>
          <w:color w:val="000000" w:themeColor="text1"/>
        </w:rPr>
        <w:t>Education Policy Analysis Archives</w:t>
      </w:r>
      <w:r w:rsidRPr="007F32A3">
        <w:rPr>
          <w:rFonts w:eastAsiaTheme="minorHAnsi"/>
          <w:color w:val="000000" w:themeColor="text1"/>
        </w:rPr>
        <w:t xml:space="preserve"> 12(39). Accessed 20/01/2020 from https://epaa.asu.edu/ojs/article/view/194/320.</w:t>
      </w:r>
    </w:p>
    <w:p w14:paraId="7FD94348"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4CF72DA5" w14:textId="0F7AF0F1"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proofErr w:type="spellStart"/>
      <w:r w:rsidRPr="007F32A3">
        <w:rPr>
          <w:rFonts w:eastAsiaTheme="minorHAnsi"/>
          <w:color w:val="000000" w:themeColor="text1"/>
        </w:rPr>
        <w:t>Kidger</w:t>
      </w:r>
      <w:proofErr w:type="spellEnd"/>
      <w:r w:rsidRPr="007F32A3">
        <w:rPr>
          <w:rFonts w:eastAsiaTheme="minorHAnsi"/>
          <w:color w:val="000000" w:themeColor="text1"/>
        </w:rPr>
        <w:t>, J.</w:t>
      </w:r>
      <w:r w:rsidR="006156C5">
        <w:rPr>
          <w:rFonts w:eastAsiaTheme="minorHAnsi"/>
          <w:color w:val="000000" w:themeColor="text1"/>
        </w:rPr>
        <w:t>,</w:t>
      </w:r>
      <w:r w:rsidRPr="007F32A3">
        <w:rPr>
          <w:rFonts w:eastAsiaTheme="minorHAnsi"/>
          <w:color w:val="000000" w:themeColor="text1"/>
        </w:rPr>
        <w:t xml:space="preserve"> Brockman, R.</w:t>
      </w:r>
      <w:r w:rsidR="006156C5">
        <w:rPr>
          <w:rFonts w:eastAsiaTheme="minorHAnsi"/>
          <w:color w:val="000000" w:themeColor="text1"/>
        </w:rPr>
        <w:t>,</w:t>
      </w:r>
      <w:r w:rsidRPr="007F32A3">
        <w:rPr>
          <w:rFonts w:eastAsiaTheme="minorHAnsi"/>
          <w:color w:val="000000" w:themeColor="text1"/>
        </w:rPr>
        <w:t xml:space="preserve"> Tilling, K.</w:t>
      </w:r>
      <w:r w:rsidR="006156C5">
        <w:rPr>
          <w:rFonts w:eastAsiaTheme="minorHAnsi"/>
          <w:color w:val="000000" w:themeColor="text1"/>
        </w:rPr>
        <w:t>,</w:t>
      </w:r>
      <w:r w:rsidRPr="007F32A3">
        <w:rPr>
          <w:rFonts w:eastAsiaTheme="minorHAnsi"/>
          <w:color w:val="000000" w:themeColor="text1"/>
        </w:rPr>
        <w:t xml:space="preserve"> Campbell, R.</w:t>
      </w:r>
      <w:r w:rsidR="006156C5">
        <w:rPr>
          <w:rFonts w:eastAsiaTheme="minorHAnsi"/>
          <w:color w:val="000000" w:themeColor="text1"/>
        </w:rPr>
        <w:t>,</w:t>
      </w:r>
      <w:r w:rsidRPr="007F32A3">
        <w:rPr>
          <w:rFonts w:eastAsiaTheme="minorHAnsi"/>
          <w:color w:val="000000" w:themeColor="text1"/>
        </w:rPr>
        <w:t xml:space="preserve"> Ford, T.</w:t>
      </w:r>
      <w:r w:rsidR="006156C5">
        <w:rPr>
          <w:rFonts w:eastAsiaTheme="minorHAnsi"/>
          <w:color w:val="000000" w:themeColor="text1"/>
        </w:rPr>
        <w:t>,</w:t>
      </w:r>
      <w:r w:rsidRPr="007F32A3">
        <w:rPr>
          <w:rFonts w:eastAsiaTheme="minorHAnsi"/>
          <w:color w:val="000000" w:themeColor="text1"/>
        </w:rPr>
        <w:t xml:space="preserve"> Araya, R.</w:t>
      </w:r>
      <w:r w:rsidR="006156C5">
        <w:rPr>
          <w:rFonts w:eastAsiaTheme="minorHAnsi"/>
          <w:color w:val="000000" w:themeColor="text1"/>
        </w:rPr>
        <w:t>,</w:t>
      </w:r>
      <w:r w:rsidRPr="007F32A3">
        <w:rPr>
          <w:rFonts w:eastAsiaTheme="minorHAnsi"/>
          <w:color w:val="000000" w:themeColor="text1"/>
        </w:rPr>
        <w:t xml:space="preserve"> King, M. and </w:t>
      </w:r>
      <w:proofErr w:type="spellStart"/>
      <w:r w:rsidRPr="007F32A3">
        <w:rPr>
          <w:rFonts w:eastAsiaTheme="minorHAnsi"/>
          <w:color w:val="000000" w:themeColor="text1"/>
        </w:rPr>
        <w:t>Gunnell</w:t>
      </w:r>
      <w:proofErr w:type="spellEnd"/>
      <w:r w:rsidRPr="007F32A3">
        <w:rPr>
          <w:rFonts w:eastAsiaTheme="minorHAnsi"/>
          <w:color w:val="000000" w:themeColor="text1"/>
        </w:rPr>
        <w:t xml:space="preserve">, D. 2016. Teachers' wellbeing and depressive symptoms, and associated risk factors: A large cross-sectional study in English secondary schools. </w:t>
      </w:r>
      <w:r w:rsidRPr="007F32A3">
        <w:rPr>
          <w:rFonts w:eastAsiaTheme="minorHAnsi"/>
          <w:i/>
          <w:color w:val="000000" w:themeColor="text1"/>
        </w:rPr>
        <w:t>Journal of Affective Disorders</w:t>
      </w:r>
      <w:r w:rsidRPr="007F32A3">
        <w:rPr>
          <w:rFonts w:eastAsiaTheme="minorHAnsi"/>
          <w:color w:val="000000" w:themeColor="text1"/>
        </w:rPr>
        <w:t xml:space="preserve"> 192: 76-82.</w:t>
      </w:r>
    </w:p>
    <w:p w14:paraId="419F02F6"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0C41600D" w14:textId="7A7A079E" w:rsidR="005E2E61" w:rsidRPr="007F32A3" w:rsidRDefault="005E2E61" w:rsidP="00735D03">
      <w:pPr>
        <w:spacing w:after="0" w:line="240" w:lineRule="auto"/>
        <w:jc w:val="both"/>
        <w:rPr>
          <w:rFonts w:ascii="Times New Roman" w:hAnsi="Times New Roman" w:cs="Times New Roman"/>
          <w:color w:val="000000" w:themeColor="text1"/>
          <w:sz w:val="24"/>
          <w:szCs w:val="24"/>
        </w:rPr>
      </w:pPr>
      <w:proofErr w:type="spellStart"/>
      <w:r w:rsidRPr="007F32A3">
        <w:rPr>
          <w:rFonts w:ascii="Times New Roman" w:hAnsi="Times New Roman" w:cs="Times New Roman"/>
          <w:color w:val="000000" w:themeColor="text1"/>
          <w:sz w:val="24"/>
          <w:szCs w:val="24"/>
          <w:shd w:val="clear" w:color="auto" w:fill="FFFFFF"/>
        </w:rPr>
        <w:t>Kinman</w:t>
      </w:r>
      <w:proofErr w:type="spellEnd"/>
      <w:r w:rsidRPr="007F32A3">
        <w:rPr>
          <w:rFonts w:ascii="Times New Roman" w:hAnsi="Times New Roman" w:cs="Times New Roman"/>
          <w:color w:val="000000" w:themeColor="text1"/>
          <w:sz w:val="24"/>
          <w:szCs w:val="24"/>
          <w:shd w:val="clear" w:color="auto" w:fill="FFFFFF"/>
        </w:rPr>
        <w:t>, G.</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Wray, S. and Strange, C. 2011. Emotional labour, burnout and job satisfaction in UK teachers: The role of workplace social support. </w:t>
      </w:r>
      <w:r w:rsidRPr="007F32A3">
        <w:rPr>
          <w:rFonts w:ascii="Times New Roman" w:hAnsi="Times New Roman" w:cs="Times New Roman"/>
          <w:i/>
          <w:iCs/>
          <w:color w:val="000000" w:themeColor="text1"/>
          <w:sz w:val="24"/>
          <w:szCs w:val="24"/>
          <w:shd w:val="clear" w:color="auto" w:fill="FFFFFF"/>
        </w:rPr>
        <w:t>Educational Psychology</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31</w:t>
      </w:r>
      <w:r w:rsidRPr="007F32A3">
        <w:rPr>
          <w:rFonts w:ascii="Times New Roman" w:hAnsi="Times New Roman" w:cs="Times New Roman"/>
          <w:color w:val="000000" w:themeColor="text1"/>
          <w:sz w:val="24"/>
          <w:szCs w:val="24"/>
          <w:shd w:val="clear" w:color="auto" w:fill="FFFFFF"/>
        </w:rPr>
        <w:t>(7): 843-856.</w:t>
      </w:r>
    </w:p>
    <w:p w14:paraId="430E8D8B"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2058D787" w14:textId="36832FD6"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t>Kokkinos, C. M. 2007. Job stressors, personality and burnout in primary schoolteachers. </w:t>
      </w:r>
      <w:r w:rsidRPr="007F32A3">
        <w:rPr>
          <w:rFonts w:ascii="Times New Roman" w:hAnsi="Times New Roman" w:cs="Times New Roman"/>
          <w:i/>
          <w:iCs/>
          <w:color w:val="000000" w:themeColor="text1"/>
          <w:sz w:val="24"/>
          <w:szCs w:val="24"/>
          <w:shd w:val="clear" w:color="auto" w:fill="FFFFFF"/>
        </w:rPr>
        <w:t>British Journal of Educational Psychology</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77</w:t>
      </w:r>
      <w:r w:rsidRPr="007F32A3">
        <w:rPr>
          <w:rFonts w:ascii="Times New Roman" w:hAnsi="Times New Roman" w:cs="Times New Roman"/>
          <w:color w:val="000000" w:themeColor="text1"/>
          <w:sz w:val="24"/>
          <w:szCs w:val="24"/>
          <w:shd w:val="clear" w:color="auto" w:fill="FFFFFF"/>
        </w:rPr>
        <w:t>(1): 229-243.</w:t>
      </w:r>
    </w:p>
    <w:p w14:paraId="0B511B35"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418D6678" w14:textId="61CEECE5"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t>Kovess-Masféty</w:t>
      </w:r>
      <w:proofErr w:type="spellEnd"/>
      <w:r w:rsidRPr="007F32A3">
        <w:rPr>
          <w:rFonts w:ascii="Times New Roman" w:hAnsi="Times New Roman" w:cs="Times New Roman"/>
          <w:color w:val="000000" w:themeColor="text1"/>
          <w:sz w:val="24"/>
          <w:szCs w:val="24"/>
          <w:shd w:val="clear" w:color="auto" w:fill="FFFFFF"/>
        </w:rPr>
        <w:t>, V.</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Rios-Seidel, C. and </w:t>
      </w:r>
      <w:proofErr w:type="spellStart"/>
      <w:r w:rsidRPr="007F32A3">
        <w:rPr>
          <w:rFonts w:ascii="Times New Roman" w:hAnsi="Times New Roman" w:cs="Times New Roman"/>
          <w:color w:val="000000" w:themeColor="text1"/>
          <w:sz w:val="24"/>
          <w:szCs w:val="24"/>
          <w:shd w:val="clear" w:color="auto" w:fill="FFFFFF"/>
        </w:rPr>
        <w:t>Sevilla-Dedieu</w:t>
      </w:r>
      <w:proofErr w:type="spellEnd"/>
      <w:r w:rsidRPr="007F32A3">
        <w:rPr>
          <w:rFonts w:ascii="Times New Roman" w:hAnsi="Times New Roman" w:cs="Times New Roman"/>
          <w:color w:val="000000" w:themeColor="text1"/>
          <w:sz w:val="24"/>
          <w:szCs w:val="24"/>
          <w:shd w:val="clear" w:color="auto" w:fill="FFFFFF"/>
        </w:rPr>
        <w:t>, C. 2007. Teachers’ mental health and teaching levels. </w:t>
      </w:r>
      <w:r w:rsidRPr="007F32A3">
        <w:rPr>
          <w:rFonts w:ascii="Times New Roman" w:hAnsi="Times New Roman" w:cs="Times New Roman"/>
          <w:i/>
          <w:iCs/>
          <w:color w:val="000000" w:themeColor="text1"/>
          <w:sz w:val="24"/>
          <w:szCs w:val="24"/>
          <w:shd w:val="clear" w:color="auto" w:fill="FFFFFF"/>
        </w:rPr>
        <w:t>Teaching and Teacher Education</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23</w:t>
      </w:r>
      <w:r w:rsidRPr="007F32A3">
        <w:rPr>
          <w:rFonts w:ascii="Times New Roman" w:hAnsi="Times New Roman" w:cs="Times New Roman"/>
          <w:color w:val="000000" w:themeColor="text1"/>
          <w:sz w:val="24"/>
          <w:szCs w:val="24"/>
          <w:shd w:val="clear" w:color="auto" w:fill="FFFFFF"/>
        </w:rPr>
        <w:t>(7): 1,177-1,192.</w:t>
      </w:r>
    </w:p>
    <w:p w14:paraId="68A0D57E"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7D2B430C" w14:textId="5A630A52"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t>Kraft, M. A.</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Marinell</w:t>
      </w:r>
      <w:proofErr w:type="spellEnd"/>
      <w:r w:rsidRPr="007F32A3">
        <w:rPr>
          <w:rFonts w:ascii="Times New Roman" w:hAnsi="Times New Roman" w:cs="Times New Roman"/>
          <w:color w:val="000000" w:themeColor="text1"/>
          <w:sz w:val="24"/>
          <w:szCs w:val="24"/>
          <w:shd w:val="clear" w:color="auto" w:fill="FFFFFF"/>
        </w:rPr>
        <w:t>, W. H. and Shen-Wei Yee, D. 2016. School organizational contexts, teacher turnover, and student achievement: Evidence from panel data. </w:t>
      </w:r>
      <w:r w:rsidRPr="007F32A3">
        <w:rPr>
          <w:rFonts w:ascii="Times New Roman" w:hAnsi="Times New Roman" w:cs="Times New Roman"/>
          <w:i/>
          <w:iCs/>
          <w:color w:val="000000" w:themeColor="text1"/>
          <w:sz w:val="24"/>
          <w:szCs w:val="24"/>
          <w:shd w:val="clear" w:color="auto" w:fill="FFFFFF"/>
        </w:rPr>
        <w:t>American Educational Research Journal</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53</w:t>
      </w:r>
      <w:r w:rsidRPr="007F32A3">
        <w:rPr>
          <w:rFonts w:ascii="Times New Roman" w:hAnsi="Times New Roman" w:cs="Times New Roman"/>
          <w:color w:val="000000" w:themeColor="text1"/>
          <w:sz w:val="24"/>
          <w:szCs w:val="24"/>
          <w:shd w:val="clear" w:color="auto" w:fill="FFFFFF"/>
        </w:rPr>
        <w:t>(5): 1,411-1,449.</w:t>
      </w:r>
    </w:p>
    <w:p w14:paraId="7FB8225C"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560B1F21"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Ladd, H. F. 2011. Teachers’ perceptions of their working conditions: How predictive of planned and actual teacher movement? </w:t>
      </w:r>
      <w:r w:rsidRPr="007F32A3">
        <w:rPr>
          <w:rFonts w:ascii="Times New Roman" w:hAnsi="Times New Roman" w:cs="Times New Roman"/>
          <w:i/>
          <w:iCs/>
          <w:color w:val="000000" w:themeColor="text1"/>
          <w:sz w:val="24"/>
          <w:szCs w:val="24"/>
        </w:rPr>
        <w:t>Educational Evaluation and Policy Analysis</w:t>
      </w:r>
      <w:r w:rsidRPr="007F32A3">
        <w:rPr>
          <w:rFonts w:ascii="Times New Roman" w:hAnsi="Times New Roman" w:cs="Times New Roman"/>
          <w:color w:val="000000" w:themeColor="text1"/>
          <w:sz w:val="24"/>
          <w:szCs w:val="24"/>
        </w:rPr>
        <w:t> </w:t>
      </w:r>
      <w:r w:rsidRPr="007F32A3">
        <w:rPr>
          <w:rFonts w:ascii="Times New Roman" w:hAnsi="Times New Roman" w:cs="Times New Roman"/>
          <w:i/>
          <w:iCs/>
          <w:color w:val="000000" w:themeColor="text1"/>
          <w:sz w:val="24"/>
          <w:szCs w:val="24"/>
        </w:rPr>
        <w:t>33</w:t>
      </w:r>
      <w:r w:rsidRPr="007F32A3">
        <w:rPr>
          <w:rFonts w:ascii="Times New Roman" w:hAnsi="Times New Roman" w:cs="Times New Roman"/>
          <w:color w:val="000000" w:themeColor="text1"/>
          <w:sz w:val="24"/>
          <w:szCs w:val="24"/>
        </w:rPr>
        <w:t>(2): 235-261.</w:t>
      </w:r>
    </w:p>
    <w:p w14:paraId="03B60AA3" w14:textId="77777777" w:rsidR="005E2E61" w:rsidRPr="007F32A3" w:rsidRDefault="005E2E61" w:rsidP="00735D03">
      <w:pPr>
        <w:pStyle w:val="textbox"/>
        <w:shd w:val="clear" w:color="auto" w:fill="FFFFFF"/>
        <w:spacing w:before="0" w:beforeAutospacing="0" w:after="0" w:afterAutospacing="0"/>
        <w:jc w:val="both"/>
        <w:rPr>
          <w:color w:val="000000" w:themeColor="text1"/>
          <w:shd w:val="clear" w:color="auto" w:fill="FFFFFF"/>
        </w:rPr>
      </w:pPr>
    </w:p>
    <w:p w14:paraId="79C2B3ED" w14:textId="77777777" w:rsidR="005E2E61" w:rsidRPr="007F32A3" w:rsidRDefault="005E2E61" w:rsidP="00735D03">
      <w:pPr>
        <w:pStyle w:val="textbox"/>
        <w:shd w:val="clear" w:color="auto" w:fill="FFFFFF"/>
        <w:spacing w:before="0" w:beforeAutospacing="0" w:after="0" w:afterAutospacing="0"/>
        <w:jc w:val="both"/>
        <w:rPr>
          <w:color w:val="000000" w:themeColor="text1"/>
        </w:rPr>
      </w:pPr>
      <w:r w:rsidRPr="007F32A3">
        <w:rPr>
          <w:color w:val="000000" w:themeColor="text1"/>
          <w:shd w:val="clear" w:color="auto" w:fill="FFFFFF"/>
        </w:rPr>
        <w:t>Lam, B. H. and Yan, H. F. 2011. Beginning teachers’ job satisfaction: The impact of school-based factors. </w:t>
      </w:r>
      <w:r w:rsidRPr="007F32A3">
        <w:rPr>
          <w:i/>
          <w:iCs/>
          <w:color w:val="000000" w:themeColor="text1"/>
          <w:shd w:val="clear" w:color="auto" w:fill="FFFFFF"/>
        </w:rPr>
        <w:t>Teacher Development</w:t>
      </w:r>
      <w:r w:rsidRPr="007F32A3">
        <w:rPr>
          <w:color w:val="000000" w:themeColor="text1"/>
          <w:shd w:val="clear" w:color="auto" w:fill="FFFFFF"/>
        </w:rPr>
        <w:t>, </w:t>
      </w:r>
      <w:r w:rsidRPr="007F32A3">
        <w:rPr>
          <w:i/>
          <w:iCs/>
          <w:color w:val="000000" w:themeColor="text1"/>
          <w:shd w:val="clear" w:color="auto" w:fill="FFFFFF"/>
        </w:rPr>
        <w:t>15</w:t>
      </w:r>
      <w:r w:rsidRPr="007F32A3">
        <w:rPr>
          <w:color w:val="000000" w:themeColor="text1"/>
          <w:shd w:val="clear" w:color="auto" w:fill="FFFFFF"/>
        </w:rPr>
        <w:t>(3): 333-348.</w:t>
      </w:r>
    </w:p>
    <w:p w14:paraId="3D7D8B73" w14:textId="77777777" w:rsidR="005E2E61" w:rsidRPr="007F32A3" w:rsidRDefault="005E2E61" w:rsidP="00735D03">
      <w:pPr>
        <w:pStyle w:val="textbox"/>
        <w:shd w:val="clear" w:color="auto" w:fill="FFFFFF"/>
        <w:spacing w:before="0" w:beforeAutospacing="0" w:after="0" w:afterAutospacing="0"/>
        <w:contextualSpacing/>
        <w:jc w:val="both"/>
        <w:rPr>
          <w:color w:val="000000" w:themeColor="text1"/>
        </w:rPr>
      </w:pPr>
    </w:p>
    <w:p w14:paraId="145B9A77" w14:textId="77777777" w:rsidR="005E2E61" w:rsidRPr="007F32A3" w:rsidRDefault="005E2E61" w:rsidP="00735D03">
      <w:pPr>
        <w:pStyle w:val="textbox"/>
        <w:shd w:val="clear" w:color="auto" w:fill="FFFFFF"/>
        <w:spacing w:before="0" w:beforeAutospacing="0" w:after="0" w:afterAutospacing="0"/>
        <w:contextualSpacing/>
        <w:jc w:val="both"/>
        <w:rPr>
          <w:color w:val="000000" w:themeColor="text1"/>
        </w:rPr>
      </w:pPr>
      <w:r w:rsidRPr="007F32A3">
        <w:rPr>
          <w:color w:val="000000" w:themeColor="text1"/>
        </w:rPr>
        <w:t xml:space="preserve">Liberal Democrats. 2018. </w:t>
      </w:r>
      <w:r w:rsidRPr="007F32A3">
        <w:rPr>
          <w:bCs/>
          <w:color w:val="000000" w:themeColor="text1"/>
          <w:spacing w:val="11"/>
        </w:rPr>
        <w:t>3,750 teachers in England on long-term stress leave.</w:t>
      </w:r>
      <w:r w:rsidRPr="007F32A3">
        <w:rPr>
          <w:color w:val="000000" w:themeColor="text1"/>
        </w:rPr>
        <w:t xml:space="preserve"> Accessed 19/01/2020 from </w:t>
      </w:r>
      <w:hyperlink r:id="rId92" w:history="1">
        <w:r w:rsidRPr="007F32A3">
          <w:rPr>
            <w:rStyle w:val="Hyperlink"/>
            <w:color w:val="000000" w:themeColor="text1"/>
          </w:rPr>
          <w:t>https://www.libdems.org.uk/3750-teachers-england-on-long-term-stress-leave</w:t>
        </w:r>
      </w:hyperlink>
      <w:r w:rsidRPr="007F32A3">
        <w:rPr>
          <w:color w:val="000000" w:themeColor="text1"/>
        </w:rPr>
        <w:t xml:space="preserve"> </w:t>
      </w:r>
    </w:p>
    <w:p w14:paraId="194178FC"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7FCB2666" w14:textId="3B998E43" w:rsidR="005E2E61" w:rsidRPr="007F32A3" w:rsidRDefault="005E2E61" w:rsidP="00735D03">
      <w:pPr>
        <w:spacing w:after="0" w:line="240" w:lineRule="auto"/>
        <w:jc w:val="both"/>
        <w:rPr>
          <w:rFonts w:ascii="Times New Roman" w:hAnsi="Times New Roman" w:cs="Times New Roman"/>
          <w:color w:val="000000" w:themeColor="text1"/>
          <w:sz w:val="24"/>
          <w:szCs w:val="24"/>
        </w:rPr>
      </w:pPr>
      <w:proofErr w:type="spellStart"/>
      <w:r w:rsidRPr="007F32A3">
        <w:rPr>
          <w:rFonts w:ascii="Times New Roman" w:hAnsi="Times New Roman" w:cs="Times New Roman"/>
          <w:color w:val="000000" w:themeColor="text1"/>
          <w:sz w:val="24"/>
          <w:szCs w:val="24"/>
        </w:rPr>
        <w:t>Longhi</w:t>
      </w:r>
      <w:proofErr w:type="spellEnd"/>
      <w:r w:rsidRPr="007F32A3">
        <w:rPr>
          <w:rFonts w:ascii="Times New Roman" w:hAnsi="Times New Roman" w:cs="Times New Roman"/>
          <w:color w:val="000000" w:themeColor="text1"/>
          <w:sz w:val="24"/>
          <w:szCs w:val="24"/>
        </w:rPr>
        <w:t>, S.</w:t>
      </w:r>
      <w:r w:rsidR="006156C5">
        <w:rPr>
          <w:rFonts w:ascii="Times New Roman" w:hAnsi="Times New Roman" w:cs="Times New Roman"/>
          <w:color w:val="000000" w:themeColor="text1"/>
          <w:sz w:val="24"/>
          <w:szCs w:val="24"/>
        </w:rPr>
        <w:t>,</w:t>
      </w:r>
      <w:r w:rsidRPr="007F32A3">
        <w:rPr>
          <w:rFonts w:ascii="Times New Roman" w:hAnsi="Times New Roman" w:cs="Times New Roman"/>
          <w:color w:val="000000" w:themeColor="text1"/>
          <w:sz w:val="24"/>
          <w:szCs w:val="24"/>
        </w:rPr>
        <w:t xml:space="preserve"> Nandi, A.</w:t>
      </w:r>
      <w:r w:rsidR="006156C5">
        <w:rPr>
          <w:rFonts w:ascii="Times New Roman" w:hAnsi="Times New Roman" w:cs="Times New Roman"/>
          <w:color w:val="000000" w:themeColor="text1"/>
          <w:sz w:val="24"/>
          <w:szCs w:val="24"/>
        </w:rPr>
        <w:t>,</w:t>
      </w:r>
      <w:r w:rsidRPr="007F32A3">
        <w:rPr>
          <w:rFonts w:ascii="Times New Roman" w:hAnsi="Times New Roman" w:cs="Times New Roman"/>
          <w:color w:val="000000" w:themeColor="text1"/>
          <w:sz w:val="24"/>
          <w:szCs w:val="24"/>
        </w:rPr>
        <w:t xml:space="preserve"> Bryan, M.</w:t>
      </w:r>
      <w:r w:rsidR="006156C5">
        <w:rPr>
          <w:rFonts w:ascii="Times New Roman" w:hAnsi="Times New Roman" w:cs="Times New Roman"/>
          <w:color w:val="000000" w:themeColor="text1"/>
          <w:sz w:val="24"/>
          <w:szCs w:val="24"/>
        </w:rPr>
        <w:t>,</w:t>
      </w:r>
      <w:r w:rsidRPr="007F32A3">
        <w:rPr>
          <w:rFonts w:ascii="Times New Roman" w:hAnsi="Times New Roman" w:cs="Times New Roman"/>
          <w:color w:val="000000" w:themeColor="text1"/>
          <w:sz w:val="24"/>
          <w:szCs w:val="24"/>
        </w:rPr>
        <w:t xml:space="preserve"> Connolly, S. and </w:t>
      </w:r>
      <w:proofErr w:type="spellStart"/>
      <w:r w:rsidRPr="007F32A3">
        <w:rPr>
          <w:rFonts w:ascii="Times New Roman" w:hAnsi="Times New Roman" w:cs="Times New Roman"/>
          <w:color w:val="000000" w:themeColor="text1"/>
          <w:sz w:val="24"/>
          <w:szCs w:val="24"/>
        </w:rPr>
        <w:t>Gedikli</w:t>
      </w:r>
      <w:proofErr w:type="spellEnd"/>
      <w:r w:rsidRPr="007F32A3">
        <w:rPr>
          <w:rFonts w:ascii="Times New Roman" w:hAnsi="Times New Roman" w:cs="Times New Roman"/>
          <w:color w:val="000000" w:themeColor="text1"/>
          <w:sz w:val="24"/>
          <w:szCs w:val="24"/>
        </w:rPr>
        <w:t xml:space="preserve">, C. 2019. </w:t>
      </w:r>
      <w:r w:rsidRPr="007F32A3">
        <w:rPr>
          <w:rFonts w:ascii="Times New Roman" w:hAnsi="Times New Roman" w:cs="Times New Roman"/>
          <w:i/>
          <w:iCs/>
          <w:color w:val="000000" w:themeColor="text1"/>
          <w:sz w:val="24"/>
          <w:szCs w:val="24"/>
        </w:rPr>
        <w:t>Do all job changes increase wellbeing?</w:t>
      </w:r>
      <w:r w:rsidRPr="007F32A3">
        <w:rPr>
          <w:rFonts w:ascii="Times New Roman" w:hAnsi="Times New Roman" w:cs="Times New Roman"/>
          <w:color w:val="000000" w:themeColor="text1"/>
          <w:sz w:val="24"/>
          <w:szCs w:val="24"/>
        </w:rPr>
        <w:t xml:space="preserve"> What Works Wellbeing.</w:t>
      </w:r>
    </w:p>
    <w:p w14:paraId="2F8D0281"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4FA5D49F" w14:textId="77777777" w:rsidR="005E2E61" w:rsidRPr="007F32A3" w:rsidRDefault="005E2E61" w:rsidP="00735D03">
      <w:pPr>
        <w:spacing w:after="0" w:line="240" w:lineRule="auto"/>
        <w:jc w:val="both"/>
        <w:rPr>
          <w:rFonts w:ascii="Times New Roman" w:eastAsia="Times New Roman" w:hAnsi="Times New Roman" w:cs="Times New Roman"/>
          <w:color w:val="000000" w:themeColor="text1"/>
          <w:sz w:val="24"/>
          <w:szCs w:val="24"/>
          <w:lang w:eastAsia="en-GB"/>
        </w:rPr>
      </w:pPr>
      <w:r w:rsidRPr="007F32A3">
        <w:rPr>
          <w:rFonts w:ascii="Times New Roman" w:hAnsi="Times New Roman" w:cs="Times New Roman"/>
          <w:color w:val="000000" w:themeColor="text1"/>
          <w:sz w:val="24"/>
          <w:szCs w:val="24"/>
        </w:rPr>
        <w:t xml:space="preserve">Lough, C. 2019. </w:t>
      </w:r>
      <w:r w:rsidRPr="007F32A3">
        <w:rPr>
          <w:rFonts w:ascii="Times New Roman" w:hAnsi="Times New Roman" w:cs="Times New Roman"/>
          <w:color w:val="000000" w:themeColor="text1"/>
          <w:sz w:val="24"/>
          <w:szCs w:val="24"/>
          <w:shd w:val="clear" w:color="auto" w:fill="FFFFFF"/>
        </w:rPr>
        <w:t>England's heads 'the most data-driven'. TES 15</w:t>
      </w:r>
      <w:r w:rsidRPr="007F32A3">
        <w:rPr>
          <w:rFonts w:ascii="Times New Roman" w:hAnsi="Times New Roman" w:cs="Times New Roman"/>
          <w:color w:val="000000" w:themeColor="text1"/>
          <w:sz w:val="24"/>
          <w:szCs w:val="24"/>
          <w:shd w:val="clear" w:color="auto" w:fill="FFFFFF"/>
          <w:vertAlign w:val="superscript"/>
        </w:rPr>
        <w:t>th</w:t>
      </w:r>
      <w:r w:rsidRPr="007F32A3">
        <w:rPr>
          <w:rFonts w:ascii="Times New Roman" w:hAnsi="Times New Roman" w:cs="Times New Roman"/>
          <w:color w:val="000000" w:themeColor="text1"/>
          <w:sz w:val="24"/>
          <w:szCs w:val="24"/>
          <w:shd w:val="clear" w:color="auto" w:fill="FFFFFF"/>
        </w:rPr>
        <w:t xml:space="preserve"> October 2019. Accessed 09/01/2020 from </w:t>
      </w:r>
      <w:hyperlink r:id="rId93" w:history="1">
        <w:r w:rsidRPr="007F32A3">
          <w:rPr>
            <w:rStyle w:val="Hyperlink"/>
            <w:rFonts w:ascii="Times New Roman" w:hAnsi="Times New Roman" w:cs="Times New Roman"/>
            <w:color w:val="000000" w:themeColor="text1"/>
            <w:sz w:val="24"/>
            <w:szCs w:val="24"/>
            <w:shd w:val="clear" w:color="auto" w:fill="FFFFFF"/>
          </w:rPr>
          <w:t>https://www.tes.com/news/englands-heads-most-data-driven</w:t>
        </w:r>
      </w:hyperlink>
      <w:r w:rsidRPr="007F32A3">
        <w:rPr>
          <w:rFonts w:ascii="Times New Roman" w:hAnsi="Times New Roman" w:cs="Times New Roman"/>
          <w:color w:val="000000" w:themeColor="text1"/>
          <w:sz w:val="24"/>
          <w:szCs w:val="24"/>
          <w:shd w:val="clear" w:color="auto" w:fill="FFFFFF"/>
        </w:rPr>
        <w:t xml:space="preserve"> </w:t>
      </w:r>
    </w:p>
    <w:p w14:paraId="27DAB5B9"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0C7A4B82" w14:textId="2F2FBFD8"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t>Masilamani</w:t>
      </w:r>
      <w:proofErr w:type="spellEnd"/>
      <w:r w:rsidRPr="007F32A3">
        <w:rPr>
          <w:rFonts w:ascii="Times New Roman" w:hAnsi="Times New Roman" w:cs="Times New Roman"/>
          <w:color w:val="000000" w:themeColor="text1"/>
          <w:sz w:val="24"/>
          <w:szCs w:val="24"/>
          <w:shd w:val="clear" w:color="auto" w:fill="FFFFFF"/>
        </w:rPr>
        <w:t>, R.</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Darus</w:t>
      </w:r>
      <w:proofErr w:type="spellEnd"/>
      <w:r w:rsidRPr="007F32A3">
        <w:rPr>
          <w:rFonts w:ascii="Times New Roman" w:hAnsi="Times New Roman" w:cs="Times New Roman"/>
          <w:color w:val="000000" w:themeColor="text1"/>
          <w:sz w:val="24"/>
          <w:szCs w:val="24"/>
          <w:shd w:val="clear" w:color="auto" w:fill="FFFFFF"/>
        </w:rPr>
        <w:t>, A.</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Ting, A. S.</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Ali, R.</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Mahmud, A. B. A. and David, K. 2012. Salivary biomarkers of stress among teachers in an urban setting. </w:t>
      </w:r>
      <w:r w:rsidRPr="007F32A3">
        <w:rPr>
          <w:rFonts w:ascii="Times New Roman" w:hAnsi="Times New Roman" w:cs="Times New Roman"/>
          <w:i/>
          <w:iCs/>
          <w:color w:val="000000" w:themeColor="text1"/>
          <w:sz w:val="24"/>
          <w:szCs w:val="24"/>
          <w:shd w:val="clear" w:color="auto" w:fill="FFFFFF"/>
        </w:rPr>
        <w:t>Asia Pacific Journal of Public Health</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24</w:t>
      </w:r>
      <w:r w:rsidRPr="007F32A3">
        <w:rPr>
          <w:rFonts w:ascii="Times New Roman" w:hAnsi="Times New Roman" w:cs="Times New Roman"/>
          <w:color w:val="000000" w:themeColor="text1"/>
          <w:sz w:val="24"/>
          <w:szCs w:val="24"/>
          <w:shd w:val="clear" w:color="auto" w:fill="FFFFFF"/>
        </w:rPr>
        <w:t>(2): 278-287.</w:t>
      </w:r>
    </w:p>
    <w:p w14:paraId="4AAF70C6"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p>
    <w:p w14:paraId="47863EC3" w14:textId="54B96702"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t>Mauss</w:t>
      </w:r>
      <w:proofErr w:type="spellEnd"/>
      <w:r w:rsidRPr="007F32A3">
        <w:rPr>
          <w:rFonts w:ascii="Times New Roman" w:hAnsi="Times New Roman" w:cs="Times New Roman"/>
          <w:color w:val="000000" w:themeColor="text1"/>
          <w:sz w:val="24"/>
          <w:szCs w:val="24"/>
          <w:shd w:val="clear" w:color="auto" w:fill="FFFFFF"/>
        </w:rPr>
        <w:t>, D.</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Li, J.</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Schmidt, B.</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Angerer</w:t>
      </w:r>
      <w:proofErr w:type="spellEnd"/>
      <w:r w:rsidRPr="007F32A3">
        <w:rPr>
          <w:rFonts w:ascii="Times New Roman" w:hAnsi="Times New Roman" w:cs="Times New Roman"/>
          <w:color w:val="000000" w:themeColor="text1"/>
          <w:sz w:val="24"/>
          <w:szCs w:val="24"/>
          <w:shd w:val="clear" w:color="auto" w:fill="FFFFFF"/>
        </w:rPr>
        <w:t xml:space="preserve">, P. and </w:t>
      </w:r>
      <w:proofErr w:type="spellStart"/>
      <w:r w:rsidRPr="007F32A3">
        <w:rPr>
          <w:rFonts w:ascii="Times New Roman" w:hAnsi="Times New Roman" w:cs="Times New Roman"/>
          <w:color w:val="000000" w:themeColor="text1"/>
          <w:sz w:val="24"/>
          <w:szCs w:val="24"/>
          <w:shd w:val="clear" w:color="auto" w:fill="FFFFFF"/>
        </w:rPr>
        <w:t>Jarczok</w:t>
      </w:r>
      <w:proofErr w:type="spellEnd"/>
      <w:r w:rsidRPr="007F32A3">
        <w:rPr>
          <w:rFonts w:ascii="Times New Roman" w:hAnsi="Times New Roman" w:cs="Times New Roman"/>
          <w:color w:val="000000" w:themeColor="text1"/>
          <w:sz w:val="24"/>
          <w:szCs w:val="24"/>
          <w:shd w:val="clear" w:color="auto" w:fill="FFFFFF"/>
        </w:rPr>
        <w:t xml:space="preserve">, M. N. 2015. Measuring </w:t>
      </w:r>
      <w:proofErr w:type="spellStart"/>
      <w:r w:rsidRPr="007F32A3">
        <w:rPr>
          <w:rFonts w:ascii="Times New Roman" w:hAnsi="Times New Roman" w:cs="Times New Roman"/>
          <w:color w:val="000000" w:themeColor="text1"/>
          <w:sz w:val="24"/>
          <w:szCs w:val="24"/>
          <w:shd w:val="clear" w:color="auto" w:fill="FFFFFF"/>
        </w:rPr>
        <w:t>allostatic</w:t>
      </w:r>
      <w:proofErr w:type="spellEnd"/>
      <w:r w:rsidRPr="007F32A3">
        <w:rPr>
          <w:rFonts w:ascii="Times New Roman" w:hAnsi="Times New Roman" w:cs="Times New Roman"/>
          <w:color w:val="000000" w:themeColor="text1"/>
          <w:sz w:val="24"/>
          <w:szCs w:val="24"/>
          <w:shd w:val="clear" w:color="auto" w:fill="FFFFFF"/>
        </w:rPr>
        <w:t xml:space="preserve"> load in the workforce—a systematic review. </w:t>
      </w:r>
      <w:r w:rsidRPr="007F32A3">
        <w:rPr>
          <w:rFonts w:ascii="Times New Roman" w:hAnsi="Times New Roman" w:cs="Times New Roman"/>
          <w:i/>
          <w:iCs/>
          <w:color w:val="000000" w:themeColor="text1"/>
          <w:sz w:val="24"/>
          <w:szCs w:val="24"/>
          <w:shd w:val="clear" w:color="auto" w:fill="FFFFFF"/>
        </w:rPr>
        <w:t>Industrial Health</w:t>
      </w:r>
      <w:r w:rsidRPr="007F32A3">
        <w:rPr>
          <w:rFonts w:ascii="Times New Roman" w:hAnsi="Times New Roman" w:cs="Times New Roman"/>
          <w:color w:val="000000" w:themeColor="text1"/>
          <w:sz w:val="24"/>
          <w:szCs w:val="24"/>
          <w:shd w:val="clear" w:color="auto" w:fill="FFFFFF"/>
        </w:rPr>
        <w:t xml:space="preserve"> </w:t>
      </w:r>
      <w:r w:rsidRPr="007F32A3">
        <w:rPr>
          <w:rFonts w:ascii="Times New Roman" w:hAnsi="Times New Roman" w:cs="Times New Roman"/>
          <w:i/>
          <w:iCs/>
          <w:color w:val="000000" w:themeColor="text1"/>
          <w:sz w:val="24"/>
          <w:szCs w:val="24"/>
          <w:shd w:val="clear" w:color="auto" w:fill="FFFFFF"/>
        </w:rPr>
        <w:t>53</w:t>
      </w:r>
      <w:r w:rsidRPr="007F32A3">
        <w:rPr>
          <w:rFonts w:ascii="Times New Roman" w:hAnsi="Times New Roman" w:cs="Times New Roman"/>
          <w:color w:val="000000" w:themeColor="text1"/>
          <w:sz w:val="24"/>
          <w:szCs w:val="24"/>
          <w:shd w:val="clear" w:color="auto" w:fill="FFFFFF"/>
        </w:rPr>
        <w:t>: 5–20.</w:t>
      </w:r>
    </w:p>
    <w:p w14:paraId="042288B9"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p>
    <w:p w14:paraId="3BE3D86E"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lastRenderedPageBreak/>
        <w:t xml:space="preserve">McEwen, B. S. 1998. Stress, adaptation, and disease: </w:t>
      </w:r>
      <w:proofErr w:type="spellStart"/>
      <w:r w:rsidRPr="007F32A3">
        <w:rPr>
          <w:rFonts w:ascii="Times New Roman" w:hAnsi="Times New Roman" w:cs="Times New Roman"/>
          <w:color w:val="000000" w:themeColor="text1"/>
          <w:sz w:val="24"/>
          <w:szCs w:val="24"/>
          <w:shd w:val="clear" w:color="auto" w:fill="FFFFFF"/>
        </w:rPr>
        <w:t>Allostasis</w:t>
      </w:r>
      <w:proofErr w:type="spellEnd"/>
      <w:r w:rsidRPr="007F32A3">
        <w:rPr>
          <w:rFonts w:ascii="Times New Roman" w:hAnsi="Times New Roman" w:cs="Times New Roman"/>
          <w:color w:val="000000" w:themeColor="text1"/>
          <w:sz w:val="24"/>
          <w:szCs w:val="24"/>
          <w:shd w:val="clear" w:color="auto" w:fill="FFFFFF"/>
        </w:rPr>
        <w:t xml:space="preserve"> and </w:t>
      </w:r>
      <w:proofErr w:type="spellStart"/>
      <w:r w:rsidRPr="007F32A3">
        <w:rPr>
          <w:rFonts w:ascii="Times New Roman" w:hAnsi="Times New Roman" w:cs="Times New Roman"/>
          <w:color w:val="000000" w:themeColor="text1"/>
          <w:sz w:val="24"/>
          <w:szCs w:val="24"/>
          <w:shd w:val="clear" w:color="auto" w:fill="FFFFFF"/>
        </w:rPr>
        <w:t>allostatic</w:t>
      </w:r>
      <w:proofErr w:type="spellEnd"/>
      <w:r w:rsidRPr="007F32A3">
        <w:rPr>
          <w:rFonts w:ascii="Times New Roman" w:hAnsi="Times New Roman" w:cs="Times New Roman"/>
          <w:color w:val="000000" w:themeColor="text1"/>
          <w:sz w:val="24"/>
          <w:szCs w:val="24"/>
          <w:shd w:val="clear" w:color="auto" w:fill="FFFFFF"/>
        </w:rPr>
        <w:t xml:space="preserve"> load. </w:t>
      </w:r>
      <w:r w:rsidRPr="007F32A3">
        <w:rPr>
          <w:rFonts w:ascii="Times New Roman" w:hAnsi="Times New Roman" w:cs="Times New Roman"/>
          <w:i/>
          <w:iCs/>
          <w:color w:val="000000" w:themeColor="text1"/>
          <w:sz w:val="24"/>
          <w:szCs w:val="24"/>
          <w:shd w:val="clear" w:color="auto" w:fill="FFFFFF"/>
        </w:rPr>
        <w:t>Annals of the New York Academy of Sciences</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840</w:t>
      </w:r>
      <w:r w:rsidRPr="007F32A3">
        <w:rPr>
          <w:rFonts w:ascii="Times New Roman" w:hAnsi="Times New Roman" w:cs="Times New Roman"/>
          <w:color w:val="000000" w:themeColor="text1"/>
          <w:sz w:val="24"/>
          <w:szCs w:val="24"/>
          <w:shd w:val="clear" w:color="auto" w:fill="FFFFFF"/>
        </w:rPr>
        <w:t>(1): 33-44.</w:t>
      </w:r>
    </w:p>
    <w:p w14:paraId="2EF2C8C8"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p>
    <w:p w14:paraId="330D6BCF" w14:textId="77777777" w:rsidR="005E2E61" w:rsidRPr="007F32A3" w:rsidRDefault="005E2E61" w:rsidP="00735D03">
      <w:pPr>
        <w:pStyle w:val="textbox"/>
        <w:shd w:val="clear" w:color="auto" w:fill="FFFFFF"/>
        <w:spacing w:before="0" w:beforeAutospacing="0" w:after="0" w:afterAutospacing="0"/>
        <w:jc w:val="both"/>
        <w:rPr>
          <w:color w:val="000000" w:themeColor="text1"/>
        </w:rPr>
      </w:pPr>
      <w:r w:rsidRPr="007F32A3">
        <w:rPr>
          <w:color w:val="000000" w:themeColor="text1"/>
        </w:rPr>
        <w:t xml:space="preserve">National Education Union. 2018. Teachers’ workloads. Accessed 27/08/2019 from </w:t>
      </w:r>
      <w:hyperlink r:id="rId94" w:history="1">
        <w:r w:rsidRPr="007F32A3">
          <w:rPr>
            <w:rStyle w:val="Hyperlink"/>
            <w:color w:val="000000" w:themeColor="text1"/>
          </w:rPr>
          <w:t>https://neu.org.uk/policy/teachers-workload</w:t>
        </w:r>
      </w:hyperlink>
      <w:r w:rsidRPr="007F32A3">
        <w:rPr>
          <w:color w:val="000000" w:themeColor="text1"/>
        </w:rPr>
        <w:t xml:space="preserve"> </w:t>
      </w:r>
    </w:p>
    <w:p w14:paraId="24EDC529" w14:textId="51D92417" w:rsidR="005E2E61" w:rsidRDefault="005E2E61" w:rsidP="00735D03">
      <w:pPr>
        <w:pStyle w:val="textbox"/>
        <w:shd w:val="clear" w:color="auto" w:fill="FFFFFF"/>
        <w:spacing w:before="0" w:beforeAutospacing="0" w:after="0" w:afterAutospacing="0"/>
        <w:jc w:val="both"/>
        <w:rPr>
          <w:rFonts w:eastAsiaTheme="minorHAnsi"/>
          <w:color w:val="000000" w:themeColor="text1"/>
        </w:rPr>
      </w:pPr>
    </w:p>
    <w:p w14:paraId="5104932B" w14:textId="5AC02470" w:rsidR="008B4E20" w:rsidRDefault="008B4E20" w:rsidP="00735D03">
      <w:pPr>
        <w:pStyle w:val="textbox"/>
        <w:shd w:val="clear" w:color="auto" w:fill="FFFFFF"/>
        <w:spacing w:before="0" w:beforeAutospacing="0" w:after="0" w:afterAutospacing="0"/>
        <w:jc w:val="both"/>
        <w:rPr>
          <w:rFonts w:eastAsiaTheme="minorHAnsi"/>
          <w:color w:val="000000" w:themeColor="text1"/>
        </w:rPr>
      </w:pPr>
      <w:r>
        <w:rPr>
          <w:rFonts w:eastAsiaTheme="minorHAnsi"/>
          <w:color w:val="000000" w:themeColor="text1"/>
        </w:rPr>
        <w:t xml:space="preserve">NHS Digital. 2017. </w:t>
      </w:r>
      <w:r>
        <w:t xml:space="preserve">Health Survey for England 2016 Well-being and mental health. Accessed 26/03/2021 from </w:t>
      </w:r>
      <w:hyperlink r:id="rId95" w:history="1">
        <w:r w:rsidRPr="00681951">
          <w:rPr>
            <w:rStyle w:val="Hyperlink"/>
          </w:rPr>
          <w:t>http://healthsurvey.hscic.gov.uk/media/63763/HSE2016-Adult-wel-bei.pdf</w:t>
        </w:r>
      </w:hyperlink>
      <w:r>
        <w:t xml:space="preserve"> </w:t>
      </w:r>
    </w:p>
    <w:p w14:paraId="626A376A" w14:textId="77777777" w:rsidR="008B4E20" w:rsidRPr="007F32A3" w:rsidRDefault="008B4E20" w:rsidP="00735D03">
      <w:pPr>
        <w:pStyle w:val="textbox"/>
        <w:shd w:val="clear" w:color="auto" w:fill="FFFFFF"/>
        <w:spacing w:before="0" w:beforeAutospacing="0" w:after="0" w:afterAutospacing="0"/>
        <w:jc w:val="both"/>
        <w:rPr>
          <w:rFonts w:eastAsiaTheme="minorHAnsi"/>
          <w:color w:val="000000" w:themeColor="text1"/>
        </w:rPr>
      </w:pPr>
    </w:p>
    <w:p w14:paraId="610F5A3E" w14:textId="77777777" w:rsidR="00807E5C" w:rsidRPr="00807E5C" w:rsidRDefault="00807E5C" w:rsidP="00807E5C">
      <w:pPr>
        <w:spacing w:after="0" w:line="240" w:lineRule="auto"/>
        <w:jc w:val="both"/>
        <w:rPr>
          <w:rStyle w:val="authors"/>
          <w:rFonts w:ascii="Times New Roman" w:hAnsi="Times New Roman" w:cs="Times New Roman"/>
          <w:color w:val="000000" w:themeColor="text1"/>
          <w:sz w:val="24"/>
          <w:szCs w:val="24"/>
        </w:rPr>
      </w:pPr>
      <w:proofErr w:type="spellStart"/>
      <w:r w:rsidRPr="00807E5C">
        <w:rPr>
          <w:rStyle w:val="authors"/>
          <w:rFonts w:ascii="Times New Roman" w:hAnsi="Times New Roman" w:cs="Times New Roman"/>
          <w:color w:val="000000" w:themeColor="text1"/>
          <w:sz w:val="24"/>
          <w:szCs w:val="24"/>
        </w:rPr>
        <w:t>Oberle</w:t>
      </w:r>
      <w:proofErr w:type="spellEnd"/>
      <w:r w:rsidRPr="00807E5C">
        <w:rPr>
          <w:rStyle w:val="authors"/>
          <w:rFonts w:ascii="Times New Roman" w:hAnsi="Times New Roman" w:cs="Times New Roman"/>
          <w:color w:val="000000" w:themeColor="text1"/>
          <w:sz w:val="24"/>
          <w:szCs w:val="24"/>
        </w:rPr>
        <w:t xml:space="preserve">, E &amp; </w:t>
      </w:r>
      <w:proofErr w:type="spellStart"/>
      <w:r w:rsidRPr="00807E5C">
        <w:rPr>
          <w:rStyle w:val="authors"/>
          <w:rFonts w:ascii="Times New Roman" w:hAnsi="Times New Roman" w:cs="Times New Roman"/>
          <w:color w:val="000000" w:themeColor="text1"/>
          <w:sz w:val="24"/>
          <w:szCs w:val="24"/>
        </w:rPr>
        <w:t>Schonert-Reichl</w:t>
      </w:r>
      <w:proofErr w:type="spellEnd"/>
      <w:r w:rsidRPr="00807E5C">
        <w:rPr>
          <w:rStyle w:val="authors"/>
          <w:rFonts w:ascii="Times New Roman" w:hAnsi="Times New Roman" w:cs="Times New Roman"/>
          <w:color w:val="000000" w:themeColor="text1"/>
          <w:sz w:val="24"/>
          <w:szCs w:val="24"/>
        </w:rPr>
        <w:t xml:space="preserve">, K. 2016. Stress contagion in the classroom? The link between classroom teacher burnout and morning cortisol in elementary school students. </w:t>
      </w:r>
      <w:r w:rsidRPr="00807E5C">
        <w:rPr>
          <w:rStyle w:val="authors"/>
          <w:rFonts w:ascii="Times New Roman" w:hAnsi="Times New Roman" w:cs="Times New Roman"/>
          <w:i/>
          <w:color w:val="000000" w:themeColor="text1"/>
          <w:sz w:val="24"/>
          <w:szCs w:val="24"/>
        </w:rPr>
        <w:t>Social Science &amp; Medicine</w:t>
      </w:r>
      <w:r w:rsidRPr="00807E5C">
        <w:rPr>
          <w:rStyle w:val="authors"/>
          <w:rFonts w:ascii="Times New Roman" w:hAnsi="Times New Roman" w:cs="Times New Roman"/>
          <w:color w:val="000000" w:themeColor="text1"/>
          <w:sz w:val="24"/>
          <w:szCs w:val="24"/>
        </w:rPr>
        <w:t xml:space="preserve"> 159 10.1016/j.socscimed.2016.04.031.</w:t>
      </w:r>
    </w:p>
    <w:p w14:paraId="344F5191" w14:textId="77777777" w:rsidR="00807E5C" w:rsidRDefault="00807E5C" w:rsidP="00735D03">
      <w:pPr>
        <w:pStyle w:val="textbox"/>
        <w:shd w:val="clear" w:color="auto" w:fill="FFFFFF"/>
        <w:spacing w:before="0" w:beforeAutospacing="0" w:after="0" w:afterAutospacing="0"/>
        <w:jc w:val="both"/>
        <w:rPr>
          <w:rFonts w:eastAsiaTheme="minorHAnsi"/>
          <w:color w:val="000000" w:themeColor="text1"/>
        </w:rPr>
      </w:pPr>
    </w:p>
    <w:p w14:paraId="50B16B05" w14:textId="4A9AEBA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r w:rsidRPr="007F32A3">
        <w:rPr>
          <w:rFonts w:eastAsiaTheme="minorHAnsi"/>
          <w:color w:val="000000" w:themeColor="text1"/>
        </w:rPr>
        <w:t xml:space="preserve">OECD. 2011. School autonomy and accountability:  Are they related to student performance? Paris: OECD. Accessed 13/09/2019 from </w:t>
      </w:r>
      <w:hyperlink r:id="rId96" w:history="1">
        <w:r w:rsidRPr="007F32A3">
          <w:rPr>
            <w:rStyle w:val="Hyperlink"/>
            <w:rFonts w:eastAsiaTheme="minorHAnsi"/>
            <w:color w:val="000000" w:themeColor="text1"/>
          </w:rPr>
          <w:t>https://www.oecd.org/pisa/pisaproducts/pisainfocus/48910490.pdf</w:t>
        </w:r>
      </w:hyperlink>
      <w:r w:rsidRPr="007F32A3">
        <w:rPr>
          <w:rFonts w:eastAsiaTheme="minorHAnsi"/>
          <w:color w:val="000000" w:themeColor="text1"/>
        </w:rPr>
        <w:t xml:space="preserve"> </w:t>
      </w:r>
    </w:p>
    <w:p w14:paraId="41637057" w14:textId="77777777" w:rsidR="005E2E61" w:rsidRPr="007F32A3" w:rsidRDefault="005E2E61" w:rsidP="00735D03">
      <w:pPr>
        <w:pStyle w:val="textbox"/>
        <w:shd w:val="clear" w:color="auto" w:fill="FFFFFF"/>
        <w:spacing w:before="0" w:beforeAutospacing="0" w:after="0" w:afterAutospacing="0"/>
        <w:ind w:left="720" w:hanging="720"/>
        <w:jc w:val="both"/>
        <w:rPr>
          <w:rFonts w:eastAsiaTheme="minorHAnsi"/>
          <w:color w:val="000000" w:themeColor="text1"/>
        </w:rPr>
      </w:pPr>
    </w:p>
    <w:p w14:paraId="1ED98510"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r w:rsidRPr="007F32A3">
        <w:rPr>
          <w:color w:val="000000" w:themeColor="text1"/>
        </w:rPr>
        <w:t xml:space="preserve">OECD. 2019. </w:t>
      </w:r>
      <w:hyperlink r:id="rId97" w:history="1">
        <w:r w:rsidRPr="007F32A3">
          <w:rPr>
            <w:rStyle w:val="Emphasis"/>
            <w:color w:val="000000" w:themeColor="text1"/>
            <w:bdr w:val="none" w:sz="0" w:space="0" w:color="auto" w:frame="1"/>
          </w:rPr>
          <w:t>TALIS 2018 Results (Volume I): Teachers and School Leaders as Lifelong Learners</w:t>
        </w:r>
      </w:hyperlink>
      <w:r w:rsidRPr="007F32A3">
        <w:rPr>
          <w:color w:val="000000" w:themeColor="text1"/>
        </w:rPr>
        <w:t xml:space="preserve">. Paris: OECD. Accessed 27/08/2019 from </w:t>
      </w:r>
      <w:hyperlink r:id="rId98" w:history="1">
        <w:r w:rsidRPr="007F32A3">
          <w:rPr>
            <w:rStyle w:val="Hyperlink"/>
            <w:color w:val="000000" w:themeColor="text1"/>
          </w:rPr>
          <w:t>http://www.oecd.org/education/talis/</w:t>
        </w:r>
      </w:hyperlink>
      <w:r w:rsidRPr="007F32A3">
        <w:rPr>
          <w:color w:val="000000" w:themeColor="text1"/>
        </w:rPr>
        <w:t xml:space="preserve"> </w:t>
      </w:r>
    </w:p>
    <w:p w14:paraId="6549F5D2" w14:textId="77777777" w:rsidR="007F32A3" w:rsidRPr="007F32A3" w:rsidRDefault="007F32A3" w:rsidP="00735D03">
      <w:pPr>
        <w:pStyle w:val="textbox"/>
        <w:shd w:val="clear" w:color="auto" w:fill="FFFFFF"/>
        <w:spacing w:before="0" w:beforeAutospacing="0" w:after="0" w:afterAutospacing="0"/>
        <w:jc w:val="both"/>
        <w:rPr>
          <w:rFonts w:eastAsiaTheme="minorHAnsi"/>
          <w:color w:val="000000" w:themeColor="text1"/>
        </w:rPr>
      </w:pPr>
    </w:p>
    <w:p w14:paraId="19D266EB" w14:textId="2725841C"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u w:val="single"/>
        </w:rPr>
      </w:pPr>
      <w:r w:rsidRPr="007F32A3">
        <w:rPr>
          <w:rFonts w:eastAsiaTheme="minorHAnsi"/>
          <w:color w:val="000000" w:themeColor="text1"/>
        </w:rPr>
        <w:t xml:space="preserve">Ofsted. 2019. Teacher well-being at work in schools and further education providers. Accessed 12/09/2019 from </w:t>
      </w:r>
      <w:hyperlink r:id="rId99" w:history="1">
        <w:r w:rsidRPr="007F32A3">
          <w:rPr>
            <w:rStyle w:val="Hyperlink"/>
            <w:rFonts w:eastAsiaTheme="minorHAnsi"/>
            <w:color w:val="000000" w:themeColor="text1"/>
            <w:u w:val="none"/>
          </w:rPr>
          <w:t>https://assets.publishing.service.gov.uk/government/uploads/system/uploads/attachment_data/file/819314/Teacher_well-being_report_110719F.pdf</w:t>
        </w:r>
      </w:hyperlink>
    </w:p>
    <w:p w14:paraId="37C31060" w14:textId="4666B15D"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78B63F21" w14:textId="77777777" w:rsidR="007F32A3" w:rsidRPr="007F32A3" w:rsidRDefault="007F32A3" w:rsidP="007F32A3">
      <w:pPr>
        <w:spacing w:line="240" w:lineRule="auto"/>
        <w:jc w:val="both"/>
        <w:rPr>
          <w:rFonts w:ascii="Times New Roman" w:hAnsi="Times New Roman" w:cs="Times New Roman"/>
          <w:noProof/>
          <w:sz w:val="24"/>
          <w:szCs w:val="24"/>
        </w:rPr>
      </w:pPr>
      <w:r w:rsidRPr="007F32A3">
        <w:rPr>
          <w:rFonts w:ascii="Times New Roman" w:hAnsi="Times New Roman" w:cs="Times New Roman"/>
          <w:noProof/>
          <w:sz w:val="24"/>
          <w:szCs w:val="24"/>
        </w:rPr>
        <w:t xml:space="preserve">Oppenheim, M. 2020. </w:t>
      </w:r>
      <w:r w:rsidRPr="004E3519">
        <w:rPr>
          <w:rFonts w:ascii="Times New Roman" w:eastAsia="Times New Roman" w:hAnsi="Times New Roman" w:cs="Times New Roman"/>
          <w:bCs/>
          <w:color w:val="222222"/>
          <w:kern w:val="36"/>
          <w:sz w:val="24"/>
          <w:szCs w:val="24"/>
          <w:lang w:eastAsia="en-GB"/>
        </w:rPr>
        <w:t xml:space="preserve">Coronavirus: Women bearing burden of childcare and </w:t>
      </w:r>
      <w:proofErr w:type="spellStart"/>
      <w:r w:rsidRPr="004E3519">
        <w:rPr>
          <w:rFonts w:ascii="Times New Roman" w:eastAsia="Times New Roman" w:hAnsi="Times New Roman" w:cs="Times New Roman"/>
          <w:bCs/>
          <w:color w:val="222222"/>
          <w:kern w:val="36"/>
          <w:sz w:val="24"/>
          <w:szCs w:val="24"/>
          <w:lang w:eastAsia="en-GB"/>
        </w:rPr>
        <w:t>homeschooling</w:t>
      </w:r>
      <w:proofErr w:type="spellEnd"/>
      <w:r w:rsidRPr="004E3519">
        <w:rPr>
          <w:rFonts w:ascii="Times New Roman" w:eastAsia="Times New Roman" w:hAnsi="Times New Roman" w:cs="Times New Roman"/>
          <w:bCs/>
          <w:color w:val="222222"/>
          <w:kern w:val="36"/>
          <w:sz w:val="24"/>
          <w:szCs w:val="24"/>
          <w:lang w:eastAsia="en-GB"/>
        </w:rPr>
        <w:t xml:space="preserve"> in lockdown, study finds</w:t>
      </w:r>
      <w:r w:rsidRPr="007F32A3">
        <w:rPr>
          <w:rFonts w:ascii="Times New Roman" w:eastAsia="Times New Roman" w:hAnsi="Times New Roman" w:cs="Times New Roman"/>
          <w:bCs/>
          <w:color w:val="222222"/>
          <w:kern w:val="36"/>
          <w:sz w:val="24"/>
          <w:szCs w:val="24"/>
          <w:lang w:eastAsia="en-GB"/>
        </w:rPr>
        <w:t xml:space="preserve">. Accessed 16/09/2020 from </w:t>
      </w:r>
      <w:hyperlink r:id="rId100" w:history="1">
        <w:r w:rsidRPr="007F32A3">
          <w:rPr>
            <w:rStyle w:val="Hyperlink"/>
            <w:rFonts w:ascii="Times New Roman" w:eastAsia="Times New Roman" w:hAnsi="Times New Roman" w:cs="Times New Roman"/>
            <w:bCs/>
            <w:kern w:val="36"/>
            <w:sz w:val="24"/>
            <w:szCs w:val="24"/>
            <w:lang w:eastAsia="en-GB"/>
          </w:rPr>
          <w:t>https://www.independent.co.uk/news/uk/home-news/coronavirus-childcare-homeschooling-women-lockdown-gender-a9512866.html</w:t>
        </w:r>
      </w:hyperlink>
      <w:r w:rsidRPr="007F32A3">
        <w:rPr>
          <w:rFonts w:ascii="Times New Roman" w:eastAsia="Times New Roman" w:hAnsi="Times New Roman" w:cs="Times New Roman"/>
          <w:bCs/>
          <w:color w:val="222222"/>
          <w:kern w:val="36"/>
          <w:sz w:val="24"/>
          <w:szCs w:val="24"/>
          <w:lang w:eastAsia="en-GB"/>
        </w:rPr>
        <w:t xml:space="preserve"> </w:t>
      </w:r>
    </w:p>
    <w:p w14:paraId="6CAF1280" w14:textId="77777777" w:rsidR="007F32A3" w:rsidRPr="007F32A3" w:rsidRDefault="007F32A3" w:rsidP="00735D03">
      <w:pPr>
        <w:spacing w:after="0" w:line="240" w:lineRule="auto"/>
        <w:jc w:val="both"/>
        <w:rPr>
          <w:rFonts w:ascii="Times New Roman" w:hAnsi="Times New Roman" w:cs="Times New Roman"/>
          <w:color w:val="000000" w:themeColor="text1"/>
          <w:sz w:val="24"/>
          <w:szCs w:val="24"/>
          <w:shd w:val="clear" w:color="auto" w:fill="FFFFFF"/>
        </w:rPr>
      </w:pPr>
    </w:p>
    <w:p w14:paraId="515805E5" w14:textId="69A59EF6"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t>Owen, N.</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Healy, G. N.</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Dempsey, P. C.</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Salmon, J.</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Timperio, A.</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Clark, B. K. and Lambert, G. 2020. Sedentary </w:t>
      </w:r>
      <w:proofErr w:type="spellStart"/>
      <w:r w:rsidRPr="007F32A3">
        <w:rPr>
          <w:rFonts w:ascii="Times New Roman" w:hAnsi="Times New Roman" w:cs="Times New Roman"/>
          <w:color w:val="000000" w:themeColor="text1"/>
          <w:sz w:val="24"/>
          <w:szCs w:val="24"/>
          <w:shd w:val="clear" w:color="auto" w:fill="FFFFFF"/>
        </w:rPr>
        <w:t>behavior</w:t>
      </w:r>
      <w:proofErr w:type="spellEnd"/>
      <w:r w:rsidRPr="007F32A3">
        <w:rPr>
          <w:rFonts w:ascii="Times New Roman" w:hAnsi="Times New Roman" w:cs="Times New Roman"/>
          <w:color w:val="000000" w:themeColor="text1"/>
          <w:sz w:val="24"/>
          <w:szCs w:val="24"/>
          <w:shd w:val="clear" w:color="auto" w:fill="FFFFFF"/>
        </w:rPr>
        <w:t xml:space="preserve"> and public health: integrating the evidence and identifying potential solutions. </w:t>
      </w:r>
      <w:r w:rsidRPr="007F32A3">
        <w:rPr>
          <w:rFonts w:ascii="Times New Roman" w:hAnsi="Times New Roman" w:cs="Times New Roman"/>
          <w:i/>
          <w:iCs/>
          <w:color w:val="000000" w:themeColor="text1"/>
          <w:sz w:val="24"/>
          <w:szCs w:val="24"/>
          <w:shd w:val="clear" w:color="auto" w:fill="FFFFFF"/>
        </w:rPr>
        <w:t>Annual Review of Public Health</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41</w:t>
      </w:r>
      <w:r w:rsidRPr="007F32A3">
        <w:rPr>
          <w:rFonts w:ascii="Times New Roman" w:hAnsi="Times New Roman" w:cs="Times New Roman"/>
          <w:color w:val="000000" w:themeColor="text1"/>
          <w:sz w:val="24"/>
          <w:szCs w:val="24"/>
          <w:shd w:val="clear" w:color="auto" w:fill="FFFFFF"/>
        </w:rPr>
        <w:t>: 265-287.</w:t>
      </w:r>
    </w:p>
    <w:p w14:paraId="38E705EC"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11DAFF83" w14:textId="77777777"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r w:rsidRPr="007F32A3">
        <w:rPr>
          <w:color w:val="000000" w:themeColor="text1"/>
        </w:rPr>
        <w:t xml:space="preserve">Perryman, J. and Calvert, G. 2019. </w:t>
      </w:r>
      <w:r w:rsidRPr="007F32A3">
        <w:rPr>
          <w:rFonts w:eastAsiaTheme="minorHAnsi"/>
          <w:color w:val="000000" w:themeColor="text1"/>
        </w:rPr>
        <w:t xml:space="preserve">What motivates people to teach, and why do they leave? Accountability, performativity and teacher retention </w:t>
      </w:r>
      <w:r w:rsidRPr="007F32A3">
        <w:rPr>
          <w:rFonts w:eastAsiaTheme="minorHAnsi"/>
          <w:i/>
          <w:iCs/>
          <w:color w:val="000000" w:themeColor="text1"/>
        </w:rPr>
        <w:t>British Journal of Educational Studies.</w:t>
      </w:r>
      <w:r w:rsidRPr="007F32A3">
        <w:rPr>
          <w:rFonts w:eastAsiaTheme="minorHAnsi"/>
          <w:color w:val="000000" w:themeColor="text1"/>
        </w:rPr>
        <w:t xml:space="preserve"> DOI: 10.1080/00071005.2019.1589417</w:t>
      </w:r>
    </w:p>
    <w:p w14:paraId="1988F0BA"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3587C286" w14:textId="11D03350" w:rsidR="005E2E61" w:rsidRPr="007F32A3" w:rsidRDefault="005E2E61" w:rsidP="00735D03">
      <w:pPr>
        <w:pStyle w:val="textbox"/>
        <w:shd w:val="clear" w:color="auto" w:fill="FFFFFF"/>
        <w:spacing w:before="0" w:beforeAutospacing="0" w:after="0" w:afterAutospacing="0"/>
        <w:jc w:val="both"/>
        <w:rPr>
          <w:rFonts w:eastAsiaTheme="minorHAnsi"/>
          <w:color w:val="000000" w:themeColor="text1"/>
        </w:rPr>
      </w:pPr>
      <w:r w:rsidRPr="007F32A3">
        <w:rPr>
          <w:color w:val="000000" w:themeColor="text1"/>
          <w:shd w:val="clear" w:color="auto" w:fill="FFFFFF"/>
        </w:rPr>
        <w:t>Phillips, S.</w:t>
      </w:r>
      <w:r w:rsidR="006156C5">
        <w:rPr>
          <w:color w:val="000000" w:themeColor="text1"/>
          <w:shd w:val="clear" w:color="auto" w:fill="FFFFFF"/>
        </w:rPr>
        <w:t>,</w:t>
      </w:r>
      <w:r w:rsidRPr="007F32A3">
        <w:rPr>
          <w:color w:val="000000" w:themeColor="text1"/>
          <w:shd w:val="clear" w:color="auto" w:fill="FFFFFF"/>
        </w:rPr>
        <w:t xml:space="preserve"> Sen, D. and McNamee, R. 2008. Risk factors for work-related stress and health in head teachers. </w:t>
      </w:r>
      <w:r w:rsidRPr="007F32A3">
        <w:rPr>
          <w:rStyle w:val="Emphasis"/>
          <w:color w:val="000000" w:themeColor="text1"/>
          <w:bdr w:val="none" w:sz="0" w:space="0" w:color="auto" w:frame="1"/>
        </w:rPr>
        <w:t>Occupational Medicine</w:t>
      </w:r>
      <w:r w:rsidRPr="007F32A3">
        <w:rPr>
          <w:color w:val="000000" w:themeColor="text1"/>
          <w:shd w:val="clear" w:color="auto" w:fill="FFFFFF"/>
        </w:rPr>
        <w:t xml:space="preserve"> </w:t>
      </w:r>
      <w:r w:rsidRPr="007F32A3">
        <w:rPr>
          <w:i/>
          <w:iCs/>
          <w:color w:val="000000" w:themeColor="text1"/>
          <w:shd w:val="clear" w:color="auto" w:fill="FFFFFF"/>
        </w:rPr>
        <w:t>58</w:t>
      </w:r>
      <w:r w:rsidRPr="007F32A3">
        <w:rPr>
          <w:color w:val="000000" w:themeColor="text1"/>
          <w:shd w:val="clear" w:color="auto" w:fill="FFFFFF"/>
        </w:rPr>
        <w:t xml:space="preserve">(8): 584–586. </w:t>
      </w:r>
      <w:hyperlink r:id="rId101" w:history="1">
        <w:r w:rsidRPr="007F32A3">
          <w:rPr>
            <w:rStyle w:val="Hyperlink"/>
            <w:rFonts w:eastAsiaTheme="majorEastAsia"/>
            <w:color w:val="000000" w:themeColor="text1"/>
            <w:bdr w:val="none" w:sz="0" w:space="0" w:color="auto" w:frame="1"/>
          </w:rPr>
          <w:t>https://doi.org/10.1093/occmed/kqn112</w:t>
        </w:r>
      </w:hyperlink>
    </w:p>
    <w:p w14:paraId="343E55F0" w14:textId="6E8CC7D8"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50B3114B" w14:textId="0D6F88D7" w:rsidR="007F32A3" w:rsidRPr="007F32A3" w:rsidRDefault="007F32A3" w:rsidP="007F32A3">
      <w:pPr>
        <w:spacing w:line="240" w:lineRule="auto"/>
        <w:jc w:val="both"/>
        <w:rPr>
          <w:rStyle w:val="article-headerdoi1"/>
          <w:rFonts w:ascii="Times New Roman" w:hAnsi="Times New Roman" w:cs="Times New Roman"/>
          <w:color w:val="000000" w:themeColor="text1"/>
          <w:sz w:val="24"/>
          <w:szCs w:val="24"/>
          <w:lang w:val="en"/>
        </w:rPr>
      </w:pPr>
      <w:r w:rsidRPr="007F32A3">
        <w:rPr>
          <w:rFonts w:ascii="Times New Roman" w:hAnsi="Times New Roman" w:cs="Times New Roman"/>
          <w:color w:val="000000" w:themeColor="text1"/>
          <w:sz w:val="24"/>
          <w:szCs w:val="24"/>
        </w:rPr>
        <w:t xml:space="preserve">Pierce, M. et al. 2020. </w:t>
      </w:r>
      <w:r w:rsidRPr="007F32A3">
        <w:rPr>
          <w:rFonts w:ascii="Times New Roman" w:hAnsi="Times New Roman" w:cs="Times New Roman"/>
          <w:color w:val="000000" w:themeColor="text1"/>
          <w:sz w:val="24"/>
          <w:szCs w:val="24"/>
          <w:lang w:val="en"/>
        </w:rPr>
        <w:t xml:space="preserve">Mental health before and during the </w:t>
      </w:r>
      <w:r w:rsidR="00817BCE">
        <w:rPr>
          <w:rFonts w:ascii="Times New Roman" w:hAnsi="Times New Roman" w:cs="Times New Roman"/>
          <w:color w:val="000000" w:themeColor="text1"/>
          <w:sz w:val="24"/>
          <w:szCs w:val="24"/>
          <w:lang w:val="en"/>
        </w:rPr>
        <w:t>Covid</w:t>
      </w:r>
      <w:r w:rsidRPr="007F32A3">
        <w:rPr>
          <w:rFonts w:ascii="Times New Roman" w:hAnsi="Times New Roman" w:cs="Times New Roman"/>
          <w:color w:val="000000" w:themeColor="text1"/>
          <w:sz w:val="24"/>
          <w:szCs w:val="24"/>
          <w:lang w:val="en"/>
        </w:rPr>
        <w:t xml:space="preserve">-19 pandemic: a longitudinal probability sample survey of the UK population. </w:t>
      </w:r>
      <w:r w:rsidRPr="007F32A3">
        <w:rPr>
          <w:rFonts w:ascii="Times New Roman" w:hAnsi="Times New Roman" w:cs="Times New Roman"/>
          <w:i/>
          <w:color w:val="000000" w:themeColor="text1"/>
          <w:sz w:val="24"/>
          <w:szCs w:val="24"/>
          <w:lang w:val="en"/>
        </w:rPr>
        <w:t xml:space="preserve">The Lancet Psychiatry </w:t>
      </w:r>
      <w:r w:rsidRPr="007F32A3">
        <w:rPr>
          <w:rFonts w:ascii="Times New Roman" w:hAnsi="Times New Roman" w:cs="Times New Roman"/>
          <w:color w:val="000000" w:themeColor="text1"/>
          <w:sz w:val="24"/>
          <w:szCs w:val="24"/>
          <w:lang w:val="en"/>
        </w:rPr>
        <w:t xml:space="preserve">DOI: </w:t>
      </w:r>
      <w:hyperlink r:id="rId102" w:history="1">
        <w:r w:rsidRPr="007F32A3">
          <w:rPr>
            <w:rStyle w:val="Hyperlink"/>
            <w:rFonts w:ascii="Times New Roman" w:hAnsi="Times New Roman" w:cs="Times New Roman"/>
            <w:color w:val="000000" w:themeColor="text1"/>
            <w:sz w:val="24"/>
            <w:szCs w:val="24"/>
            <w:lang w:val="en"/>
          </w:rPr>
          <w:t>https://doi.org/10.1016/S2215-0366(20)30308-4</w:t>
        </w:r>
      </w:hyperlink>
    </w:p>
    <w:p w14:paraId="46BBFE7C" w14:textId="2F6690F7" w:rsidR="007F32A3" w:rsidRPr="007F32A3" w:rsidRDefault="007F32A3" w:rsidP="007F32A3">
      <w:pPr>
        <w:spacing w:line="240" w:lineRule="auto"/>
        <w:jc w:val="both"/>
        <w:rPr>
          <w:rFonts w:ascii="Times New Roman" w:hAnsi="Times New Roman" w:cs="Times New Roman"/>
          <w:color w:val="000000" w:themeColor="text1"/>
          <w:sz w:val="24"/>
          <w:szCs w:val="24"/>
          <w:lang w:val="en"/>
        </w:rPr>
      </w:pPr>
      <w:r w:rsidRPr="007F32A3">
        <w:rPr>
          <w:rStyle w:val="authors"/>
          <w:rFonts w:ascii="Times New Roman" w:hAnsi="Times New Roman" w:cs="Times New Roman"/>
          <w:color w:val="333333"/>
          <w:sz w:val="24"/>
          <w:szCs w:val="24"/>
          <w:shd w:val="clear" w:color="auto" w:fill="FFFFFF"/>
        </w:rPr>
        <w:t>Power, K.</w:t>
      </w:r>
      <w:r w:rsidRPr="007F32A3">
        <w:rPr>
          <w:rFonts w:ascii="Times New Roman" w:hAnsi="Times New Roman" w:cs="Times New Roman"/>
          <w:color w:val="333333"/>
          <w:sz w:val="24"/>
          <w:szCs w:val="24"/>
          <w:shd w:val="clear" w:color="auto" w:fill="FFFFFF"/>
        </w:rPr>
        <w:t> </w:t>
      </w:r>
      <w:r w:rsidRPr="007F32A3">
        <w:rPr>
          <w:rStyle w:val="Date3"/>
          <w:rFonts w:ascii="Times New Roman" w:hAnsi="Times New Roman" w:cs="Times New Roman"/>
          <w:color w:val="333333"/>
          <w:sz w:val="24"/>
          <w:szCs w:val="24"/>
          <w:shd w:val="clear" w:color="auto" w:fill="FFFFFF"/>
        </w:rPr>
        <w:t>2020.</w:t>
      </w:r>
      <w:r w:rsidRPr="007F32A3">
        <w:rPr>
          <w:rFonts w:ascii="Times New Roman" w:hAnsi="Times New Roman" w:cs="Times New Roman"/>
          <w:color w:val="333333"/>
          <w:sz w:val="24"/>
          <w:szCs w:val="24"/>
          <w:shd w:val="clear" w:color="auto" w:fill="FFFFFF"/>
        </w:rPr>
        <w:t> </w:t>
      </w:r>
      <w:r w:rsidRPr="007F32A3">
        <w:rPr>
          <w:rStyle w:val="arttitle"/>
          <w:rFonts w:ascii="Times New Roman" w:hAnsi="Times New Roman" w:cs="Times New Roman"/>
          <w:color w:val="333333"/>
          <w:sz w:val="24"/>
          <w:szCs w:val="24"/>
          <w:shd w:val="clear" w:color="auto" w:fill="FFFFFF"/>
        </w:rPr>
        <w:t xml:space="preserve">The </w:t>
      </w:r>
      <w:r w:rsidR="00817BCE">
        <w:rPr>
          <w:rStyle w:val="arttitle"/>
          <w:rFonts w:ascii="Times New Roman" w:hAnsi="Times New Roman" w:cs="Times New Roman"/>
          <w:color w:val="333333"/>
          <w:sz w:val="24"/>
          <w:szCs w:val="24"/>
          <w:shd w:val="clear" w:color="auto" w:fill="FFFFFF"/>
        </w:rPr>
        <w:t>Covid</w:t>
      </w:r>
      <w:r w:rsidRPr="007F32A3">
        <w:rPr>
          <w:rStyle w:val="arttitle"/>
          <w:rFonts w:ascii="Times New Roman" w:hAnsi="Times New Roman" w:cs="Times New Roman"/>
          <w:color w:val="333333"/>
          <w:sz w:val="24"/>
          <w:szCs w:val="24"/>
          <w:shd w:val="clear" w:color="auto" w:fill="FFFFFF"/>
        </w:rPr>
        <w:t>-19 pandemic has increased the care burden of women and families,</w:t>
      </w:r>
      <w:r w:rsidRPr="007F32A3">
        <w:rPr>
          <w:rFonts w:ascii="Times New Roman" w:hAnsi="Times New Roman" w:cs="Times New Roman"/>
          <w:color w:val="333333"/>
          <w:sz w:val="24"/>
          <w:szCs w:val="24"/>
          <w:shd w:val="clear" w:color="auto" w:fill="FFFFFF"/>
        </w:rPr>
        <w:t> </w:t>
      </w:r>
      <w:r w:rsidRPr="007F32A3">
        <w:rPr>
          <w:rStyle w:val="serialtitle"/>
          <w:rFonts w:ascii="Times New Roman" w:hAnsi="Times New Roman" w:cs="Times New Roman"/>
          <w:color w:val="333333"/>
          <w:sz w:val="24"/>
          <w:szCs w:val="24"/>
          <w:shd w:val="clear" w:color="auto" w:fill="FFFFFF"/>
        </w:rPr>
        <w:t>Sustainability: Science, Practice and Policy,</w:t>
      </w:r>
      <w:r w:rsidRPr="007F32A3">
        <w:rPr>
          <w:rFonts w:ascii="Times New Roman" w:hAnsi="Times New Roman" w:cs="Times New Roman"/>
          <w:color w:val="333333"/>
          <w:sz w:val="24"/>
          <w:szCs w:val="24"/>
          <w:shd w:val="clear" w:color="auto" w:fill="FFFFFF"/>
        </w:rPr>
        <w:t> </w:t>
      </w:r>
      <w:r w:rsidRPr="007F32A3">
        <w:rPr>
          <w:rStyle w:val="volumeissue"/>
          <w:rFonts w:ascii="Times New Roman" w:hAnsi="Times New Roman" w:cs="Times New Roman"/>
          <w:color w:val="333333"/>
          <w:sz w:val="24"/>
          <w:szCs w:val="24"/>
          <w:shd w:val="clear" w:color="auto" w:fill="FFFFFF"/>
        </w:rPr>
        <w:t>16:1,</w:t>
      </w:r>
      <w:r w:rsidRPr="007F32A3">
        <w:rPr>
          <w:rFonts w:ascii="Times New Roman" w:hAnsi="Times New Roman" w:cs="Times New Roman"/>
          <w:color w:val="333333"/>
          <w:sz w:val="24"/>
          <w:szCs w:val="24"/>
          <w:shd w:val="clear" w:color="auto" w:fill="FFFFFF"/>
        </w:rPr>
        <w:t> </w:t>
      </w:r>
      <w:r w:rsidRPr="007F32A3">
        <w:rPr>
          <w:rStyle w:val="pagerange"/>
          <w:rFonts w:ascii="Times New Roman" w:hAnsi="Times New Roman" w:cs="Times New Roman"/>
          <w:color w:val="333333"/>
          <w:sz w:val="24"/>
          <w:szCs w:val="24"/>
          <w:shd w:val="clear" w:color="auto" w:fill="FFFFFF"/>
        </w:rPr>
        <w:t>67-73,</w:t>
      </w:r>
      <w:r w:rsidRPr="007F32A3">
        <w:rPr>
          <w:rFonts w:ascii="Times New Roman" w:hAnsi="Times New Roman" w:cs="Times New Roman"/>
          <w:color w:val="333333"/>
          <w:sz w:val="24"/>
          <w:szCs w:val="24"/>
          <w:shd w:val="clear" w:color="auto" w:fill="FFFFFF"/>
        </w:rPr>
        <w:t> </w:t>
      </w:r>
      <w:r w:rsidRPr="007F32A3">
        <w:rPr>
          <w:rStyle w:val="doilink"/>
          <w:rFonts w:ascii="Times New Roman" w:hAnsi="Times New Roman" w:cs="Times New Roman"/>
          <w:color w:val="333333"/>
          <w:sz w:val="24"/>
          <w:szCs w:val="24"/>
          <w:shd w:val="clear" w:color="auto" w:fill="FFFFFF"/>
        </w:rPr>
        <w:t>DOI: </w:t>
      </w:r>
      <w:hyperlink r:id="rId103" w:history="1">
        <w:r w:rsidRPr="007F32A3">
          <w:rPr>
            <w:rStyle w:val="Hyperlink"/>
            <w:rFonts w:ascii="Times New Roman" w:hAnsi="Times New Roman" w:cs="Times New Roman"/>
            <w:color w:val="333333"/>
            <w:sz w:val="24"/>
            <w:szCs w:val="24"/>
          </w:rPr>
          <w:t>10.1080/15487733.2020.1776561</w:t>
        </w:r>
      </w:hyperlink>
    </w:p>
    <w:p w14:paraId="5673A80F"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lastRenderedPageBreak/>
        <w:t xml:space="preserve">Prime Minister’s Office. 2019. </w:t>
      </w:r>
      <w:r w:rsidRPr="007F32A3">
        <w:rPr>
          <w:rFonts w:ascii="Times New Roman" w:hAnsi="Times New Roman" w:cs="Times New Roman"/>
          <w:color w:val="000000" w:themeColor="text1"/>
          <w:sz w:val="24"/>
          <w:szCs w:val="24"/>
        </w:rPr>
        <w:t xml:space="preserve">PM launches new mission to put prevention at the top of the mental health agenda. </w:t>
      </w:r>
      <w:r w:rsidRPr="007F32A3">
        <w:rPr>
          <w:rFonts w:ascii="Times New Roman" w:hAnsi="Times New Roman" w:cs="Times New Roman"/>
          <w:color w:val="000000" w:themeColor="text1"/>
          <w:sz w:val="24"/>
          <w:szCs w:val="24"/>
          <w:shd w:val="clear" w:color="auto" w:fill="FFFFFF"/>
        </w:rPr>
        <w:t xml:space="preserve">Accessed 07/07/2020 from </w:t>
      </w:r>
      <w:hyperlink r:id="rId104" w:history="1">
        <w:r w:rsidRPr="007F32A3">
          <w:rPr>
            <w:rStyle w:val="Hyperlink"/>
            <w:rFonts w:ascii="Times New Roman" w:hAnsi="Times New Roman" w:cs="Times New Roman"/>
            <w:color w:val="000000" w:themeColor="text1"/>
            <w:sz w:val="24"/>
            <w:szCs w:val="24"/>
            <w:shd w:val="clear" w:color="auto" w:fill="FFFFFF"/>
          </w:rPr>
          <w:t>https://www.gov.uk/government/news/pm-launches-new-mission-to-put-prevention-at-the-top-of-the-mental-health-agenda</w:t>
        </w:r>
      </w:hyperlink>
    </w:p>
    <w:p w14:paraId="2E03396B"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4CBE7BE9" w14:textId="6D570478"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t>Qi, X.</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Zhang, J.</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Liu, Y.</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Ji, S.</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Chen, Z.</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Sluiter</w:t>
      </w:r>
      <w:proofErr w:type="spellEnd"/>
      <w:r w:rsidRPr="007F32A3">
        <w:rPr>
          <w:rFonts w:ascii="Times New Roman" w:hAnsi="Times New Roman" w:cs="Times New Roman"/>
          <w:color w:val="000000" w:themeColor="text1"/>
          <w:sz w:val="24"/>
          <w:szCs w:val="24"/>
          <w:shd w:val="clear" w:color="auto" w:fill="FFFFFF"/>
        </w:rPr>
        <w:t>, J. K. and Deng, H. 2014. Relationship between effort–reward imbalance and hair cortisol concentration in female kindergarten teachers. </w:t>
      </w:r>
      <w:r w:rsidRPr="007F32A3">
        <w:rPr>
          <w:rFonts w:ascii="Times New Roman" w:hAnsi="Times New Roman" w:cs="Times New Roman"/>
          <w:i/>
          <w:iCs/>
          <w:color w:val="000000" w:themeColor="text1"/>
          <w:sz w:val="24"/>
          <w:szCs w:val="24"/>
          <w:shd w:val="clear" w:color="auto" w:fill="FFFFFF"/>
        </w:rPr>
        <w:t>Journal of Psychosomatic Research</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76</w:t>
      </w:r>
      <w:r w:rsidRPr="007F32A3">
        <w:rPr>
          <w:rFonts w:ascii="Times New Roman" w:hAnsi="Times New Roman" w:cs="Times New Roman"/>
          <w:color w:val="000000" w:themeColor="text1"/>
          <w:sz w:val="24"/>
          <w:szCs w:val="24"/>
          <w:shd w:val="clear" w:color="auto" w:fill="FFFFFF"/>
        </w:rPr>
        <w:t>(4): 329-332.</w:t>
      </w:r>
    </w:p>
    <w:p w14:paraId="42A482C5"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3C399356" w14:textId="77777777" w:rsidR="005E2E61" w:rsidRPr="007F32A3" w:rsidRDefault="005E2E61" w:rsidP="00735D03">
      <w:pPr>
        <w:spacing w:after="0" w:line="240" w:lineRule="auto"/>
        <w:jc w:val="both"/>
        <w:rPr>
          <w:rStyle w:val="authors"/>
          <w:rFonts w:ascii="Times New Roman" w:hAnsi="Times New Roman" w:cs="Times New Roman"/>
          <w:color w:val="000000" w:themeColor="text1"/>
          <w:sz w:val="24"/>
          <w:szCs w:val="24"/>
        </w:rPr>
      </w:pPr>
      <w:r w:rsidRPr="007F32A3">
        <w:rPr>
          <w:rStyle w:val="authors"/>
          <w:rFonts w:ascii="Times New Roman" w:hAnsi="Times New Roman" w:cs="Times New Roman"/>
          <w:color w:val="000000" w:themeColor="text1"/>
          <w:sz w:val="24"/>
          <w:szCs w:val="24"/>
        </w:rPr>
        <w:t>Richards, J.</w:t>
      </w:r>
      <w:r w:rsidRPr="007F32A3">
        <w:rPr>
          <w:rFonts w:ascii="Times New Roman" w:hAnsi="Times New Roman" w:cs="Times New Roman"/>
          <w:color w:val="000000" w:themeColor="text1"/>
          <w:sz w:val="24"/>
          <w:szCs w:val="24"/>
          <w:shd w:val="clear" w:color="auto" w:fill="FFFFFF"/>
        </w:rPr>
        <w:t xml:space="preserve"> </w:t>
      </w:r>
      <w:r w:rsidRPr="007F32A3">
        <w:rPr>
          <w:rStyle w:val="Date2"/>
          <w:rFonts w:ascii="Times New Roman" w:hAnsi="Times New Roman" w:cs="Times New Roman"/>
          <w:color w:val="000000" w:themeColor="text1"/>
          <w:sz w:val="24"/>
          <w:szCs w:val="24"/>
        </w:rPr>
        <w:t>2012.</w:t>
      </w:r>
      <w:r w:rsidRPr="007F32A3">
        <w:rPr>
          <w:rFonts w:ascii="Times New Roman" w:hAnsi="Times New Roman" w:cs="Times New Roman"/>
          <w:color w:val="000000" w:themeColor="text1"/>
          <w:sz w:val="24"/>
          <w:szCs w:val="24"/>
          <w:shd w:val="clear" w:color="auto" w:fill="FFFFFF"/>
        </w:rPr>
        <w:t xml:space="preserve"> </w:t>
      </w:r>
      <w:r w:rsidRPr="007F32A3">
        <w:rPr>
          <w:rStyle w:val="arttitle"/>
          <w:rFonts w:ascii="Times New Roman" w:hAnsi="Times New Roman" w:cs="Times New Roman"/>
          <w:color w:val="000000" w:themeColor="text1"/>
          <w:sz w:val="24"/>
          <w:szCs w:val="24"/>
        </w:rPr>
        <w:t>Teacher stress and coping strategies. A national snapshot.</w:t>
      </w:r>
      <w:r w:rsidRPr="007F32A3">
        <w:rPr>
          <w:rFonts w:ascii="Times New Roman" w:hAnsi="Times New Roman" w:cs="Times New Roman"/>
          <w:color w:val="000000" w:themeColor="text1"/>
          <w:sz w:val="24"/>
          <w:szCs w:val="24"/>
          <w:shd w:val="clear" w:color="auto" w:fill="FFFFFF"/>
        </w:rPr>
        <w:t xml:space="preserve"> </w:t>
      </w:r>
      <w:r w:rsidRPr="007F32A3">
        <w:rPr>
          <w:rStyle w:val="serialtitle"/>
          <w:rFonts w:ascii="Times New Roman" w:hAnsi="Times New Roman" w:cs="Times New Roman"/>
          <w:i/>
          <w:color w:val="000000" w:themeColor="text1"/>
          <w:sz w:val="24"/>
          <w:szCs w:val="24"/>
        </w:rPr>
        <w:t>The Educational Forum</w:t>
      </w:r>
      <w:r w:rsidRPr="007F32A3">
        <w:rPr>
          <w:rFonts w:ascii="Times New Roman" w:hAnsi="Times New Roman" w:cs="Times New Roman"/>
          <w:color w:val="000000" w:themeColor="text1"/>
          <w:sz w:val="24"/>
          <w:szCs w:val="24"/>
          <w:shd w:val="clear" w:color="auto" w:fill="FFFFFF"/>
        </w:rPr>
        <w:t xml:space="preserve"> </w:t>
      </w:r>
      <w:r w:rsidRPr="007F32A3">
        <w:rPr>
          <w:rStyle w:val="volumeissue"/>
          <w:rFonts w:ascii="Times New Roman" w:hAnsi="Times New Roman" w:cs="Times New Roman"/>
          <w:color w:val="000000" w:themeColor="text1"/>
          <w:sz w:val="24"/>
          <w:szCs w:val="24"/>
        </w:rPr>
        <w:t>76(3):</w:t>
      </w:r>
      <w:r w:rsidRPr="007F32A3">
        <w:rPr>
          <w:rFonts w:ascii="Times New Roman" w:hAnsi="Times New Roman" w:cs="Times New Roman"/>
          <w:color w:val="000000" w:themeColor="text1"/>
          <w:sz w:val="24"/>
          <w:szCs w:val="24"/>
          <w:shd w:val="clear" w:color="auto" w:fill="FFFFFF"/>
        </w:rPr>
        <w:t xml:space="preserve"> </w:t>
      </w:r>
      <w:r w:rsidRPr="007F32A3">
        <w:rPr>
          <w:rStyle w:val="pagerange"/>
          <w:rFonts w:ascii="Times New Roman" w:hAnsi="Times New Roman" w:cs="Times New Roman"/>
          <w:color w:val="000000" w:themeColor="text1"/>
          <w:sz w:val="24"/>
          <w:szCs w:val="24"/>
        </w:rPr>
        <w:t>299-316.</w:t>
      </w:r>
      <w:r w:rsidRPr="007F32A3">
        <w:rPr>
          <w:rFonts w:ascii="Times New Roman" w:hAnsi="Times New Roman" w:cs="Times New Roman"/>
          <w:color w:val="000000" w:themeColor="text1"/>
          <w:sz w:val="24"/>
          <w:szCs w:val="24"/>
          <w:shd w:val="clear" w:color="auto" w:fill="FFFFFF"/>
        </w:rPr>
        <w:t xml:space="preserve"> </w:t>
      </w:r>
    </w:p>
    <w:p w14:paraId="07D626EF"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3DA04663" w14:textId="77777777"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Rose, M. 2003. Good deal, bad deal? Job satisfaction in occupations. </w:t>
      </w:r>
      <w:r w:rsidRPr="007F32A3">
        <w:rPr>
          <w:rFonts w:ascii="Times New Roman" w:hAnsi="Times New Roman" w:cs="Times New Roman"/>
          <w:i/>
          <w:iCs/>
          <w:color w:val="000000" w:themeColor="text1"/>
          <w:sz w:val="24"/>
          <w:szCs w:val="24"/>
        </w:rPr>
        <w:t>Work, Employment and Society</w:t>
      </w:r>
      <w:r w:rsidRPr="007F32A3">
        <w:rPr>
          <w:rFonts w:ascii="Times New Roman" w:hAnsi="Times New Roman" w:cs="Times New Roman"/>
          <w:color w:val="000000" w:themeColor="text1"/>
          <w:sz w:val="24"/>
          <w:szCs w:val="24"/>
        </w:rPr>
        <w:t xml:space="preserve"> </w:t>
      </w:r>
      <w:r w:rsidRPr="007F32A3">
        <w:rPr>
          <w:rFonts w:ascii="Times New Roman" w:hAnsi="Times New Roman" w:cs="Times New Roman"/>
          <w:i/>
          <w:iCs/>
          <w:color w:val="000000" w:themeColor="text1"/>
          <w:sz w:val="24"/>
          <w:szCs w:val="24"/>
        </w:rPr>
        <w:t>17</w:t>
      </w:r>
      <w:r w:rsidRPr="007F32A3">
        <w:rPr>
          <w:rFonts w:ascii="Times New Roman" w:hAnsi="Times New Roman" w:cs="Times New Roman"/>
          <w:color w:val="000000" w:themeColor="text1"/>
          <w:sz w:val="24"/>
          <w:szCs w:val="24"/>
        </w:rPr>
        <w:t xml:space="preserve">(3): 503-530. </w:t>
      </w:r>
    </w:p>
    <w:p w14:paraId="48B91A35"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002F3FB8" w14:textId="3A63AFCD" w:rsidR="005E2E61" w:rsidRPr="007F32A3" w:rsidRDefault="005E2E61" w:rsidP="00735D03">
      <w:pPr>
        <w:spacing w:after="0" w:line="240" w:lineRule="auto"/>
        <w:jc w:val="both"/>
        <w:rPr>
          <w:rStyle w:val="authors"/>
          <w:rFonts w:ascii="Times New Roman" w:hAnsi="Times New Roman" w:cs="Times New Roman"/>
          <w:color w:val="000000" w:themeColor="text1"/>
          <w:sz w:val="24"/>
          <w:szCs w:val="24"/>
        </w:rPr>
      </w:pPr>
      <w:r w:rsidRPr="007F32A3">
        <w:rPr>
          <w:rStyle w:val="authors"/>
          <w:rFonts w:ascii="Times New Roman" w:hAnsi="Times New Roman" w:cs="Times New Roman"/>
          <w:color w:val="000000" w:themeColor="text1"/>
          <w:sz w:val="24"/>
          <w:szCs w:val="24"/>
        </w:rPr>
        <w:t>Ryan, S.</w:t>
      </w:r>
      <w:r w:rsidR="006156C5">
        <w:rPr>
          <w:rStyle w:val="authors"/>
          <w:rFonts w:ascii="Times New Roman" w:hAnsi="Times New Roman" w:cs="Times New Roman"/>
          <w:color w:val="000000" w:themeColor="text1"/>
          <w:sz w:val="24"/>
          <w:szCs w:val="24"/>
        </w:rPr>
        <w:t>,</w:t>
      </w:r>
      <w:r w:rsidRPr="007F32A3">
        <w:rPr>
          <w:rStyle w:val="authors"/>
          <w:rFonts w:ascii="Times New Roman" w:hAnsi="Times New Roman" w:cs="Times New Roman"/>
          <w:color w:val="000000" w:themeColor="text1"/>
          <w:sz w:val="24"/>
          <w:szCs w:val="24"/>
        </w:rPr>
        <w:t xml:space="preserve"> von der </w:t>
      </w:r>
      <w:proofErr w:type="spellStart"/>
      <w:r w:rsidRPr="007F32A3">
        <w:rPr>
          <w:rStyle w:val="authors"/>
          <w:rFonts w:ascii="Times New Roman" w:hAnsi="Times New Roman" w:cs="Times New Roman"/>
          <w:color w:val="000000" w:themeColor="text1"/>
          <w:sz w:val="24"/>
          <w:szCs w:val="24"/>
        </w:rPr>
        <w:t>Embse</w:t>
      </w:r>
      <w:proofErr w:type="spellEnd"/>
      <w:r w:rsidRPr="007F32A3">
        <w:rPr>
          <w:rStyle w:val="authors"/>
          <w:rFonts w:ascii="Times New Roman" w:hAnsi="Times New Roman" w:cs="Times New Roman"/>
          <w:color w:val="000000" w:themeColor="text1"/>
          <w:sz w:val="24"/>
          <w:szCs w:val="24"/>
        </w:rPr>
        <w:t>, N.</w:t>
      </w:r>
      <w:r w:rsidR="006156C5">
        <w:rPr>
          <w:rStyle w:val="authors"/>
          <w:rFonts w:ascii="Times New Roman" w:hAnsi="Times New Roman" w:cs="Times New Roman"/>
          <w:color w:val="000000" w:themeColor="text1"/>
          <w:sz w:val="24"/>
          <w:szCs w:val="24"/>
        </w:rPr>
        <w:t>,</w:t>
      </w:r>
      <w:r w:rsidRPr="007F32A3">
        <w:rPr>
          <w:rStyle w:val="authors"/>
          <w:rFonts w:ascii="Times New Roman" w:hAnsi="Times New Roman" w:cs="Times New Roman"/>
          <w:color w:val="000000" w:themeColor="text1"/>
          <w:sz w:val="24"/>
          <w:szCs w:val="24"/>
        </w:rPr>
        <w:t xml:space="preserve"> </w:t>
      </w:r>
      <w:proofErr w:type="spellStart"/>
      <w:r w:rsidRPr="007F32A3">
        <w:rPr>
          <w:rStyle w:val="authors"/>
          <w:rFonts w:ascii="Times New Roman" w:hAnsi="Times New Roman" w:cs="Times New Roman"/>
          <w:color w:val="000000" w:themeColor="text1"/>
          <w:sz w:val="24"/>
          <w:szCs w:val="24"/>
        </w:rPr>
        <w:t>Pendergast</w:t>
      </w:r>
      <w:proofErr w:type="spellEnd"/>
      <w:r w:rsidRPr="007F32A3">
        <w:rPr>
          <w:rStyle w:val="authors"/>
          <w:rFonts w:ascii="Times New Roman" w:hAnsi="Times New Roman" w:cs="Times New Roman"/>
          <w:color w:val="000000" w:themeColor="text1"/>
          <w:sz w:val="24"/>
          <w:szCs w:val="24"/>
        </w:rPr>
        <w:t>, L.</w:t>
      </w:r>
      <w:r w:rsidR="006156C5">
        <w:rPr>
          <w:rStyle w:val="authors"/>
          <w:rFonts w:ascii="Times New Roman" w:hAnsi="Times New Roman" w:cs="Times New Roman"/>
          <w:color w:val="000000" w:themeColor="text1"/>
          <w:sz w:val="24"/>
          <w:szCs w:val="24"/>
        </w:rPr>
        <w:t>,</w:t>
      </w:r>
      <w:r w:rsidRPr="007F32A3">
        <w:rPr>
          <w:rStyle w:val="authors"/>
          <w:rFonts w:ascii="Times New Roman" w:hAnsi="Times New Roman" w:cs="Times New Roman"/>
          <w:color w:val="000000" w:themeColor="text1"/>
          <w:sz w:val="24"/>
          <w:szCs w:val="24"/>
        </w:rPr>
        <w:t xml:space="preserve"> Saeki, E.</w:t>
      </w:r>
      <w:r w:rsidR="006156C5">
        <w:rPr>
          <w:rStyle w:val="authors"/>
          <w:rFonts w:ascii="Times New Roman" w:hAnsi="Times New Roman" w:cs="Times New Roman"/>
          <w:color w:val="000000" w:themeColor="text1"/>
          <w:sz w:val="24"/>
          <w:szCs w:val="24"/>
        </w:rPr>
        <w:t>,</w:t>
      </w:r>
      <w:r w:rsidRPr="007F32A3">
        <w:rPr>
          <w:rStyle w:val="authors"/>
          <w:rFonts w:ascii="Times New Roman" w:hAnsi="Times New Roman" w:cs="Times New Roman"/>
          <w:color w:val="000000" w:themeColor="text1"/>
          <w:sz w:val="24"/>
          <w:szCs w:val="24"/>
        </w:rPr>
        <w:t xml:space="preserve"> </w:t>
      </w:r>
      <w:proofErr w:type="spellStart"/>
      <w:r w:rsidRPr="007F32A3">
        <w:rPr>
          <w:rStyle w:val="authors"/>
          <w:rFonts w:ascii="Times New Roman" w:hAnsi="Times New Roman" w:cs="Times New Roman"/>
          <w:color w:val="000000" w:themeColor="text1"/>
          <w:sz w:val="24"/>
          <w:szCs w:val="24"/>
        </w:rPr>
        <w:t>Segool</w:t>
      </w:r>
      <w:proofErr w:type="spellEnd"/>
      <w:r w:rsidRPr="007F32A3">
        <w:rPr>
          <w:rStyle w:val="authors"/>
          <w:rFonts w:ascii="Times New Roman" w:hAnsi="Times New Roman" w:cs="Times New Roman"/>
          <w:color w:val="000000" w:themeColor="text1"/>
          <w:sz w:val="24"/>
          <w:szCs w:val="24"/>
        </w:rPr>
        <w:t xml:space="preserve">, N. and </w:t>
      </w:r>
      <w:proofErr w:type="spellStart"/>
      <w:r w:rsidRPr="007F32A3">
        <w:rPr>
          <w:rStyle w:val="authors"/>
          <w:rFonts w:ascii="Times New Roman" w:hAnsi="Times New Roman" w:cs="Times New Roman"/>
          <w:color w:val="000000" w:themeColor="text1"/>
          <w:sz w:val="24"/>
          <w:szCs w:val="24"/>
        </w:rPr>
        <w:t>Schwing</w:t>
      </w:r>
      <w:proofErr w:type="spellEnd"/>
      <w:r w:rsidRPr="007F32A3">
        <w:rPr>
          <w:rStyle w:val="authors"/>
          <w:rFonts w:ascii="Times New Roman" w:hAnsi="Times New Roman" w:cs="Times New Roman"/>
          <w:color w:val="000000" w:themeColor="text1"/>
          <w:sz w:val="24"/>
          <w:szCs w:val="24"/>
        </w:rPr>
        <w:t>, S. 2017.</w:t>
      </w:r>
    </w:p>
    <w:p w14:paraId="2FAC2EDE" w14:textId="77777777" w:rsidR="005E2E61" w:rsidRPr="007F32A3" w:rsidRDefault="005E2E61" w:rsidP="00735D03">
      <w:pPr>
        <w:spacing w:after="0" w:line="240" w:lineRule="auto"/>
        <w:jc w:val="both"/>
        <w:rPr>
          <w:rStyle w:val="authors"/>
          <w:rFonts w:ascii="Times New Roman" w:hAnsi="Times New Roman" w:cs="Times New Roman"/>
          <w:color w:val="000000" w:themeColor="text1"/>
          <w:sz w:val="24"/>
          <w:szCs w:val="24"/>
        </w:rPr>
      </w:pPr>
      <w:r w:rsidRPr="007F32A3">
        <w:rPr>
          <w:rStyle w:val="authors"/>
          <w:rFonts w:ascii="Times New Roman" w:hAnsi="Times New Roman" w:cs="Times New Roman"/>
          <w:color w:val="000000" w:themeColor="text1"/>
          <w:sz w:val="24"/>
          <w:szCs w:val="24"/>
        </w:rPr>
        <w:t xml:space="preserve">Leaving the teaching profession: The role of teacher stress and educational accountability policies on turnover intent. </w:t>
      </w:r>
      <w:r w:rsidRPr="007F32A3">
        <w:rPr>
          <w:rStyle w:val="authors"/>
          <w:rFonts w:ascii="Times New Roman" w:hAnsi="Times New Roman" w:cs="Times New Roman"/>
          <w:i/>
          <w:color w:val="000000" w:themeColor="text1"/>
          <w:sz w:val="24"/>
          <w:szCs w:val="24"/>
        </w:rPr>
        <w:t>Teaching and Teacher Education</w:t>
      </w:r>
      <w:r w:rsidRPr="007F32A3">
        <w:rPr>
          <w:rStyle w:val="authors"/>
          <w:rFonts w:ascii="Times New Roman" w:hAnsi="Times New Roman" w:cs="Times New Roman"/>
          <w:color w:val="000000" w:themeColor="text1"/>
          <w:sz w:val="24"/>
          <w:szCs w:val="24"/>
        </w:rPr>
        <w:t xml:space="preserve"> 66: 1-11. </w:t>
      </w:r>
    </w:p>
    <w:p w14:paraId="7B8EB6E4" w14:textId="77777777" w:rsidR="005E2E61" w:rsidRPr="007F32A3" w:rsidRDefault="005E2E61" w:rsidP="00735D03">
      <w:pPr>
        <w:spacing w:after="0" w:line="240" w:lineRule="auto"/>
        <w:jc w:val="both"/>
        <w:rPr>
          <w:rStyle w:val="authors"/>
          <w:rFonts w:ascii="Times New Roman" w:hAnsi="Times New Roman" w:cs="Times New Roman"/>
          <w:color w:val="000000" w:themeColor="text1"/>
          <w:sz w:val="24"/>
          <w:szCs w:val="24"/>
        </w:rPr>
      </w:pPr>
    </w:p>
    <w:p w14:paraId="2D0B328E" w14:textId="73131F9A" w:rsidR="005E2E61" w:rsidRPr="007F32A3" w:rsidRDefault="005E2E61" w:rsidP="00735D03">
      <w:pPr>
        <w:spacing w:after="0" w:line="240" w:lineRule="auto"/>
        <w:jc w:val="both"/>
        <w:rPr>
          <w:rStyle w:val="authors"/>
          <w:rFonts w:ascii="Times New Roman" w:hAnsi="Times New Roman" w:cs="Times New Roman"/>
          <w:color w:val="000000" w:themeColor="text1"/>
          <w:sz w:val="24"/>
          <w:szCs w:val="24"/>
        </w:rPr>
      </w:pPr>
      <w:r w:rsidRPr="007F32A3">
        <w:rPr>
          <w:rStyle w:val="authors"/>
          <w:rFonts w:ascii="Times New Roman" w:hAnsi="Times New Roman" w:cs="Times New Roman"/>
          <w:color w:val="000000" w:themeColor="text1"/>
          <w:sz w:val="24"/>
          <w:szCs w:val="24"/>
        </w:rPr>
        <w:t>Saeki, E.</w:t>
      </w:r>
      <w:r w:rsidR="006156C5">
        <w:rPr>
          <w:rStyle w:val="authors"/>
          <w:rFonts w:ascii="Times New Roman" w:hAnsi="Times New Roman" w:cs="Times New Roman"/>
          <w:color w:val="000000" w:themeColor="text1"/>
          <w:sz w:val="24"/>
          <w:szCs w:val="24"/>
        </w:rPr>
        <w:t>,</w:t>
      </w:r>
      <w:r w:rsidRPr="007F32A3">
        <w:rPr>
          <w:rStyle w:val="authors"/>
          <w:rFonts w:ascii="Times New Roman" w:hAnsi="Times New Roman" w:cs="Times New Roman"/>
          <w:color w:val="000000" w:themeColor="text1"/>
          <w:sz w:val="24"/>
          <w:szCs w:val="24"/>
        </w:rPr>
        <w:t xml:space="preserve"> </w:t>
      </w:r>
      <w:proofErr w:type="spellStart"/>
      <w:r w:rsidRPr="007F32A3">
        <w:rPr>
          <w:rStyle w:val="authors"/>
          <w:rFonts w:ascii="Times New Roman" w:hAnsi="Times New Roman" w:cs="Times New Roman"/>
          <w:color w:val="000000" w:themeColor="text1"/>
          <w:sz w:val="24"/>
          <w:szCs w:val="24"/>
        </w:rPr>
        <w:t>Pendergast</w:t>
      </w:r>
      <w:proofErr w:type="spellEnd"/>
      <w:r w:rsidRPr="007F32A3">
        <w:rPr>
          <w:rStyle w:val="authors"/>
          <w:rFonts w:ascii="Times New Roman" w:hAnsi="Times New Roman" w:cs="Times New Roman"/>
          <w:color w:val="000000" w:themeColor="text1"/>
          <w:sz w:val="24"/>
          <w:szCs w:val="24"/>
        </w:rPr>
        <w:t>, L.</w:t>
      </w:r>
      <w:r w:rsidR="006156C5">
        <w:rPr>
          <w:rStyle w:val="authors"/>
          <w:rFonts w:ascii="Times New Roman" w:hAnsi="Times New Roman" w:cs="Times New Roman"/>
          <w:color w:val="000000" w:themeColor="text1"/>
          <w:sz w:val="24"/>
          <w:szCs w:val="24"/>
        </w:rPr>
        <w:t>,</w:t>
      </w:r>
      <w:r w:rsidRPr="007F32A3">
        <w:rPr>
          <w:rStyle w:val="authors"/>
          <w:rFonts w:ascii="Times New Roman" w:hAnsi="Times New Roman" w:cs="Times New Roman"/>
          <w:color w:val="000000" w:themeColor="text1"/>
          <w:sz w:val="24"/>
          <w:szCs w:val="24"/>
        </w:rPr>
        <w:t xml:space="preserve"> </w:t>
      </w:r>
      <w:proofErr w:type="spellStart"/>
      <w:r w:rsidRPr="007F32A3">
        <w:rPr>
          <w:rStyle w:val="authors"/>
          <w:rFonts w:ascii="Times New Roman" w:hAnsi="Times New Roman" w:cs="Times New Roman"/>
          <w:color w:val="000000" w:themeColor="text1"/>
          <w:sz w:val="24"/>
          <w:szCs w:val="24"/>
        </w:rPr>
        <w:t>Segool</w:t>
      </w:r>
      <w:proofErr w:type="spellEnd"/>
      <w:r w:rsidRPr="007F32A3">
        <w:rPr>
          <w:rStyle w:val="authors"/>
          <w:rFonts w:ascii="Times New Roman" w:hAnsi="Times New Roman" w:cs="Times New Roman"/>
          <w:color w:val="000000" w:themeColor="text1"/>
          <w:sz w:val="24"/>
          <w:szCs w:val="24"/>
        </w:rPr>
        <w:t xml:space="preserve">, N. and von der </w:t>
      </w:r>
      <w:proofErr w:type="spellStart"/>
      <w:r w:rsidRPr="007F32A3">
        <w:rPr>
          <w:rStyle w:val="authors"/>
          <w:rFonts w:ascii="Times New Roman" w:hAnsi="Times New Roman" w:cs="Times New Roman"/>
          <w:color w:val="000000" w:themeColor="text1"/>
          <w:sz w:val="24"/>
          <w:szCs w:val="24"/>
        </w:rPr>
        <w:t>Embse</w:t>
      </w:r>
      <w:proofErr w:type="spellEnd"/>
      <w:r w:rsidRPr="007F32A3">
        <w:rPr>
          <w:rStyle w:val="authors"/>
          <w:rFonts w:ascii="Times New Roman" w:hAnsi="Times New Roman" w:cs="Times New Roman"/>
          <w:color w:val="000000" w:themeColor="text1"/>
          <w:sz w:val="24"/>
          <w:szCs w:val="24"/>
        </w:rPr>
        <w:t xml:space="preserve">, N. 2015. </w:t>
      </w:r>
      <w:r w:rsidRPr="007F32A3">
        <w:rPr>
          <w:rFonts w:ascii="Times New Roman" w:hAnsi="Times New Roman" w:cs="Times New Roman"/>
          <w:color w:val="000000" w:themeColor="text1"/>
          <w:sz w:val="24"/>
          <w:szCs w:val="24"/>
          <w:shd w:val="clear" w:color="auto" w:fill="FCFCFC"/>
        </w:rPr>
        <w:t xml:space="preserve">Potential psychosocial and instructional consequences of the common core state standards. Implications for research and practice. </w:t>
      </w:r>
      <w:r w:rsidRPr="007F32A3">
        <w:rPr>
          <w:rFonts w:ascii="Times New Roman" w:hAnsi="Times New Roman" w:cs="Times New Roman"/>
          <w:i/>
          <w:color w:val="000000" w:themeColor="text1"/>
          <w:sz w:val="24"/>
          <w:szCs w:val="24"/>
          <w:shd w:val="clear" w:color="auto" w:fill="FCFCFC"/>
        </w:rPr>
        <w:t>Contemporary School Psychology</w:t>
      </w:r>
      <w:r w:rsidRPr="007F32A3">
        <w:rPr>
          <w:rFonts w:ascii="Times New Roman" w:hAnsi="Times New Roman" w:cs="Times New Roman"/>
          <w:color w:val="000000" w:themeColor="text1"/>
          <w:sz w:val="24"/>
          <w:szCs w:val="24"/>
          <w:shd w:val="clear" w:color="auto" w:fill="FCFCFC"/>
        </w:rPr>
        <w:t xml:space="preserve"> 19(2): 89-97.</w:t>
      </w:r>
    </w:p>
    <w:p w14:paraId="219F3074" w14:textId="356AA6D0" w:rsidR="005E2E61" w:rsidRPr="007F32A3" w:rsidRDefault="005E2E61" w:rsidP="00735D03">
      <w:pPr>
        <w:spacing w:after="0" w:line="240" w:lineRule="auto"/>
        <w:jc w:val="both"/>
        <w:rPr>
          <w:rStyle w:val="authors"/>
          <w:rFonts w:ascii="Times New Roman" w:hAnsi="Times New Roman" w:cs="Times New Roman"/>
          <w:color w:val="000000" w:themeColor="text1"/>
          <w:sz w:val="24"/>
          <w:szCs w:val="24"/>
        </w:rPr>
      </w:pPr>
    </w:p>
    <w:p w14:paraId="3F48D2F5" w14:textId="3FB05294" w:rsidR="007F32A3" w:rsidRPr="007F32A3" w:rsidRDefault="007F32A3" w:rsidP="008B4E20">
      <w:pPr>
        <w:spacing w:line="240" w:lineRule="auto"/>
        <w:jc w:val="both"/>
        <w:rPr>
          <w:rStyle w:val="authors"/>
          <w:rFonts w:ascii="Times New Roman" w:hAnsi="Times New Roman" w:cs="Times New Roman"/>
          <w:color w:val="000000" w:themeColor="text1"/>
          <w:sz w:val="24"/>
          <w:szCs w:val="24"/>
        </w:rPr>
      </w:pPr>
      <w:r w:rsidRPr="007F32A3">
        <w:rPr>
          <w:rStyle w:val="article-headerdoi1"/>
          <w:rFonts w:ascii="Times New Roman" w:hAnsi="Times New Roman" w:cs="Times New Roman"/>
          <w:color w:val="000000" w:themeColor="text1"/>
          <w:sz w:val="24"/>
          <w:szCs w:val="24"/>
          <w:lang w:val="en"/>
        </w:rPr>
        <w:t xml:space="preserve">Savage, M. 2020. </w:t>
      </w:r>
      <w:r w:rsidRPr="007F32A3">
        <w:rPr>
          <w:rFonts w:ascii="Times New Roman" w:hAnsi="Times New Roman" w:cs="Times New Roman"/>
          <w:color w:val="000000"/>
          <w:spacing w:val="-19"/>
          <w:sz w:val="24"/>
          <w:szCs w:val="24"/>
          <w:shd w:val="clear" w:color="auto" w:fill="FFFFFF"/>
        </w:rPr>
        <w:t>How Covid-19 is changing women’s lives.</w:t>
      </w:r>
      <w:r w:rsidRPr="007F32A3">
        <w:rPr>
          <w:rStyle w:val="article-headerdoi1"/>
          <w:rFonts w:ascii="Times New Roman" w:hAnsi="Times New Roman" w:cs="Times New Roman"/>
          <w:color w:val="000000" w:themeColor="text1"/>
          <w:sz w:val="24"/>
          <w:szCs w:val="24"/>
          <w:lang w:val="en"/>
        </w:rPr>
        <w:t xml:space="preserve"> Accessed 16/09/2020 from </w:t>
      </w:r>
      <w:hyperlink r:id="rId105" w:history="1">
        <w:r w:rsidRPr="007F32A3">
          <w:rPr>
            <w:rStyle w:val="Hyperlink"/>
            <w:rFonts w:ascii="Times New Roman" w:hAnsi="Times New Roman" w:cs="Times New Roman"/>
            <w:sz w:val="24"/>
            <w:szCs w:val="24"/>
            <w:lang w:val="en"/>
          </w:rPr>
          <w:t>https://www.bbc.com/worklife/article/20200630-how-covid-19-is-changing-womens-lives</w:t>
        </w:r>
      </w:hyperlink>
      <w:r w:rsidRPr="007F32A3">
        <w:rPr>
          <w:rStyle w:val="article-headerdoi1"/>
          <w:rFonts w:ascii="Times New Roman" w:hAnsi="Times New Roman" w:cs="Times New Roman"/>
          <w:color w:val="000000" w:themeColor="text1"/>
          <w:sz w:val="24"/>
          <w:szCs w:val="24"/>
          <w:lang w:val="en"/>
        </w:rPr>
        <w:t xml:space="preserve"> </w:t>
      </w:r>
    </w:p>
    <w:p w14:paraId="731294D3" w14:textId="77777777" w:rsidR="005E2E61" w:rsidRPr="007F32A3" w:rsidRDefault="005E2E61" w:rsidP="00735D03">
      <w:pPr>
        <w:spacing w:after="0" w:line="240" w:lineRule="auto"/>
        <w:jc w:val="both"/>
        <w:rPr>
          <w:rFonts w:ascii="Times New Roman" w:eastAsia="Times New Roman" w:hAnsi="Times New Roman" w:cs="Times New Roman"/>
          <w:color w:val="000000" w:themeColor="text1"/>
          <w:sz w:val="24"/>
          <w:szCs w:val="24"/>
          <w:lang w:eastAsia="en-GB"/>
        </w:rPr>
      </w:pPr>
      <w:proofErr w:type="spellStart"/>
      <w:r w:rsidRPr="007F32A3">
        <w:rPr>
          <w:rStyle w:val="authors"/>
          <w:rFonts w:ascii="Times New Roman" w:hAnsi="Times New Roman" w:cs="Times New Roman"/>
          <w:color w:val="000000" w:themeColor="text1"/>
          <w:sz w:val="24"/>
          <w:szCs w:val="24"/>
        </w:rPr>
        <w:t>Schildkamp</w:t>
      </w:r>
      <w:proofErr w:type="spellEnd"/>
      <w:r w:rsidRPr="007F32A3">
        <w:rPr>
          <w:rStyle w:val="authors"/>
          <w:rFonts w:ascii="Times New Roman" w:hAnsi="Times New Roman" w:cs="Times New Roman"/>
          <w:color w:val="000000" w:themeColor="text1"/>
          <w:sz w:val="24"/>
          <w:szCs w:val="24"/>
        </w:rPr>
        <w:t>, K.</w:t>
      </w:r>
      <w:r w:rsidRPr="007F32A3">
        <w:rPr>
          <w:rFonts w:ascii="Times New Roman" w:hAnsi="Times New Roman" w:cs="Times New Roman"/>
          <w:color w:val="000000" w:themeColor="text1"/>
          <w:sz w:val="24"/>
          <w:szCs w:val="24"/>
          <w:shd w:val="clear" w:color="auto" w:fill="FFFFFF"/>
        </w:rPr>
        <w:t xml:space="preserve"> </w:t>
      </w:r>
      <w:r w:rsidRPr="007F32A3">
        <w:rPr>
          <w:rStyle w:val="Date1"/>
          <w:rFonts w:ascii="Times New Roman" w:hAnsi="Times New Roman" w:cs="Times New Roman"/>
          <w:color w:val="000000" w:themeColor="text1"/>
          <w:sz w:val="24"/>
          <w:szCs w:val="24"/>
        </w:rPr>
        <w:t>2019.</w:t>
      </w:r>
      <w:r w:rsidRPr="007F32A3">
        <w:rPr>
          <w:rFonts w:ascii="Times New Roman" w:hAnsi="Times New Roman" w:cs="Times New Roman"/>
          <w:color w:val="000000" w:themeColor="text1"/>
          <w:sz w:val="24"/>
          <w:szCs w:val="24"/>
          <w:shd w:val="clear" w:color="auto" w:fill="FFFFFF"/>
        </w:rPr>
        <w:t xml:space="preserve"> </w:t>
      </w:r>
      <w:r w:rsidRPr="007F32A3">
        <w:rPr>
          <w:rStyle w:val="arttitle"/>
          <w:rFonts w:ascii="Times New Roman" w:hAnsi="Times New Roman" w:cs="Times New Roman"/>
          <w:color w:val="000000" w:themeColor="text1"/>
          <w:sz w:val="24"/>
          <w:szCs w:val="24"/>
        </w:rPr>
        <w:t>Data-based decision-making for school improvement: Research insights and gaps,</w:t>
      </w:r>
      <w:r w:rsidRPr="007F32A3">
        <w:rPr>
          <w:rFonts w:ascii="Times New Roman" w:hAnsi="Times New Roman" w:cs="Times New Roman"/>
          <w:color w:val="000000" w:themeColor="text1"/>
          <w:sz w:val="24"/>
          <w:szCs w:val="24"/>
          <w:shd w:val="clear" w:color="auto" w:fill="FFFFFF"/>
        </w:rPr>
        <w:t xml:space="preserve"> </w:t>
      </w:r>
      <w:r w:rsidRPr="007F32A3">
        <w:rPr>
          <w:rStyle w:val="serialtitle"/>
          <w:rFonts w:ascii="Times New Roman" w:hAnsi="Times New Roman" w:cs="Times New Roman"/>
          <w:color w:val="000000" w:themeColor="text1"/>
          <w:sz w:val="24"/>
          <w:szCs w:val="24"/>
        </w:rPr>
        <w:t>Educational Research,</w:t>
      </w:r>
      <w:r w:rsidRPr="007F32A3">
        <w:rPr>
          <w:rFonts w:ascii="Times New Roman" w:hAnsi="Times New Roman" w:cs="Times New Roman"/>
          <w:color w:val="000000" w:themeColor="text1"/>
          <w:sz w:val="24"/>
          <w:szCs w:val="24"/>
          <w:shd w:val="clear" w:color="auto" w:fill="FFFFFF"/>
        </w:rPr>
        <w:t xml:space="preserve"> </w:t>
      </w:r>
      <w:r w:rsidRPr="007F32A3">
        <w:rPr>
          <w:rStyle w:val="volumeissue"/>
          <w:rFonts w:ascii="Times New Roman" w:hAnsi="Times New Roman" w:cs="Times New Roman"/>
          <w:color w:val="000000" w:themeColor="text1"/>
          <w:sz w:val="24"/>
          <w:szCs w:val="24"/>
        </w:rPr>
        <w:t>61:3,</w:t>
      </w:r>
      <w:r w:rsidRPr="007F32A3">
        <w:rPr>
          <w:rFonts w:ascii="Times New Roman" w:hAnsi="Times New Roman" w:cs="Times New Roman"/>
          <w:color w:val="000000" w:themeColor="text1"/>
          <w:sz w:val="24"/>
          <w:szCs w:val="24"/>
          <w:shd w:val="clear" w:color="auto" w:fill="FFFFFF"/>
        </w:rPr>
        <w:t xml:space="preserve"> </w:t>
      </w:r>
      <w:r w:rsidRPr="007F32A3">
        <w:rPr>
          <w:rStyle w:val="pagerange"/>
          <w:rFonts w:ascii="Times New Roman" w:hAnsi="Times New Roman" w:cs="Times New Roman"/>
          <w:color w:val="000000" w:themeColor="text1"/>
          <w:sz w:val="24"/>
          <w:szCs w:val="24"/>
        </w:rPr>
        <w:t>257-273,</w:t>
      </w:r>
      <w:r w:rsidRPr="007F32A3">
        <w:rPr>
          <w:rFonts w:ascii="Times New Roman" w:hAnsi="Times New Roman" w:cs="Times New Roman"/>
          <w:color w:val="000000" w:themeColor="text1"/>
          <w:sz w:val="24"/>
          <w:szCs w:val="24"/>
          <w:shd w:val="clear" w:color="auto" w:fill="FFFFFF"/>
        </w:rPr>
        <w:t xml:space="preserve"> </w:t>
      </w:r>
      <w:r w:rsidRPr="007F32A3">
        <w:rPr>
          <w:rStyle w:val="doilink"/>
          <w:rFonts w:ascii="Times New Roman" w:hAnsi="Times New Roman" w:cs="Times New Roman"/>
          <w:color w:val="000000" w:themeColor="text1"/>
          <w:sz w:val="24"/>
          <w:szCs w:val="24"/>
        </w:rPr>
        <w:t xml:space="preserve">DOI: </w:t>
      </w:r>
      <w:hyperlink r:id="rId106" w:history="1">
        <w:r w:rsidRPr="007F32A3">
          <w:rPr>
            <w:rStyle w:val="Hyperlink"/>
            <w:rFonts w:ascii="Times New Roman" w:hAnsi="Times New Roman" w:cs="Times New Roman"/>
            <w:color w:val="000000" w:themeColor="text1"/>
            <w:sz w:val="24"/>
            <w:szCs w:val="24"/>
            <w:u w:val="none"/>
          </w:rPr>
          <w:t>10.1080/00131881.2019.1625716</w:t>
        </w:r>
      </w:hyperlink>
    </w:p>
    <w:p w14:paraId="2AE455D2"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14BD13D0" w14:textId="04388C20"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t>Seeman</w:t>
      </w:r>
      <w:proofErr w:type="spellEnd"/>
      <w:r w:rsidRPr="007F32A3">
        <w:rPr>
          <w:rFonts w:ascii="Times New Roman" w:hAnsi="Times New Roman" w:cs="Times New Roman"/>
          <w:color w:val="000000" w:themeColor="text1"/>
          <w:sz w:val="24"/>
          <w:szCs w:val="24"/>
          <w:shd w:val="clear" w:color="auto" w:fill="FFFFFF"/>
        </w:rPr>
        <w:t>, T. E.</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McEwen, B. S.</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Rowe, J. W. and Singer, B. H. 2001. </w:t>
      </w:r>
      <w:proofErr w:type="spellStart"/>
      <w:r w:rsidRPr="007F32A3">
        <w:rPr>
          <w:rFonts w:ascii="Times New Roman" w:hAnsi="Times New Roman" w:cs="Times New Roman"/>
          <w:color w:val="000000" w:themeColor="text1"/>
          <w:sz w:val="24"/>
          <w:szCs w:val="24"/>
          <w:shd w:val="clear" w:color="auto" w:fill="FFFFFF"/>
        </w:rPr>
        <w:t>Allostatic</w:t>
      </w:r>
      <w:proofErr w:type="spellEnd"/>
      <w:r w:rsidRPr="007F32A3">
        <w:rPr>
          <w:rFonts w:ascii="Times New Roman" w:hAnsi="Times New Roman" w:cs="Times New Roman"/>
          <w:color w:val="000000" w:themeColor="text1"/>
          <w:sz w:val="24"/>
          <w:szCs w:val="24"/>
          <w:shd w:val="clear" w:color="auto" w:fill="FFFFFF"/>
        </w:rPr>
        <w:t xml:space="preserve"> load as a marker of cumulative biological risk: MacArthur studies of successful aging. </w:t>
      </w:r>
      <w:r w:rsidRPr="007F32A3">
        <w:rPr>
          <w:rFonts w:ascii="Times New Roman" w:hAnsi="Times New Roman" w:cs="Times New Roman"/>
          <w:i/>
          <w:iCs/>
          <w:color w:val="000000" w:themeColor="text1"/>
          <w:sz w:val="24"/>
          <w:szCs w:val="24"/>
          <w:shd w:val="clear" w:color="auto" w:fill="FFFFFF"/>
        </w:rPr>
        <w:t>Proceedings of the National Academy of Sciences</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98</w:t>
      </w:r>
      <w:r w:rsidRPr="007F32A3">
        <w:rPr>
          <w:rFonts w:ascii="Times New Roman" w:hAnsi="Times New Roman" w:cs="Times New Roman"/>
          <w:color w:val="000000" w:themeColor="text1"/>
          <w:sz w:val="24"/>
          <w:szCs w:val="24"/>
          <w:shd w:val="clear" w:color="auto" w:fill="FFFFFF"/>
        </w:rPr>
        <w:t>(8): 4,770-4,775.</w:t>
      </w:r>
    </w:p>
    <w:p w14:paraId="34ADC0B8"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08C7287E" w14:textId="086456C2"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t>Selwyn, N.</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Nemorin</w:t>
      </w:r>
      <w:proofErr w:type="spellEnd"/>
      <w:r w:rsidRPr="007F32A3">
        <w:rPr>
          <w:rFonts w:ascii="Times New Roman" w:hAnsi="Times New Roman" w:cs="Times New Roman"/>
          <w:color w:val="000000" w:themeColor="text1"/>
          <w:sz w:val="24"/>
          <w:szCs w:val="24"/>
          <w:shd w:val="clear" w:color="auto" w:fill="FFFFFF"/>
        </w:rPr>
        <w:t>, S. and Johnson, N. 2017. High-tech, hard work: An investigation of teachers’ work in the digital age. </w:t>
      </w:r>
      <w:r w:rsidRPr="007F32A3">
        <w:rPr>
          <w:rFonts w:ascii="Times New Roman" w:hAnsi="Times New Roman" w:cs="Times New Roman"/>
          <w:i/>
          <w:iCs/>
          <w:color w:val="000000" w:themeColor="text1"/>
          <w:sz w:val="24"/>
          <w:szCs w:val="24"/>
          <w:shd w:val="clear" w:color="auto" w:fill="FFFFFF"/>
        </w:rPr>
        <w:t>Learning, Media and Technology</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42</w:t>
      </w:r>
      <w:r w:rsidRPr="007F32A3">
        <w:rPr>
          <w:rFonts w:ascii="Times New Roman" w:hAnsi="Times New Roman" w:cs="Times New Roman"/>
          <w:color w:val="000000" w:themeColor="text1"/>
          <w:sz w:val="24"/>
          <w:szCs w:val="24"/>
          <w:shd w:val="clear" w:color="auto" w:fill="FFFFFF"/>
        </w:rPr>
        <w:t>(4): 390-405.</w:t>
      </w:r>
    </w:p>
    <w:p w14:paraId="5B690E7D"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685DAB66"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Simon, N. S. and Johnson, S. M. 2015. Teacher turnover in high-poverty schools: What we know and can do. </w:t>
      </w:r>
      <w:r w:rsidRPr="007F32A3">
        <w:rPr>
          <w:rFonts w:ascii="Times New Roman" w:hAnsi="Times New Roman" w:cs="Times New Roman"/>
          <w:i/>
          <w:iCs/>
          <w:color w:val="000000" w:themeColor="text1"/>
          <w:sz w:val="24"/>
          <w:szCs w:val="24"/>
        </w:rPr>
        <w:t>Teachers College Record</w:t>
      </w:r>
      <w:r w:rsidRPr="007F32A3">
        <w:rPr>
          <w:rFonts w:ascii="Times New Roman" w:hAnsi="Times New Roman" w:cs="Times New Roman"/>
          <w:color w:val="000000" w:themeColor="text1"/>
          <w:sz w:val="24"/>
          <w:szCs w:val="24"/>
        </w:rPr>
        <w:t xml:space="preserve"> </w:t>
      </w:r>
      <w:r w:rsidRPr="007F32A3">
        <w:rPr>
          <w:rFonts w:ascii="Times New Roman" w:hAnsi="Times New Roman" w:cs="Times New Roman"/>
          <w:i/>
          <w:iCs/>
          <w:color w:val="000000" w:themeColor="text1"/>
          <w:sz w:val="24"/>
          <w:szCs w:val="24"/>
        </w:rPr>
        <w:t>117</w:t>
      </w:r>
      <w:r w:rsidRPr="007F32A3">
        <w:rPr>
          <w:rFonts w:ascii="Times New Roman" w:hAnsi="Times New Roman" w:cs="Times New Roman"/>
          <w:color w:val="000000" w:themeColor="text1"/>
          <w:sz w:val="24"/>
          <w:szCs w:val="24"/>
        </w:rPr>
        <w:t>(3): 1-36.</w:t>
      </w:r>
    </w:p>
    <w:p w14:paraId="6C8547A9"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501B15E8"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 xml:space="preserve">Sims, S. and Jerrim, J. 2020. </w:t>
      </w:r>
      <w:r w:rsidRPr="007F32A3">
        <w:rPr>
          <w:rFonts w:ascii="Times New Roman" w:hAnsi="Times New Roman" w:cs="Times New Roman"/>
          <w:color w:val="000000" w:themeColor="text1"/>
          <w:sz w:val="24"/>
          <w:szCs w:val="24"/>
          <w:lang w:eastAsia="en-GB"/>
        </w:rPr>
        <w:t>How does the school working environment predict teachers’ job satisfaction, stress and exit from the profession? Evidence from linked survey and administrative data.</w:t>
      </w:r>
    </w:p>
    <w:p w14:paraId="3A243455"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19F86C8F" w14:textId="0C610D9F" w:rsidR="005E2E61" w:rsidRPr="007F32A3" w:rsidRDefault="005E2E61" w:rsidP="00735D03">
      <w:pPr>
        <w:spacing w:after="0" w:line="240" w:lineRule="auto"/>
        <w:jc w:val="both"/>
        <w:rPr>
          <w:rFonts w:ascii="Times New Roman" w:hAnsi="Times New Roman" w:cs="Times New Roman"/>
          <w:color w:val="000000" w:themeColor="text1"/>
          <w:sz w:val="24"/>
          <w:szCs w:val="24"/>
        </w:rPr>
      </w:pPr>
      <w:r w:rsidRPr="007F32A3">
        <w:rPr>
          <w:rFonts w:ascii="Times New Roman" w:hAnsi="Times New Roman" w:cs="Times New Roman"/>
          <w:color w:val="000000" w:themeColor="text1"/>
          <w:sz w:val="24"/>
          <w:szCs w:val="24"/>
        </w:rPr>
        <w:t>Sims, S.</w:t>
      </w:r>
      <w:r w:rsidR="006156C5">
        <w:rPr>
          <w:rFonts w:ascii="Times New Roman" w:hAnsi="Times New Roman" w:cs="Times New Roman"/>
          <w:color w:val="000000" w:themeColor="text1"/>
          <w:sz w:val="24"/>
          <w:szCs w:val="24"/>
        </w:rPr>
        <w:t xml:space="preserve">, </w:t>
      </w:r>
      <w:r w:rsidRPr="007F32A3">
        <w:rPr>
          <w:rFonts w:ascii="Times New Roman" w:hAnsi="Times New Roman" w:cs="Times New Roman"/>
          <w:color w:val="000000" w:themeColor="text1"/>
          <w:sz w:val="24"/>
          <w:szCs w:val="24"/>
        </w:rPr>
        <w:t xml:space="preserve">Jerrim, J., Taylor, H. and Allen, R. 2020a. </w:t>
      </w:r>
      <w:r w:rsidRPr="007F32A3">
        <w:rPr>
          <w:rFonts w:ascii="Times New Roman" w:hAnsi="Times New Roman" w:cs="Times New Roman"/>
          <w:bCs/>
          <w:color w:val="000000" w:themeColor="text1"/>
          <w:sz w:val="24"/>
          <w:szCs w:val="24"/>
        </w:rPr>
        <w:t xml:space="preserve">Is teaching really </w:t>
      </w:r>
      <w:proofErr w:type="gramStart"/>
      <w:r w:rsidRPr="007F32A3">
        <w:rPr>
          <w:rFonts w:ascii="Times New Roman" w:hAnsi="Times New Roman" w:cs="Times New Roman"/>
          <w:bCs/>
          <w:color w:val="000000" w:themeColor="text1"/>
          <w:sz w:val="24"/>
          <w:szCs w:val="24"/>
        </w:rPr>
        <w:t>bad</w:t>
      </w:r>
      <w:proofErr w:type="gramEnd"/>
      <w:r w:rsidRPr="007F32A3">
        <w:rPr>
          <w:rFonts w:ascii="Times New Roman" w:hAnsi="Times New Roman" w:cs="Times New Roman"/>
          <w:bCs/>
          <w:color w:val="000000" w:themeColor="text1"/>
          <w:sz w:val="24"/>
          <w:szCs w:val="24"/>
        </w:rPr>
        <w:t xml:space="preserve"> for your health? New evidence from biomarker data.</w:t>
      </w:r>
    </w:p>
    <w:p w14:paraId="6A696EF5"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rPr>
      </w:pPr>
    </w:p>
    <w:p w14:paraId="69D29201" w14:textId="77777777"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7F32A3">
        <w:rPr>
          <w:rFonts w:ascii="Times New Roman" w:hAnsi="Times New Roman" w:cs="Times New Roman"/>
          <w:color w:val="000000" w:themeColor="text1"/>
          <w:sz w:val="24"/>
          <w:szCs w:val="24"/>
          <w:shd w:val="clear" w:color="auto" w:fill="FFFFFF"/>
        </w:rPr>
        <w:t>Skaalvik</w:t>
      </w:r>
      <w:proofErr w:type="spellEnd"/>
      <w:r w:rsidRPr="007F32A3">
        <w:rPr>
          <w:rFonts w:ascii="Times New Roman" w:hAnsi="Times New Roman" w:cs="Times New Roman"/>
          <w:color w:val="000000" w:themeColor="text1"/>
          <w:sz w:val="24"/>
          <w:szCs w:val="24"/>
          <w:shd w:val="clear" w:color="auto" w:fill="FFFFFF"/>
        </w:rPr>
        <w:t xml:space="preserve">, E. M. and </w:t>
      </w:r>
      <w:proofErr w:type="spellStart"/>
      <w:r w:rsidRPr="007F32A3">
        <w:rPr>
          <w:rFonts w:ascii="Times New Roman" w:hAnsi="Times New Roman" w:cs="Times New Roman"/>
          <w:color w:val="000000" w:themeColor="text1"/>
          <w:sz w:val="24"/>
          <w:szCs w:val="24"/>
          <w:shd w:val="clear" w:color="auto" w:fill="FFFFFF"/>
        </w:rPr>
        <w:t>Skaalvik</w:t>
      </w:r>
      <w:proofErr w:type="spellEnd"/>
      <w:r w:rsidRPr="007F32A3">
        <w:rPr>
          <w:rFonts w:ascii="Times New Roman" w:hAnsi="Times New Roman" w:cs="Times New Roman"/>
          <w:color w:val="000000" w:themeColor="text1"/>
          <w:sz w:val="24"/>
          <w:szCs w:val="24"/>
          <w:shd w:val="clear" w:color="auto" w:fill="FFFFFF"/>
        </w:rPr>
        <w:t>, S. 2009. Does school context matter? Relations with teacher burnout and job satisfaction. </w:t>
      </w:r>
      <w:r w:rsidRPr="007F32A3">
        <w:rPr>
          <w:rFonts w:ascii="Times New Roman" w:hAnsi="Times New Roman" w:cs="Times New Roman"/>
          <w:i/>
          <w:iCs/>
          <w:color w:val="000000" w:themeColor="text1"/>
          <w:sz w:val="24"/>
          <w:szCs w:val="24"/>
          <w:shd w:val="clear" w:color="auto" w:fill="FFFFFF"/>
        </w:rPr>
        <w:t>Teaching and teacher education</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25</w:t>
      </w:r>
      <w:r w:rsidRPr="007F32A3">
        <w:rPr>
          <w:rFonts w:ascii="Times New Roman" w:hAnsi="Times New Roman" w:cs="Times New Roman"/>
          <w:color w:val="000000" w:themeColor="text1"/>
          <w:sz w:val="24"/>
          <w:szCs w:val="24"/>
          <w:shd w:val="clear" w:color="auto" w:fill="FFFFFF"/>
        </w:rPr>
        <w:t>(3): 518-524.</w:t>
      </w:r>
    </w:p>
    <w:p w14:paraId="4E382ADF" w14:textId="77777777"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rPr>
      </w:pPr>
    </w:p>
    <w:p w14:paraId="5BD1862D" w14:textId="76732758"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rPr>
      </w:pPr>
      <w:proofErr w:type="spellStart"/>
      <w:r w:rsidRPr="007F32A3">
        <w:rPr>
          <w:rFonts w:ascii="Times New Roman" w:hAnsi="Times New Roman" w:cs="Times New Roman"/>
          <w:color w:val="000000" w:themeColor="text1"/>
          <w:sz w:val="24"/>
          <w:szCs w:val="24"/>
          <w:shd w:val="clear" w:color="auto" w:fill="FFFFFF"/>
        </w:rPr>
        <w:t>Stansfeld</w:t>
      </w:r>
      <w:proofErr w:type="spellEnd"/>
      <w:r w:rsidRPr="007F32A3">
        <w:rPr>
          <w:rFonts w:ascii="Times New Roman" w:hAnsi="Times New Roman" w:cs="Times New Roman"/>
          <w:color w:val="000000" w:themeColor="text1"/>
          <w:sz w:val="24"/>
          <w:szCs w:val="24"/>
          <w:shd w:val="clear" w:color="auto" w:fill="FFFFFF"/>
        </w:rPr>
        <w:t>, S. A.</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t>
      </w:r>
      <w:proofErr w:type="spellStart"/>
      <w:r w:rsidRPr="007F32A3">
        <w:rPr>
          <w:rFonts w:ascii="Times New Roman" w:hAnsi="Times New Roman" w:cs="Times New Roman"/>
          <w:color w:val="000000" w:themeColor="text1"/>
          <w:sz w:val="24"/>
          <w:szCs w:val="24"/>
          <w:shd w:val="clear" w:color="auto" w:fill="FFFFFF"/>
        </w:rPr>
        <w:t>Rasul</w:t>
      </w:r>
      <w:proofErr w:type="spellEnd"/>
      <w:r w:rsidRPr="007F32A3">
        <w:rPr>
          <w:rFonts w:ascii="Times New Roman" w:hAnsi="Times New Roman" w:cs="Times New Roman"/>
          <w:color w:val="000000" w:themeColor="text1"/>
          <w:sz w:val="24"/>
          <w:szCs w:val="24"/>
          <w:shd w:val="clear" w:color="auto" w:fill="FFFFFF"/>
        </w:rPr>
        <w:t>, F. R.</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Head, J. and Singleton, N. 2011. Occupation and mental health in a national UK survey. </w:t>
      </w:r>
      <w:r w:rsidRPr="007F32A3">
        <w:rPr>
          <w:rFonts w:ascii="Times New Roman" w:hAnsi="Times New Roman" w:cs="Times New Roman"/>
          <w:i/>
          <w:iCs/>
          <w:color w:val="000000" w:themeColor="text1"/>
          <w:sz w:val="24"/>
          <w:szCs w:val="24"/>
        </w:rPr>
        <w:t>Social Psychiatry and Psychiatric Epidemiology</w:t>
      </w:r>
      <w:r w:rsidRPr="007F32A3">
        <w:rPr>
          <w:rFonts w:ascii="Times New Roman" w:hAnsi="Times New Roman" w:cs="Times New Roman"/>
          <w:color w:val="000000" w:themeColor="text1"/>
          <w:sz w:val="24"/>
          <w:szCs w:val="24"/>
          <w:shd w:val="clear" w:color="auto" w:fill="FFFFFF"/>
        </w:rPr>
        <w:t xml:space="preserve"> </w:t>
      </w:r>
      <w:r w:rsidRPr="007F32A3">
        <w:rPr>
          <w:rFonts w:ascii="Times New Roman" w:hAnsi="Times New Roman" w:cs="Times New Roman"/>
          <w:i/>
          <w:iCs/>
          <w:color w:val="000000" w:themeColor="text1"/>
          <w:sz w:val="24"/>
          <w:szCs w:val="24"/>
        </w:rPr>
        <w:t>46</w:t>
      </w:r>
      <w:r w:rsidRPr="007F32A3">
        <w:rPr>
          <w:rFonts w:ascii="Times New Roman" w:hAnsi="Times New Roman" w:cs="Times New Roman"/>
          <w:color w:val="000000" w:themeColor="text1"/>
          <w:sz w:val="24"/>
          <w:szCs w:val="24"/>
          <w:shd w:val="clear" w:color="auto" w:fill="FFFFFF"/>
        </w:rPr>
        <w:t>(2): 101–110.</w:t>
      </w:r>
    </w:p>
    <w:p w14:paraId="10154C09" w14:textId="77777777"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rPr>
      </w:pPr>
    </w:p>
    <w:p w14:paraId="1C12A706" w14:textId="3AB95987" w:rsidR="005E2E61" w:rsidRPr="007F32A3" w:rsidRDefault="005E2E61" w:rsidP="00735D03">
      <w:pPr>
        <w:spacing w:after="0" w:line="240" w:lineRule="auto"/>
        <w:jc w:val="both"/>
        <w:rPr>
          <w:rFonts w:ascii="Times New Roman" w:hAnsi="Times New Roman" w:cs="Times New Roman"/>
          <w:color w:val="000000" w:themeColor="text1"/>
          <w:sz w:val="24"/>
          <w:szCs w:val="24"/>
        </w:rPr>
      </w:pPr>
      <w:proofErr w:type="spellStart"/>
      <w:r w:rsidRPr="007F32A3">
        <w:rPr>
          <w:rFonts w:ascii="Times New Roman" w:hAnsi="Times New Roman" w:cs="Times New Roman"/>
          <w:color w:val="000000" w:themeColor="text1"/>
          <w:sz w:val="24"/>
          <w:szCs w:val="24"/>
        </w:rPr>
        <w:t>Sy</w:t>
      </w:r>
      <w:proofErr w:type="spellEnd"/>
      <w:r w:rsidRPr="007F32A3">
        <w:rPr>
          <w:rFonts w:ascii="Times New Roman" w:hAnsi="Times New Roman" w:cs="Times New Roman"/>
          <w:color w:val="000000" w:themeColor="text1"/>
          <w:sz w:val="24"/>
          <w:szCs w:val="24"/>
        </w:rPr>
        <w:t>, T.</w:t>
      </w:r>
      <w:r w:rsidR="006156C5">
        <w:rPr>
          <w:rFonts w:ascii="Times New Roman" w:hAnsi="Times New Roman" w:cs="Times New Roman"/>
          <w:color w:val="000000" w:themeColor="text1"/>
          <w:sz w:val="24"/>
          <w:szCs w:val="24"/>
        </w:rPr>
        <w:t>,</w:t>
      </w:r>
      <w:r w:rsidRPr="007F32A3">
        <w:rPr>
          <w:rFonts w:ascii="Times New Roman" w:hAnsi="Times New Roman" w:cs="Times New Roman"/>
          <w:color w:val="000000" w:themeColor="text1"/>
          <w:sz w:val="24"/>
          <w:szCs w:val="24"/>
        </w:rPr>
        <w:t xml:space="preserve"> Cote, S. and Saavedra, R. 2005. The contagious leader: impact of the leader’s mood on the mood of group members, group affective tone, and group processes. </w:t>
      </w:r>
      <w:r w:rsidRPr="007F32A3">
        <w:rPr>
          <w:rFonts w:ascii="Times New Roman" w:hAnsi="Times New Roman" w:cs="Times New Roman"/>
          <w:i/>
          <w:color w:val="000000" w:themeColor="text1"/>
          <w:sz w:val="24"/>
          <w:szCs w:val="24"/>
        </w:rPr>
        <w:t>Journal of Applied Psychology</w:t>
      </w:r>
      <w:r w:rsidRPr="007F32A3">
        <w:rPr>
          <w:rFonts w:ascii="Times New Roman" w:hAnsi="Times New Roman" w:cs="Times New Roman"/>
          <w:color w:val="000000" w:themeColor="text1"/>
          <w:sz w:val="24"/>
          <w:szCs w:val="24"/>
        </w:rPr>
        <w:t xml:space="preserve"> 90(2): 295-305.</w:t>
      </w:r>
    </w:p>
    <w:p w14:paraId="129E5C09" w14:textId="77777777" w:rsidR="005E2E61" w:rsidRPr="007F32A3" w:rsidRDefault="005E2E61" w:rsidP="00735D03">
      <w:pPr>
        <w:pStyle w:val="NoSpacing"/>
        <w:ind w:left="720" w:hanging="720"/>
        <w:jc w:val="both"/>
        <w:rPr>
          <w:rFonts w:ascii="Times New Roman" w:hAnsi="Times New Roman" w:cs="Times New Roman"/>
          <w:color w:val="000000" w:themeColor="text1"/>
          <w:szCs w:val="24"/>
        </w:rPr>
      </w:pPr>
      <w:r w:rsidRPr="007F32A3">
        <w:rPr>
          <w:rFonts w:ascii="Times New Roman" w:hAnsi="Times New Roman" w:cs="Times New Roman"/>
          <w:color w:val="000000" w:themeColor="text1"/>
          <w:szCs w:val="24"/>
        </w:rPr>
        <w:t>TNS-BMRB (2014). Teacher workload survey 2013. London: Department for Education.</w:t>
      </w:r>
    </w:p>
    <w:p w14:paraId="603D8A5A" w14:textId="77777777" w:rsidR="005E2E61" w:rsidRPr="007F32A3" w:rsidRDefault="005E2E61" w:rsidP="00735D03">
      <w:pPr>
        <w:pStyle w:val="NoSpacing"/>
        <w:ind w:left="720" w:hanging="720"/>
        <w:jc w:val="both"/>
        <w:rPr>
          <w:rFonts w:ascii="Times New Roman" w:hAnsi="Times New Roman" w:cs="Times New Roman"/>
          <w:color w:val="000000" w:themeColor="text1"/>
          <w:szCs w:val="24"/>
          <w:shd w:val="clear" w:color="auto" w:fill="FFFFFF"/>
        </w:rPr>
      </w:pPr>
    </w:p>
    <w:p w14:paraId="33F18AAB" w14:textId="77777777" w:rsidR="005E2E61" w:rsidRPr="007F32A3" w:rsidRDefault="005E2E61" w:rsidP="00735D03">
      <w:pPr>
        <w:autoSpaceDE w:val="0"/>
        <w:autoSpaceDN w:val="0"/>
        <w:adjustRightInd w:val="0"/>
        <w:spacing w:after="0" w:line="240" w:lineRule="auto"/>
        <w:jc w:val="both"/>
        <w:rPr>
          <w:rFonts w:ascii="Times New Roman" w:hAnsi="Times New Roman" w:cs="Times New Roman"/>
          <w:color w:val="000000" w:themeColor="text1"/>
          <w:sz w:val="24"/>
          <w:szCs w:val="24"/>
        </w:rPr>
      </w:pPr>
      <w:r w:rsidRPr="007F32A3">
        <w:rPr>
          <w:rStyle w:val="authors"/>
          <w:rFonts w:ascii="Times New Roman" w:hAnsi="Times New Roman" w:cs="Times New Roman"/>
          <w:color w:val="000000" w:themeColor="text1"/>
          <w:sz w:val="24"/>
          <w:szCs w:val="24"/>
        </w:rPr>
        <w:t>Travers, C. and Cooper, C.</w:t>
      </w:r>
      <w:r w:rsidRPr="007F32A3">
        <w:rPr>
          <w:rFonts w:ascii="Times New Roman" w:hAnsi="Times New Roman" w:cs="Times New Roman"/>
          <w:color w:val="000000" w:themeColor="text1"/>
          <w:sz w:val="24"/>
          <w:szCs w:val="24"/>
        </w:rPr>
        <w:t xml:space="preserve"> </w:t>
      </w:r>
      <w:r w:rsidRPr="007F32A3">
        <w:rPr>
          <w:rStyle w:val="Date1"/>
          <w:rFonts w:ascii="Times New Roman" w:hAnsi="Times New Roman" w:cs="Times New Roman"/>
          <w:color w:val="000000" w:themeColor="text1"/>
          <w:sz w:val="24"/>
          <w:szCs w:val="24"/>
        </w:rPr>
        <w:t>1993.</w:t>
      </w:r>
      <w:r w:rsidRPr="007F32A3">
        <w:rPr>
          <w:rFonts w:ascii="Times New Roman" w:hAnsi="Times New Roman" w:cs="Times New Roman"/>
          <w:color w:val="000000" w:themeColor="text1"/>
          <w:sz w:val="24"/>
          <w:szCs w:val="24"/>
        </w:rPr>
        <w:t xml:space="preserve"> </w:t>
      </w:r>
      <w:r w:rsidRPr="007F32A3">
        <w:rPr>
          <w:rStyle w:val="arttitle"/>
          <w:rFonts w:ascii="Times New Roman" w:hAnsi="Times New Roman" w:cs="Times New Roman"/>
          <w:color w:val="000000" w:themeColor="text1"/>
          <w:sz w:val="24"/>
          <w:szCs w:val="24"/>
        </w:rPr>
        <w:t>Mental health, job satisfaction and occupational stress among UK teachers.</w:t>
      </w:r>
      <w:r w:rsidRPr="007F32A3">
        <w:rPr>
          <w:rFonts w:ascii="Times New Roman" w:hAnsi="Times New Roman" w:cs="Times New Roman"/>
          <w:color w:val="000000" w:themeColor="text1"/>
          <w:sz w:val="24"/>
          <w:szCs w:val="24"/>
        </w:rPr>
        <w:t xml:space="preserve"> </w:t>
      </w:r>
      <w:r w:rsidRPr="007F32A3">
        <w:rPr>
          <w:rStyle w:val="serialtitle"/>
          <w:rFonts w:ascii="Times New Roman" w:hAnsi="Times New Roman" w:cs="Times New Roman"/>
          <w:i/>
          <w:iCs/>
          <w:color w:val="000000" w:themeColor="text1"/>
          <w:sz w:val="24"/>
          <w:szCs w:val="24"/>
        </w:rPr>
        <w:t>Work &amp; Stress</w:t>
      </w:r>
      <w:r w:rsidRPr="007F32A3">
        <w:rPr>
          <w:rFonts w:ascii="Times New Roman" w:hAnsi="Times New Roman" w:cs="Times New Roman"/>
          <w:i/>
          <w:iCs/>
          <w:color w:val="000000" w:themeColor="text1"/>
          <w:sz w:val="24"/>
          <w:szCs w:val="24"/>
        </w:rPr>
        <w:t xml:space="preserve"> </w:t>
      </w:r>
      <w:r w:rsidRPr="007F32A3">
        <w:rPr>
          <w:rStyle w:val="volumeissue"/>
          <w:rFonts w:ascii="Times New Roman" w:hAnsi="Times New Roman" w:cs="Times New Roman"/>
          <w:color w:val="000000" w:themeColor="text1"/>
          <w:sz w:val="24"/>
          <w:szCs w:val="24"/>
        </w:rPr>
        <w:t xml:space="preserve">7(3): </w:t>
      </w:r>
      <w:r w:rsidRPr="007F32A3">
        <w:rPr>
          <w:rStyle w:val="pagerange"/>
          <w:rFonts w:ascii="Times New Roman" w:hAnsi="Times New Roman" w:cs="Times New Roman"/>
          <w:color w:val="000000" w:themeColor="text1"/>
          <w:sz w:val="24"/>
          <w:szCs w:val="24"/>
        </w:rPr>
        <w:t>203-219.</w:t>
      </w:r>
    </w:p>
    <w:p w14:paraId="54619225" w14:textId="77777777" w:rsidR="005E2E61" w:rsidRPr="007F32A3" w:rsidRDefault="005E2E61" w:rsidP="00735D03">
      <w:pPr>
        <w:spacing w:after="0" w:line="240" w:lineRule="auto"/>
        <w:jc w:val="both"/>
        <w:rPr>
          <w:rFonts w:ascii="Times New Roman" w:hAnsi="Times New Roman" w:cs="Times New Roman"/>
          <w:b/>
          <w:color w:val="000000" w:themeColor="text1"/>
          <w:sz w:val="24"/>
          <w:szCs w:val="24"/>
        </w:rPr>
      </w:pPr>
    </w:p>
    <w:p w14:paraId="3E306EFB" w14:textId="34E5FD20"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r w:rsidRPr="007F32A3">
        <w:rPr>
          <w:rFonts w:ascii="Times New Roman" w:hAnsi="Times New Roman" w:cs="Times New Roman"/>
          <w:color w:val="000000" w:themeColor="text1"/>
          <w:sz w:val="24"/>
          <w:szCs w:val="24"/>
          <w:shd w:val="clear" w:color="auto" w:fill="FFFFFF"/>
        </w:rPr>
        <w:t>Tudor-Locke, C.</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Ainsworth, B. E.</w:t>
      </w:r>
      <w:r w:rsidR="006156C5">
        <w:rPr>
          <w:rFonts w:ascii="Times New Roman" w:hAnsi="Times New Roman" w:cs="Times New Roman"/>
          <w:color w:val="000000" w:themeColor="text1"/>
          <w:sz w:val="24"/>
          <w:szCs w:val="24"/>
          <w:shd w:val="clear" w:color="auto" w:fill="FFFFFF"/>
        </w:rPr>
        <w:t>,</w:t>
      </w:r>
      <w:r w:rsidRPr="007F32A3">
        <w:rPr>
          <w:rFonts w:ascii="Times New Roman" w:hAnsi="Times New Roman" w:cs="Times New Roman"/>
          <w:color w:val="000000" w:themeColor="text1"/>
          <w:sz w:val="24"/>
          <w:szCs w:val="24"/>
          <w:shd w:val="clear" w:color="auto" w:fill="FFFFFF"/>
        </w:rPr>
        <w:t xml:space="preserve"> Washington, T. L. and Troiano, R. 2011. Assigning metabolic equivalent values to the 2002 census occupational classification system. </w:t>
      </w:r>
      <w:r w:rsidRPr="007F32A3">
        <w:rPr>
          <w:rFonts w:ascii="Times New Roman" w:hAnsi="Times New Roman" w:cs="Times New Roman"/>
          <w:i/>
          <w:iCs/>
          <w:color w:val="000000" w:themeColor="text1"/>
          <w:sz w:val="24"/>
          <w:szCs w:val="24"/>
          <w:shd w:val="clear" w:color="auto" w:fill="FFFFFF"/>
        </w:rPr>
        <w:t>Journal of Physical Activity and Health</w:t>
      </w:r>
      <w:r w:rsidRPr="007F32A3">
        <w:rPr>
          <w:rFonts w:ascii="Times New Roman" w:hAnsi="Times New Roman" w:cs="Times New Roman"/>
          <w:color w:val="000000" w:themeColor="text1"/>
          <w:sz w:val="24"/>
          <w:szCs w:val="24"/>
          <w:shd w:val="clear" w:color="auto" w:fill="FFFFFF"/>
        </w:rPr>
        <w:t> </w:t>
      </w:r>
      <w:r w:rsidRPr="007F32A3">
        <w:rPr>
          <w:rFonts w:ascii="Times New Roman" w:hAnsi="Times New Roman" w:cs="Times New Roman"/>
          <w:i/>
          <w:iCs/>
          <w:color w:val="000000" w:themeColor="text1"/>
          <w:sz w:val="24"/>
          <w:szCs w:val="24"/>
          <w:shd w:val="clear" w:color="auto" w:fill="FFFFFF"/>
        </w:rPr>
        <w:t>8</w:t>
      </w:r>
      <w:r w:rsidRPr="007F32A3">
        <w:rPr>
          <w:rFonts w:ascii="Times New Roman" w:hAnsi="Times New Roman" w:cs="Times New Roman"/>
          <w:color w:val="000000" w:themeColor="text1"/>
          <w:sz w:val="24"/>
          <w:szCs w:val="24"/>
          <w:shd w:val="clear" w:color="auto" w:fill="FFFFFF"/>
        </w:rPr>
        <w:t>(4): 581-586.</w:t>
      </w:r>
    </w:p>
    <w:p w14:paraId="631E6F58" w14:textId="77777777" w:rsidR="005E2E61" w:rsidRPr="007F32A3" w:rsidRDefault="005E2E61" w:rsidP="00735D03">
      <w:pPr>
        <w:spacing w:after="0" w:line="240" w:lineRule="auto"/>
        <w:jc w:val="both"/>
        <w:rPr>
          <w:rFonts w:ascii="Times New Roman" w:hAnsi="Times New Roman" w:cs="Times New Roman"/>
          <w:b/>
          <w:color w:val="000000" w:themeColor="text1"/>
          <w:sz w:val="24"/>
          <w:szCs w:val="24"/>
        </w:rPr>
      </w:pPr>
    </w:p>
    <w:p w14:paraId="21A26CD8" w14:textId="77777777"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roofErr w:type="spellStart"/>
      <w:r w:rsidRPr="007F32A3">
        <w:rPr>
          <w:rFonts w:ascii="Times New Roman" w:hAnsi="Times New Roman" w:cs="Times New Roman"/>
          <w:color w:val="000000" w:themeColor="text1"/>
          <w:sz w:val="24"/>
          <w:szCs w:val="24"/>
          <w:shd w:val="clear" w:color="auto" w:fill="FFFFFF"/>
        </w:rPr>
        <w:t>Valli</w:t>
      </w:r>
      <w:proofErr w:type="spellEnd"/>
      <w:r w:rsidRPr="007F32A3">
        <w:rPr>
          <w:rFonts w:ascii="Times New Roman" w:hAnsi="Times New Roman" w:cs="Times New Roman"/>
          <w:color w:val="000000" w:themeColor="text1"/>
          <w:sz w:val="24"/>
          <w:szCs w:val="24"/>
          <w:shd w:val="clear" w:color="auto" w:fill="FFFFFF"/>
        </w:rPr>
        <w:t xml:space="preserve">, L. and </w:t>
      </w:r>
      <w:proofErr w:type="spellStart"/>
      <w:r w:rsidRPr="007F32A3">
        <w:rPr>
          <w:rFonts w:ascii="Times New Roman" w:hAnsi="Times New Roman" w:cs="Times New Roman"/>
          <w:color w:val="000000" w:themeColor="text1"/>
          <w:sz w:val="24"/>
          <w:szCs w:val="24"/>
          <w:shd w:val="clear" w:color="auto" w:fill="FFFFFF"/>
        </w:rPr>
        <w:t>Buese</w:t>
      </w:r>
      <w:proofErr w:type="spellEnd"/>
      <w:r w:rsidRPr="007F32A3">
        <w:rPr>
          <w:rFonts w:ascii="Times New Roman" w:hAnsi="Times New Roman" w:cs="Times New Roman"/>
          <w:color w:val="000000" w:themeColor="text1"/>
          <w:sz w:val="24"/>
          <w:szCs w:val="24"/>
          <w:shd w:val="clear" w:color="auto" w:fill="FFFFFF"/>
        </w:rPr>
        <w:t xml:space="preserve">, D. 2007. </w:t>
      </w:r>
      <w:r w:rsidRPr="007F32A3">
        <w:rPr>
          <w:rFonts w:ascii="Times New Roman" w:hAnsi="Times New Roman" w:cs="Times New Roman"/>
          <w:bCs/>
          <w:color w:val="000000" w:themeColor="text1"/>
          <w:sz w:val="24"/>
          <w:szCs w:val="24"/>
          <w:shd w:val="clear" w:color="auto" w:fill="FFFFFF"/>
        </w:rPr>
        <w:t xml:space="preserve">The changing roles of teachers in an era of high-stakes accountability. </w:t>
      </w:r>
      <w:r w:rsidRPr="007F32A3">
        <w:rPr>
          <w:rFonts w:ascii="Times New Roman" w:hAnsi="Times New Roman" w:cs="Times New Roman"/>
          <w:bCs/>
          <w:i/>
          <w:color w:val="000000" w:themeColor="text1"/>
          <w:sz w:val="24"/>
          <w:szCs w:val="24"/>
          <w:shd w:val="clear" w:color="auto" w:fill="FFFFFF"/>
        </w:rPr>
        <w:t>American Educational Research Journal</w:t>
      </w:r>
      <w:r w:rsidRPr="007F32A3">
        <w:rPr>
          <w:rFonts w:ascii="Times New Roman" w:hAnsi="Times New Roman" w:cs="Times New Roman"/>
          <w:bCs/>
          <w:color w:val="000000" w:themeColor="text1"/>
          <w:sz w:val="24"/>
          <w:szCs w:val="24"/>
          <w:shd w:val="clear" w:color="auto" w:fill="FFFFFF"/>
        </w:rPr>
        <w:t xml:space="preserve"> 44(3): 519-558.</w:t>
      </w:r>
    </w:p>
    <w:p w14:paraId="6F366731" w14:textId="78A97658" w:rsidR="005E2E61" w:rsidRPr="007F32A3" w:rsidRDefault="005E2E61" w:rsidP="00735D03">
      <w:pPr>
        <w:spacing w:after="0" w:line="240" w:lineRule="auto"/>
        <w:jc w:val="both"/>
        <w:rPr>
          <w:rFonts w:ascii="Times New Roman" w:hAnsi="Times New Roman" w:cs="Times New Roman"/>
          <w:color w:val="000000" w:themeColor="text1"/>
          <w:sz w:val="24"/>
          <w:szCs w:val="24"/>
          <w:shd w:val="clear" w:color="auto" w:fill="FFFFFF"/>
        </w:rPr>
      </w:pPr>
    </w:p>
    <w:p w14:paraId="14FD5E02" w14:textId="2B1C8B7C" w:rsidR="007F32A3" w:rsidRPr="007F32A3" w:rsidRDefault="007F32A3" w:rsidP="007F32A3">
      <w:pPr>
        <w:spacing w:line="240" w:lineRule="auto"/>
        <w:jc w:val="both"/>
        <w:rPr>
          <w:rFonts w:ascii="Times New Roman" w:hAnsi="Times New Roman" w:cs="Times New Roman"/>
          <w:i/>
          <w:color w:val="000000" w:themeColor="text1"/>
          <w:sz w:val="24"/>
          <w:szCs w:val="24"/>
        </w:rPr>
      </w:pPr>
      <w:r w:rsidRPr="007F32A3">
        <w:rPr>
          <w:rStyle w:val="article-headerdoi1"/>
          <w:rFonts w:ascii="Times New Roman" w:hAnsi="Times New Roman" w:cs="Times New Roman"/>
          <w:color w:val="000000" w:themeColor="text1"/>
          <w:sz w:val="24"/>
          <w:szCs w:val="24"/>
          <w:lang w:val="en"/>
        </w:rPr>
        <w:t xml:space="preserve">Warwick Medical School. 2020. Warwick-Edinburgh Mental Wellbeing Scale FAQs. Accessed 16/09/2020 from </w:t>
      </w:r>
      <w:hyperlink r:id="rId107" w:history="1">
        <w:r w:rsidRPr="007F32A3">
          <w:rPr>
            <w:rStyle w:val="Hyperlink"/>
            <w:rFonts w:ascii="Times New Roman" w:hAnsi="Times New Roman" w:cs="Times New Roman"/>
            <w:sz w:val="24"/>
            <w:szCs w:val="24"/>
            <w:lang w:val="en"/>
          </w:rPr>
          <w:t>https://warwick.ac.uk/fac/sci/med/research/platform/wemwbs/using/faq/</w:t>
        </w:r>
      </w:hyperlink>
      <w:r w:rsidRPr="007F32A3">
        <w:rPr>
          <w:rStyle w:val="article-headerdoi1"/>
          <w:rFonts w:ascii="Times New Roman" w:hAnsi="Times New Roman" w:cs="Times New Roman"/>
          <w:color w:val="000000" w:themeColor="text1"/>
          <w:sz w:val="24"/>
          <w:szCs w:val="24"/>
          <w:lang w:val="en"/>
        </w:rPr>
        <w:t xml:space="preserve"> </w:t>
      </w:r>
    </w:p>
    <w:p w14:paraId="44478E0F" w14:textId="4CD60166" w:rsidR="000979DE" w:rsidRDefault="005E2E61" w:rsidP="000979DE">
      <w:pPr>
        <w:spacing w:after="0" w:line="240" w:lineRule="auto"/>
        <w:jc w:val="both"/>
        <w:rPr>
          <w:rFonts w:ascii="Times New Roman" w:eastAsia="Times New Roman" w:hAnsi="Times New Roman" w:cs="Times New Roman"/>
          <w:color w:val="000000" w:themeColor="text1"/>
          <w:sz w:val="24"/>
          <w:szCs w:val="24"/>
          <w:lang w:eastAsia="en-GB"/>
        </w:rPr>
      </w:pPr>
      <w:r w:rsidRPr="007F32A3">
        <w:rPr>
          <w:rFonts w:ascii="Times New Roman" w:eastAsia="Times New Roman" w:hAnsi="Times New Roman" w:cs="Times New Roman"/>
          <w:color w:val="000000" w:themeColor="text1"/>
          <w:sz w:val="24"/>
          <w:szCs w:val="24"/>
          <w:lang w:eastAsia="en-GB"/>
        </w:rPr>
        <w:t>Wolfram, M.</w:t>
      </w:r>
      <w:r w:rsidR="006156C5">
        <w:rPr>
          <w:rFonts w:ascii="Times New Roman" w:eastAsia="Times New Roman" w:hAnsi="Times New Roman" w:cs="Times New Roman"/>
          <w:color w:val="000000" w:themeColor="text1"/>
          <w:sz w:val="24"/>
          <w:szCs w:val="24"/>
          <w:lang w:eastAsia="en-GB"/>
        </w:rPr>
        <w:t>,</w:t>
      </w:r>
      <w:r w:rsidRPr="007F32A3">
        <w:rPr>
          <w:rFonts w:ascii="Times New Roman" w:eastAsia="Times New Roman" w:hAnsi="Times New Roman" w:cs="Times New Roman"/>
          <w:color w:val="000000" w:themeColor="text1"/>
          <w:sz w:val="24"/>
          <w:szCs w:val="24"/>
          <w:lang w:eastAsia="en-GB"/>
        </w:rPr>
        <w:t xml:space="preserve"> </w:t>
      </w:r>
      <w:proofErr w:type="spellStart"/>
      <w:r w:rsidRPr="007F32A3">
        <w:rPr>
          <w:rFonts w:ascii="Times New Roman" w:eastAsia="Times New Roman" w:hAnsi="Times New Roman" w:cs="Times New Roman"/>
          <w:color w:val="000000" w:themeColor="text1"/>
          <w:sz w:val="24"/>
          <w:szCs w:val="24"/>
          <w:lang w:eastAsia="en-GB"/>
        </w:rPr>
        <w:t>Bellingrath</w:t>
      </w:r>
      <w:proofErr w:type="spellEnd"/>
      <w:r w:rsidRPr="007F32A3">
        <w:rPr>
          <w:rFonts w:ascii="Times New Roman" w:eastAsia="Times New Roman" w:hAnsi="Times New Roman" w:cs="Times New Roman"/>
          <w:color w:val="000000" w:themeColor="text1"/>
          <w:sz w:val="24"/>
          <w:szCs w:val="24"/>
          <w:lang w:eastAsia="en-GB"/>
        </w:rPr>
        <w:t>, S.</w:t>
      </w:r>
      <w:r w:rsidR="006156C5">
        <w:rPr>
          <w:rFonts w:ascii="Times New Roman" w:eastAsia="Times New Roman" w:hAnsi="Times New Roman" w:cs="Times New Roman"/>
          <w:color w:val="000000" w:themeColor="text1"/>
          <w:sz w:val="24"/>
          <w:szCs w:val="24"/>
          <w:lang w:eastAsia="en-GB"/>
        </w:rPr>
        <w:t>,</w:t>
      </w:r>
      <w:r w:rsidRPr="007F32A3">
        <w:rPr>
          <w:rFonts w:ascii="Times New Roman" w:eastAsia="Times New Roman" w:hAnsi="Times New Roman" w:cs="Times New Roman"/>
          <w:color w:val="000000" w:themeColor="text1"/>
          <w:sz w:val="24"/>
          <w:szCs w:val="24"/>
          <w:lang w:eastAsia="en-GB"/>
        </w:rPr>
        <w:t xml:space="preserve"> </w:t>
      </w:r>
      <w:proofErr w:type="spellStart"/>
      <w:r w:rsidRPr="007F32A3">
        <w:rPr>
          <w:rFonts w:ascii="Times New Roman" w:eastAsia="Times New Roman" w:hAnsi="Times New Roman" w:cs="Times New Roman"/>
          <w:color w:val="000000" w:themeColor="text1"/>
          <w:sz w:val="24"/>
          <w:szCs w:val="24"/>
          <w:lang w:eastAsia="en-GB"/>
        </w:rPr>
        <w:t>Feuerhahn</w:t>
      </w:r>
      <w:proofErr w:type="spellEnd"/>
      <w:r w:rsidRPr="007F32A3">
        <w:rPr>
          <w:rFonts w:ascii="Times New Roman" w:eastAsia="Times New Roman" w:hAnsi="Times New Roman" w:cs="Times New Roman"/>
          <w:color w:val="000000" w:themeColor="text1"/>
          <w:sz w:val="24"/>
          <w:szCs w:val="24"/>
          <w:lang w:eastAsia="en-GB"/>
        </w:rPr>
        <w:t xml:space="preserve">, N. and </w:t>
      </w:r>
      <w:proofErr w:type="spellStart"/>
      <w:r w:rsidRPr="007F32A3">
        <w:rPr>
          <w:rFonts w:ascii="Times New Roman" w:eastAsia="Times New Roman" w:hAnsi="Times New Roman" w:cs="Times New Roman"/>
          <w:color w:val="000000" w:themeColor="text1"/>
          <w:sz w:val="24"/>
          <w:szCs w:val="24"/>
          <w:lang w:eastAsia="en-GB"/>
        </w:rPr>
        <w:t>Kudielka</w:t>
      </w:r>
      <w:proofErr w:type="spellEnd"/>
      <w:r w:rsidRPr="007F32A3">
        <w:rPr>
          <w:rFonts w:ascii="Times New Roman" w:eastAsia="Times New Roman" w:hAnsi="Times New Roman" w:cs="Times New Roman"/>
          <w:color w:val="000000" w:themeColor="text1"/>
          <w:sz w:val="24"/>
          <w:szCs w:val="24"/>
          <w:lang w:eastAsia="en-GB"/>
        </w:rPr>
        <w:t xml:space="preserve">, B. M. 2013. Cortisol responses to naturalistic and laboratory stress in student teachers. Comparison with a non‐stress control </w:t>
      </w:r>
      <w:r w:rsidRPr="000979DE">
        <w:rPr>
          <w:rFonts w:ascii="Times New Roman" w:eastAsia="Times New Roman" w:hAnsi="Times New Roman" w:cs="Times New Roman"/>
          <w:color w:val="000000" w:themeColor="text1"/>
          <w:sz w:val="24"/>
          <w:szCs w:val="24"/>
          <w:lang w:eastAsia="en-GB"/>
        </w:rPr>
        <w:t>day. </w:t>
      </w:r>
      <w:r w:rsidRPr="000979DE">
        <w:rPr>
          <w:rFonts w:ascii="Times New Roman" w:eastAsia="Times New Roman" w:hAnsi="Times New Roman" w:cs="Times New Roman"/>
          <w:i/>
          <w:iCs/>
          <w:color w:val="000000" w:themeColor="text1"/>
          <w:sz w:val="24"/>
          <w:szCs w:val="24"/>
          <w:lang w:eastAsia="en-GB"/>
        </w:rPr>
        <w:t>Stress and Health</w:t>
      </w:r>
      <w:r w:rsidRPr="000979DE">
        <w:rPr>
          <w:rFonts w:ascii="Times New Roman" w:eastAsia="Times New Roman" w:hAnsi="Times New Roman" w:cs="Times New Roman"/>
          <w:color w:val="000000" w:themeColor="text1"/>
          <w:sz w:val="24"/>
          <w:szCs w:val="24"/>
          <w:lang w:eastAsia="en-GB"/>
        </w:rPr>
        <w:t> </w:t>
      </w:r>
      <w:r w:rsidRPr="000979DE">
        <w:rPr>
          <w:rFonts w:ascii="Times New Roman" w:eastAsia="Times New Roman" w:hAnsi="Times New Roman" w:cs="Times New Roman"/>
          <w:i/>
          <w:iCs/>
          <w:color w:val="000000" w:themeColor="text1"/>
          <w:sz w:val="24"/>
          <w:szCs w:val="24"/>
          <w:lang w:eastAsia="en-GB"/>
        </w:rPr>
        <w:t>29</w:t>
      </w:r>
      <w:r w:rsidRPr="000979DE">
        <w:rPr>
          <w:rFonts w:ascii="Times New Roman" w:eastAsia="Times New Roman" w:hAnsi="Times New Roman" w:cs="Times New Roman"/>
          <w:color w:val="000000" w:themeColor="text1"/>
          <w:sz w:val="24"/>
          <w:szCs w:val="24"/>
          <w:lang w:eastAsia="en-GB"/>
        </w:rPr>
        <w:t>(2): 143-149.</w:t>
      </w:r>
    </w:p>
    <w:p w14:paraId="49007388" w14:textId="77777777" w:rsidR="00FC2FC0" w:rsidRPr="000979DE" w:rsidRDefault="00FC2FC0" w:rsidP="000979DE">
      <w:pPr>
        <w:spacing w:after="0" w:line="240" w:lineRule="auto"/>
        <w:jc w:val="both"/>
        <w:rPr>
          <w:rFonts w:ascii="Times New Roman" w:eastAsia="Times New Roman" w:hAnsi="Times New Roman" w:cs="Times New Roman"/>
          <w:color w:val="000000" w:themeColor="text1"/>
          <w:sz w:val="24"/>
          <w:szCs w:val="24"/>
          <w:lang w:eastAsia="en-GB"/>
        </w:rPr>
      </w:pPr>
    </w:p>
    <w:p w14:paraId="46AD560D" w14:textId="55DFB790" w:rsidR="000979DE" w:rsidRPr="000979DE" w:rsidRDefault="000979DE" w:rsidP="000979DE">
      <w:pPr>
        <w:spacing w:after="0" w:line="240" w:lineRule="auto"/>
        <w:jc w:val="both"/>
        <w:rPr>
          <w:rFonts w:ascii="Times New Roman" w:eastAsia="Times New Roman" w:hAnsi="Times New Roman" w:cs="Times New Roman"/>
          <w:color w:val="000000" w:themeColor="text1"/>
          <w:sz w:val="24"/>
          <w:szCs w:val="24"/>
          <w:lang w:eastAsia="en-GB"/>
        </w:rPr>
      </w:pPr>
      <w:r w:rsidRPr="000979DE">
        <w:rPr>
          <w:rStyle w:val="hlfld-contribauthor"/>
          <w:rFonts w:ascii="Times New Roman" w:hAnsi="Times New Roman" w:cs="Times New Roman"/>
          <w:color w:val="333333"/>
          <w:sz w:val="24"/>
          <w:szCs w:val="24"/>
        </w:rPr>
        <w:t>Worth, </w:t>
      </w:r>
      <w:r w:rsidRPr="000979DE">
        <w:rPr>
          <w:rStyle w:val="nlmgiven-names"/>
          <w:rFonts w:ascii="Times New Roman" w:hAnsi="Times New Roman" w:cs="Times New Roman"/>
          <w:color w:val="333333"/>
          <w:sz w:val="24"/>
          <w:szCs w:val="24"/>
        </w:rPr>
        <w:t>J.</w:t>
      </w:r>
      <w:r w:rsidRPr="000979DE">
        <w:rPr>
          <w:rFonts w:ascii="Times New Roman" w:hAnsi="Times New Roman" w:cs="Times New Roman"/>
          <w:color w:val="333333"/>
          <w:sz w:val="24"/>
          <w:szCs w:val="24"/>
        </w:rPr>
        <w:t>, </w:t>
      </w:r>
      <w:r w:rsidRPr="000979DE">
        <w:rPr>
          <w:rStyle w:val="hlfld-contribauthor"/>
          <w:rFonts w:ascii="Times New Roman" w:hAnsi="Times New Roman" w:cs="Times New Roman"/>
          <w:color w:val="333333"/>
          <w:sz w:val="24"/>
          <w:szCs w:val="24"/>
        </w:rPr>
        <w:t>Lynch, </w:t>
      </w:r>
      <w:r w:rsidRPr="000979DE">
        <w:rPr>
          <w:rStyle w:val="nlmgiven-names"/>
          <w:rFonts w:ascii="Times New Roman" w:hAnsi="Times New Roman" w:cs="Times New Roman"/>
          <w:color w:val="333333"/>
          <w:sz w:val="24"/>
          <w:szCs w:val="24"/>
        </w:rPr>
        <w:t>S.</w:t>
      </w:r>
      <w:r w:rsidRPr="000979DE">
        <w:rPr>
          <w:rFonts w:ascii="Times New Roman" w:hAnsi="Times New Roman" w:cs="Times New Roman"/>
          <w:color w:val="333333"/>
          <w:sz w:val="24"/>
          <w:szCs w:val="24"/>
        </w:rPr>
        <w:t>, </w:t>
      </w:r>
      <w:r w:rsidRPr="000979DE">
        <w:rPr>
          <w:rStyle w:val="hlfld-contribauthor"/>
          <w:rFonts w:ascii="Times New Roman" w:hAnsi="Times New Roman" w:cs="Times New Roman"/>
          <w:color w:val="333333"/>
          <w:sz w:val="24"/>
          <w:szCs w:val="24"/>
        </w:rPr>
        <w:t>Hillary, </w:t>
      </w:r>
      <w:r w:rsidRPr="000979DE">
        <w:rPr>
          <w:rStyle w:val="nlmgiven-names"/>
          <w:rFonts w:ascii="Times New Roman" w:hAnsi="Times New Roman" w:cs="Times New Roman"/>
          <w:color w:val="333333"/>
          <w:sz w:val="24"/>
          <w:szCs w:val="24"/>
        </w:rPr>
        <w:t>J.</w:t>
      </w:r>
      <w:r w:rsidRPr="000979DE">
        <w:rPr>
          <w:rFonts w:ascii="Times New Roman" w:hAnsi="Times New Roman" w:cs="Times New Roman"/>
          <w:color w:val="333333"/>
          <w:sz w:val="24"/>
          <w:szCs w:val="24"/>
        </w:rPr>
        <w:t>, </w:t>
      </w:r>
      <w:r w:rsidRPr="000979DE">
        <w:rPr>
          <w:rStyle w:val="hlfld-contribauthor"/>
          <w:rFonts w:ascii="Times New Roman" w:hAnsi="Times New Roman" w:cs="Times New Roman"/>
          <w:color w:val="333333"/>
          <w:sz w:val="24"/>
          <w:szCs w:val="24"/>
        </w:rPr>
        <w:t>Rennie, </w:t>
      </w:r>
      <w:r w:rsidRPr="000979DE">
        <w:rPr>
          <w:rStyle w:val="nlmgiven-names"/>
          <w:rFonts w:ascii="Times New Roman" w:hAnsi="Times New Roman" w:cs="Times New Roman"/>
          <w:color w:val="333333"/>
          <w:sz w:val="24"/>
          <w:szCs w:val="24"/>
        </w:rPr>
        <w:t>C.</w:t>
      </w:r>
      <w:r w:rsidRPr="000979DE">
        <w:rPr>
          <w:rFonts w:ascii="Times New Roman" w:hAnsi="Times New Roman" w:cs="Times New Roman"/>
          <w:color w:val="333333"/>
          <w:sz w:val="24"/>
          <w:szCs w:val="24"/>
        </w:rPr>
        <w:t> and </w:t>
      </w:r>
      <w:r w:rsidRPr="000979DE">
        <w:rPr>
          <w:rStyle w:val="hlfld-contribauthor"/>
          <w:rFonts w:ascii="Times New Roman" w:hAnsi="Times New Roman" w:cs="Times New Roman"/>
          <w:color w:val="333333"/>
          <w:sz w:val="24"/>
          <w:szCs w:val="24"/>
        </w:rPr>
        <w:t>Andrade, </w:t>
      </w:r>
      <w:r w:rsidRPr="000979DE">
        <w:rPr>
          <w:rStyle w:val="nlmgiven-names"/>
          <w:rFonts w:ascii="Times New Roman" w:hAnsi="Times New Roman" w:cs="Times New Roman"/>
          <w:color w:val="333333"/>
          <w:sz w:val="24"/>
          <w:szCs w:val="24"/>
        </w:rPr>
        <w:t>J.</w:t>
      </w:r>
      <w:r w:rsidRPr="000979DE">
        <w:rPr>
          <w:rFonts w:ascii="Times New Roman" w:hAnsi="Times New Roman" w:cs="Times New Roman"/>
          <w:color w:val="333333"/>
          <w:sz w:val="24"/>
          <w:szCs w:val="24"/>
        </w:rPr>
        <w:t> </w:t>
      </w:r>
      <w:r w:rsidRPr="000979DE">
        <w:rPr>
          <w:rStyle w:val="nlmyear"/>
          <w:rFonts w:ascii="Times New Roman" w:hAnsi="Times New Roman" w:cs="Times New Roman"/>
          <w:color w:val="333333"/>
          <w:sz w:val="24"/>
          <w:szCs w:val="24"/>
        </w:rPr>
        <w:t>2018</w:t>
      </w:r>
      <w:r w:rsidRPr="000979DE">
        <w:rPr>
          <w:rFonts w:ascii="Times New Roman" w:hAnsi="Times New Roman" w:cs="Times New Roman"/>
          <w:color w:val="333333"/>
          <w:sz w:val="24"/>
          <w:szCs w:val="24"/>
        </w:rPr>
        <w:t>. </w:t>
      </w:r>
      <w:r w:rsidRPr="000979DE">
        <w:rPr>
          <w:rStyle w:val="nlmarticle-title"/>
          <w:rFonts w:ascii="Times New Roman" w:hAnsi="Times New Roman" w:cs="Times New Roman"/>
          <w:color w:val="333333"/>
          <w:sz w:val="24"/>
          <w:szCs w:val="24"/>
        </w:rPr>
        <w:t xml:space="preserve">Teacher workforce dynamics in England. </w:t>
      </w:r>
      <w:proofErr w:type="gramStart"/>
      <w:r w:rsidRPr="000979DE">
        <w:rPr>
          <w:rStyle w:val="nlmarticle-title"/>
          <w:rFonts w:ascii="Times New Roman" w:hAnsi="Times New Roman" w:cs="Times New Roman"/>
          <w:color w:val="333333"/>
          <w:sz w:val="24"/>
          <w:szCs w:val="24"/>
        </w:rPr>
        <w:t>national</w:t>
      </w:r>
      <w:proofErr w:type="gramEnd"/>
      <w:r w:rsidRPr="000979DE">
        <w:rPr>
          <w:rStyle w:val="nlmarticle-title"/>
          <w:rFonts w:ascii="Times New Roman" w:hAnsi="Times New Roman" w:cs="Times New Roman"/>
          <w:color w:val="333333"/>
          <w:sz w:val="24"/>
          <w:szCs w:val="24"/>
        </w:rPr>
        <w:t xml:space="preserve"> foundation for educational research report</w:t>
      </w:r>
      <w:r w:rsidRPr="000979DE">
        <w:rPr>
          <w:rFonts w:ascii="Times New Roman" w:hAnsi="Times New Roman" w:cs="Times New Roman"/>
          <w:color w:val="333333"/>
          <w:sz w:val="24"/>
          <w:szCs w:val="24"/>
        </w:rPr>
        <w:t>. </w:t>
      </w:r>
      <w:r w:rsidRPr="000979DE">
        <w:rPr>
          <w:rStyle w:val="nlmpublisher-loc"/>
          <w:rFonts w:ascii="Times New Roman" w:hAnsi="Times New Roman" w:cs="Times New Roman"/>
          <w:color w:val="333333"/>
          <w:sz w:val="24"/>
          <w:szCs w:val="24"/>
        </w:rPr>
        <w:t>Slough</w:t>
      </w:r>
      <w:r w:rsidRPr="000979DE">
        <w:rPr>
          <w:rFonts w:ascii="Times New Roman" w:hAnsi="Times New Roman" w:cs="Times New Roman"/>
          <w:color w:val="333333"/>
          <w:sz w:val="24"/>
          <w:szCs w:val="24"/>
        </w:rPr>
        <w:t>: </w:t>
      </w:r>
      <w:r w:rsidRPr="000979DE">
        <w:rPr>
          <w:rStyle w:val="nlmpublisher-name"/>
          <w:rFonts w:ascii="Times New Roman" w:hAnsi="Times New Roman" w:cs="Times New Roman"/>
          <w:color w:val="333333"/>
          <w:sz w:val="24"/>
          <w:szCs w:val="24"/>
        </w:rPr>
        <w:t>NFER</w:t>
      </w:r>
      <w:r w:rsidRPr="000979DE">
        <w:rPr>
          <w:rFonts w:ascii="Times New Roman" w:hAnsi="Times New Roman" w:cs="Times New Roman"/>
          <w:color w:val="333333"/>
          <w:sz w:val="24"/>
          <w:szCs w:val="24"/>
        </w:rPr>
        <w:t xml:space="preserve">. </w:t>
      </w:r>
      <w:r>
        <w:rPr>
          <w:rFonts w:ascii="Times New Roman" w:hAnsi="Times New Roman" w:cs="Times New Roman"/>
          <w:color w:val="333333"/>
          <w:sz w:val="24"/>
          <w:szCs w:val="24"/>
        </w:rPr>
        <w:t xml:space="preserve">Accessed 26/03/2021 </w:t>
      </w:r>
      <w:proofErr w:type="gramStart"/>
      <w:r>
        <w:rPr>
          <w:rFonts w:ascii="Times New Roman" w:hAnsi="Times New Roman" w:cs="Times New Roman"/>
          <w:color w:val="333333"/>
          <w:sz w:val="24"/>
          <w:szCs w:val="24"/>
        </w:rPr>
        <w:t xml:space="preserve">from </w:t>
      </w:r>
      <w:r w:rsidRPr="000979DE">
        <w:rPr>
          <w:rFonts w:ascii="Times New Roman" w:hAnsi="Times New Roman" w:cs="Times New Roman"/>
          <w:color w:val="333333"/>
          <w:sz w:val="24"/>
          <w:szCs w:val="24"/>
        </w:rPr>
        <w:t> </w:t>
      </w:r>
      <w:proofErr w:type="gramEnd"/>
      <w:r w:rsidR="004A78DF">
        <w:fldChar w:fldCharType="begin"/>
      </w:r>
      <w:r w:rsidR="004A78DF">
        <w:instrText xml:space="preserve"> HYPERLINK "https://www.nfer.ac.uk/media/3111/teacher_workforce_dynamics_in_england_final_report.pdf" \t "_blank" </w:instrText>
      </w:r>
      <w:r w:rsidR="004A78DF">
        <w:fldChar w:fldCharType="separate"/>
      </w:r>
      <w:r w:rsidRPr="000979DE">
        <w:rPr>
          <w:rStyle w:val="Hyperlink"/>
          <w:rFonts w:ascii="Times New Roman" w:hAnsi="Times New Roman" w:cs="Times New Roman"/>
          <w:color w:val="10147E"/>
          <w:sz w:val="24"/>
          <w:szCs w:val="24"/>
        </w:rPr>
        <w:t>https://www.nfer.ac.uk/media/3111/teacher_workforce_dynamics_in_england_final_report.pdf</w:t>
      </w:r>
      <w:r w:rsidR="004A78DF">
        <w:rPr>
          <w:rStyle w:val="Hyperlink"/>
          <w:rFonts w:ascii="Times New Roman" w:hAnsi="Times New Roman" w:cs="Times New Roman"/>
          <w:color w:val="10147E"/>
          <w:sz w:val="24"/>
          <w:szCs w:val="24"/>
        </w:rPr>
        <w:fldChar w:fldCharType="end"/>
      </w:r>
      <w:r w:rsidRPr="000979DE">
        <w:rPr>
          <w:rFonts w:ascii="Times New Roman" w:hAnsi="Times New Roman" w:cs="Times New Roman"/>
          <w:color w:val="333333"/>
          <w:sz w:val="24"/>
          <w:szCs w:val="24"/>
        </w:rPr>
        <w:t> </w:t>
      </w:r>
    </w:p>
    <w:p w14:paraId="15D97E7C" w14:textId="77777777" w:rsidR="000979DE" w:rsidRDefault="000979DE" w:rsidP="00735D03">
      <w:pPr>
        <w:spacing w:after="0" w:line="240" w:lineRule="auto"/>
        <w:jc w:val="both"/>
        <w:rPr>
          <w:rFonts w:ascii="Times New Roman" w:eastAsia="Times New Roman" w:hAnsi="Times New Roman" w:cs="Times New Roman"/>
          <w:color w:val="000000" w:themeColor="text1"/>
          <w:sz w:val="24"/>
          <w:szCs w:val="24"/>
          <w:lang w:eastAsia="en-GB"/>
        </w:rPr>
      </w:pPr>
    </w:p>
    <w:p w14:paraId="496FA322" w14:textId="38456175" w:rsidR="005B1196" w:rsidRPr="00FC2FC0" w:rsidRDefault="00FC2FC0" w:rsidP="00FC2FC0">
      <w:pPr>
        <w:spacing w:line="259" w:lineRule="auto"/>
        <w:jc w:val="both"/>
        <w:rPr>
          <w:rFonts w:ascii="Times New Roman" w:eastAsia="Times New Roman" w:hAnsi="Times New Roman" w:cs="Times New Roman"/>
          <w:color w:val="000000" w:themeColor="text1"/>
          <w:sz w:val="24"/>
          <w:szCs w:val="24"/>
          <w:lang w:eastAsia="en-GB"/>
        </w:rPr>
      </w:pPr>
      <w:r w:rsidRPr="00FC2FC0">
        <w:rPr>
          <w:rFonts w:ascii="Times New Roman" w:eastAsia="Times New Roman" w:hAnsi="Times New Roman" w:cs="Times New Roman"/>
          <w:color w:val="000000" w:themeColor="text1"/>
          <w:sz w:val="24"/>
          <w:szCs w:val="24"/>
          <w:lang w:eastAsia="en-GB"/>
        </w:rPr>
        <w:t xml:space="preserve">Worth, J. and Van den </w:t>
      </w:r>
      <w:proofErr w:type="spellStart"/>
      <w:r w:rsidRPr="00FC2FC0">
        <w:rPr>
          <w:rFonts w:ascii="Times New Roman" w:eastAsia="Times New Roman" w:hAnsi="Times New Roman" w:cs="Times New Roman"/>
          <w:color w:val="000000" w:themeColor="text1"/>
          <w:sz w:val="24"/>
          <w:szCs w:val="24"/>
          <w:lang w:eastAsia="en-GB"/>
        </w:rPr>
        <w:t>Brande</w:t>
      </w:r>
      <w:proofErr w:type="spellEnd"/>
      <w:r w:rsidRPr="00FC2FC0">
        <w:rPr>
          <w:rFonts w:ascii="Times New Roman" w:eastAsia="Times New Roman" w:hAnsi="Times New Roman" w:cs="Times New Roman"/>
          <w:color w:val="000000" w:themeColor="text1"/>
          <w:sz w:val="24"/>
          <w:szCs w:val="24"/>
          <w:lang w:eastAsia="en-GB"/>
        </w:rPr>
        <w:t xml:space="preserve">, J. 2019. </w:t>
      </w:r>
      <w:r w:rsidRPr="00FC2FC0">
        <w:rPr>
          <w:rFonts w:ascii="Times New Roman" w:hAnsi="Times New Roman" w:cs="Times New Roman"/>
          <w:bCs/>
          <w:color w:val="333333"/>
          <w:sz w:val="24"/>
          <w:szCs w:val="24"/>
        </w:rPr>
        <w:t>Teacher Labour Market in England: Annual Report 2019</w:t>
      </w:r>
      <w:r>
        <w:rPr>
          <w:rFonts w:ascii="Times New Roman" w:eastAsia="Times New Roman" w:hAnsi="Times New Roman" w:cs="Times New Roman"/>
          <w:color w:val="000000" w:themeColor="text1"/>
          <w:sz w:val="24"/>
          <w:szCs w:val="24"/>
          <w:lang w:eastAsia="en-GB"/>
        </w:rPr>
        <w:t xml:space="preserve">. Accessed 26/03/2021 from </w:t>
      </w:r>
      <w:hyperlink r:id="rId108" w:history="1">
        <w:r w:rsidRPr="00681951">
          <w:rPr>
            <w:rStyle w:val="Hyperlink"/>
            <w:rFonts w:ascii="Times New Roman" w:eastAsia="Times New Roman" w:hAnsi="Times New Roman" w:cs="Times New Roman"/>
            <w:sz w:val="24"/>
            <w:szCs w:val="24"/>
            <w:lang w:eastAsia="en-GB"/>
          </w:rPr>
          <w:t>https://files.eric.ed.gov/fulltext/ED594396.pdf</w:t>
        </w:r>
      </w:hyperlink>
      <w:r>
        <w:rPr>
          <w:rFonts w:ascii="Times New Roman" w:eastAsia="Times New Roman" w:hAnsi="Times New Roman" w:cs="Times New Roman"/>
          <w:color w:val="000000" w:themeColor="text1"/>
          <w:sz w:val="24"/>
          <w:szCs w:val="24"/>
          <w:lang w:eastAsia="en-GB"/>
        </w:rPr>
        <w:t xml:space="preserve"> </w:t>
      </w:r>
      <w:r w:rsidR="005B1196" w:rsidRPr="00FC2FC0">
        <w:rPr>
          <w:rFonts w:ascii="Times New Roman" w:eastAsia="Times New Roman" w:hAnsi="Times New Roman" w:cs="Times New Roman"/>
          <w:color w:val="000000" w:themeColor="text1"/>
          <w:sz w:val="24"/>
          <w:szCs w:val="24"/>
          <w:lang w:eastAsia="en-GB"/>
        </w:rPr>
        <w:br w:type="page"/>
      </w:r>
    </w:p>
    <w:p w14:paraId="1609F919" w14:textId="3554C892" w:rsidR="00735D03" w:rsidRPr="00735D03" w:rsidRDefault="00735D03" w:rsidP="00735D03">
      <w:pPr>
        <w:jc w:val="center"/>
        <w:rPr>
          <w:rFonts w:ascii="Times New Roman" w:hAnsi="Times New Roman" w:cs="Times New Roman"/>
          <w:b/>
          <w:sz w:val="24"/>
          <w:szCs w:val="24"/>
        </w:rPr>
      </w:pPr>
      <w:r w:rsidRPr="00735D03">
        <w:rPr>
          <w:rFonts w:ascii="Times New Roman" w:hAnsi="Times New Roman" w:cs="Times New Roman"/>
          <w:b/>
          <w:sz w:val="24"/>
          <w:szCs w:val="24"/>
        </w:rPr>
        <w:lastRenderedPageBreak/>
        <w:t xml:space="preserve">Appendix </w:t>
      </w:r>
      <w:proofErr w:type="gramStart"/>
      <w:r w:rsidRPr="00735D03">
        <w:rPr>
          <w:rFonts w:ascii="Times New Roman" w:hAnsi="Times New Roman" w:cs="Times New Roman"/>
          <w:b/>
          <w:sz w:val="24"/>
          <w:szCs w:val="24"/>
        </w:rPr>
        <w:t>A</w:t>
      </w:r>
      <w:proofErr w:type="gramEnd"/>
      <w:r w:rsidRPr="00735D03">
        <w:rPr>
          <w:rFonts w:ascii="Times New Roman" w:hAnsi="Times New Roman" w:cs="Times New Roman"/>
          <w:b/>
          <w:sz w:val="24"/>
          <w:szCs w:val="24"/>
        </w:rPr>
        <w:t xml:space="preserve"> School term and holiday dates assumed each year for the APS</w:t>
      </w:r>
    </w:p>
    <w:tbl>
      <w:tblPr>
        <w:tblW w:w="0" w:type="auto"/>
        <w:jc w:val="center"/>
        <w:tblLook w:val="04A0" w:firstRow="1" w:lastRow="0" w:firstColumn="1" w:lastColumn="0" w:noHBand="0" w:noVBand="1"/>
      </w:tblPr>
      <w:tblGrid>
        <w:gridCol w:w="1310"/>
        <w:gridCol w:w="1976"/>
        <w:gridCol w:w="1634"/>
        <w:gridCol w:w="1695"/>
        <w:gridCol w:w="1695"/>
      </w:tblGrid>
      <w:tr w:rsidR="00735D03" w:rsidRPr="00C7711F" w14:paraId="3D3DA8F3" w14:textId="77777777" w:rsidTr="00BF320C">
        <w:trPr>
          <w:trHeight w:val="300"/>
          <w:jc w:val="center"/>
        </w:trPr>
        <w:tc>
          <w:tcPr>
            <w:tcW w:w="0" w:type="auto"/>
            <w:tcBorders>
              <w:top w:val="single" w:sz="4" w:space="0" w:color="auto"/>
              <w:left w:val="nil"/>
              <w:bottom w:val="single" w:sz="4" w:space="0" w:color="auto"/>
              <w:right w:val="nil"/>
            </w:tcBorders>
            <w:shd w:val="clear" w:color="000000" w:fill="9BC2E6"/>
            <w:noWrap/>
            <w:vAlign w:val="bottom"/>
            <w:hideMark/>
          </w:tcPr>
          <w:p w14:paraId="17A5FD24" w14:textId="77777777" w:rsidR="00735D03" w:rsidRPr="00C7711F" w:rsidRDefault="00735D03" w:rsidP="00BF320C">
            <w:pPr>
              <w:spacing w:after="0" w:line="240" w:lineRule="auto"/>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 </w:t>
            </w:r>
          </w:p>
        </w:tc>
        <w:tc>
          <w:tcPr>
            <w:tcW w:w="0" w:type="auto"/>
            <w:tcBorders>
              <w:top w:val="single" w:sz="4" w:space="0" w:color="auto"/>
              <w:left w:val="nil"/>
              <w:bottom w:val="single" w:sz="4" w:space="0" w:color="auto"/>
              <w:right w:val="nil"/>
            </w:tcBorders>
            <w:shd w:val="clear" w:color="000000" w:fill="9BC2E6"/>
            <w:noWrap/>
            <w:vAlign w:val="bottom"/>
            <w:hideMark/>
          </w:tcPr>
          <w:p w14:paraId="55ED0560"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2010/11</w:t>
            </w:r>
          </w:p>
        </w:tc>
        <w:tc>
          <w:tcPr>
            <w:tcW w:w="0" w:type="auto"/>
            <w:tcBorders>
              <w:top w:val="single" w:sz="4" w:space="0" w:color="auto"/>
              <w:left w:val="nil"/>
              <w:bottom w:val="single" w:sz="4" w:space="0" w:color="auto"/>
              <w:right w:val="nil"/>
            </w:tcBorders>
            <w:shd w:val="clear" w:color="000000" w:fill="9BC2E6"/>
            <w:noWrap/>
            <w:vAlign w:val="bottom"/>
            <w:hideMark/>
          </w:tcPr>
          <w:p w14:paraId="00F40FAB"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2011/12</w:t>
            </w:r>
          </w:p>
        </w:tc>
        <w:tc>
          <w:tcPr>
            <w:tcW w:w="0" w:type="auto"/>
            <w:tcBorders>
              <w:top w:val="single" w:sz="4" w:space="0" w:color="auto"/>
              <w:left w:val="nil"/>
              <w:bottom w:val="single" w:sz="4" w:space="0" w:color="auto"/>
              <w:right w:val="nil"/>
            </w:tcBorders>
            <w:shd w:val="clear" w:color="000000" w:fill="9BC2E6"/>
            <w:noWrap/>
            <w:vAlign w:val="bottom"/>
            <w:hideMark/>
          </w:tcPr>
          <w:p w14:paraId="2E09B3CB"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2012/2013</w:t>
            </w:r>
          </w:p>
        </w:tc>
        <w:tc>
          <w:tcPr>
            <w:tcW w:w="0" w:type="auto"/>
            <w:tcBorders>
              <w:top w:val="single" w:sz="4" w:space="0" w:color="auto"/>
              <w:left w:val="nil"/>
              <w:bottom w:val="single" w:sz="4" w:space="0" w:color="auto"/>
              <w:right w:val="nil"/>
            </w:tcBorders>
            <w:shd w:val="clear" w:color="000000" w:fill="9BC2E6"/>
            <w:noWrap/>
            <w:vAlign w:val="bottom"/>
            <w:hideMark/>
          </w:tcPr>
          <w:p w14:paraId="45432DB7"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2013/14</w:t>
            </w:r>
          </w:p>
        </w:tc>
      </w:tr>
      <w:tr w:rsidR="00735D03" w:rsidRPr="00C7711F" w14:paraId="61B0D2EB"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01873DCF"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Autumn 1</w:t>
            </w:r>
          </w:p>
        </w:tc>
        <w:tc>
          <w:tcPr>
            <w:tcW w:w="0" w:type="auto"/>
            <w:tcBorders>
              <w:top w:val="nil"/>
              <w:left w:val="nil"/>
              <w:bottom w:val="nil"/>
              <w:right w:val="nil"/>
            </w:tcBorders>
            <w:shd w:val="clear" w:color="000000" w:fill="D9D9D9"/>
            <w:noWrap/>
            <w:vAlign w:val="bottom"/>
            <w:hideMark/>
          </w:tcPr>
          <w:p w14:paraId="3C5AE546"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061A7551"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5 Sep - 23 Oct</w:t>
            </w:r>
          </w:p>
        </w:tc>
        <w:tc>
          <w:tcPr>
            <w:tcW w:w="0" w:type="auto"/>
            <w:tcBorders>
              <w:top w:val="nil"/>
              <w:left w:val="nil"/>
              <w:bottom w:val="nil"/>
              <w:right w:val="nil"/>
            </w:tcBorders>
            <w:shd w:val="clear" w:color="auto" w:fill="auto"/>
            <w:noWrap/>
            <w:vAlign w:val="bottom"/>
            <w:hideMark/>
          </w:tcPr>
          <w:p w14:paraId="40135CEC"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 Sep - 28 Oct</w:t>
            </w:r>
          </w:p>
        </w:tc>
        <w:tc>
          <w:tcPr>
            <w:tcW w:w="0" w:type="auto"/>
            <w:tcBorders>
              <w:top w:val="nil"/>
              <w:left w:val="nil"/>
              <w:bottom w:val="nil"/>
              <w:right w:val="nil"/>
            </w:tcBorders>
            <w:shd w:val="clear" w:color="auto" w:fill="auto"/>
            <w:noWrap/>
            <w:vAlign w:val="bottom"/>
            <w:hideMark/>
          </w:tcPr>
          <w:p w14:paraId="41E0A1ED"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 Sep - 27 Oct</w:t>
            </w:r>
          </w:p>
        </w:tc>
      </w:tr>
      <w:tr w:rsidR="00735D03" w:rsidRPr="00C7711F" w14:paraId="74FF1927"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579868B2"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Autumn HT</w:t>
            </w:r>
          </w:p>
        </w:tc>
        <w:tc>
          <w:tcPr>
            <w:tcW w:w="0" w:type="auto"/>
            <w:tcBorders>
              <w:top w:val="nil"/>
              <w:left w:val="nil"/>
              <w:bottom w:val="nil"/>
              <w:right w:val="nil"/>
            </w:tcBorders>
            <w:shd w:val="clear" w:color="000000" w:fill="D9D9D9"/>
            <w:noWrap/>
            <w:vAlign w:val="bottom"/>
            <w:hideMark/>
          </w:tcPr>
          <w:p w14:paraId="0CF5610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3C977C98"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24 Oct - 30 Oct</w:t>
            </w:r>
          </w:p>
        </w:tc>
        <w:tc>
          <w:tcPr>
            <w:tcW w:w="0" w:type="auto"/>
            <w:tcBorders>
              <w:top w:val="nil"/>
              <w:left w:val="nil"/>
              <w:bottom w:val="nil"/>
              <w:right w:val="nil"/>
            </w:tcBorders>
            <w:shd w:val="clear" w:color="auto" w:fill="auto"/>
            <w:noWrap/>
            <w:vAlign w:val="bottom"/>
            <w:hideMark/>
          </w:tcPr>
          <w:p w14:paraId="1A939828"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29 Oct - 4 Nov</w:t>
            </w:r>
          </w:p>
        </w:tc>
        <w:tc>
          <w:tcPr>
            <w:tcW w:w="0" w:type="auto"/>
            <w:tcBorders>
              <w:top w:val="nil"/>
              <w:left w:val="nil"/>
              <w:bottom w:val="nil"/>
              <w:right w:val="nil"/>
            </w:tcBorders>
            <w:shd w:val="clear" w:color="auto" w:fill="auto"/>
            <w:noWrap/>
            <w:vAlign w:val="bottom"/>
            <w:hideMark/>
          </w:tcPr>
          <w:p w14:paraId="2B40EE3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28 Oct - 3 Nov</w:t>
            </w:r>
          </w:p>
        </w:tc>
      </w:tr>
      <w:tr w:rsidR="00735D03" w:rsidRPr="00C7711F" w14:paraId="36D4F8D6"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7974EC51"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Autumn 2</w:t>
            </w:r>
          </w:p>
        </w:tc>
        <w:tc>
          <w:tcPr>
            <w:tcW w:w="0" w:type="auto"/>
            <w:tcBorders>
              <w:top w:val="nil"/>
              <w:left w:val="nil"/>
              <w:bottom w:val="nil"/>
              <w:right w:val="nil"/>
            </w:tcBorders>
            <w:shd w:val="clear" w:color="000000" w:fill="D9D9D9"/>
            <w:noWrap/>
            <w:vAlign w:val="bottom"/>
            <w:hideMark/>
          </w:tcPr>
          <w:p w14:paraId="159AE912"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72EC24F0"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31 Oct - 18 Dec</w:t>
            </w:r>
          </w:p>
        </w:tc>
        <w:tc>
          <w:tcPr>
            <w:tcW w:w="0" w:type="auto"/>
            <w:tcBorders>
              <w:top w:val="nil"/>
              <w:left w:val="nil"/>
              <w:bottom w:val="nil"/>
              <w:right w:val="nil"/>
            </w:tcBorders>
            <w:shd w:val="clear" w:color="auto" w:fill="auto"/>
            <w:noWrap/>
            <w:vAlign w:val="bottom"/>
            <w:hideMark/>
          </w:tcPr>
          <w:p w14:paraId="6851FD60"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5 Nov - 23 Dec</w:t>
            </w:r>
          </w:p>
        </w:tc>
        <w:tc>
          <w:tcPr>
            <w:tcW w:w="0" w:type="auto"/>
            <w:tcBorders>
              <w:top w:val="nil"/>
              <w:left w:val="nil"/>
              <w:bottom w:val="nil"/>
              <w:right w:val="nil"/>
            </w:tcBorders>
            <w:shd w:val="clear" w:color="auto" w:fill="auto"/>
            <w:noWrap/>
            <w:vAlign w:val="bottom"/>
            <w:hideMark/>
          </w:tcPr>
          <w:p w14:paraId="2C72452F"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4 Nov - 22 Dec</w:t>
            </w:r>
          </w:p>
        </w:tc>
      </w:tr>
      <w:tr w:rsidR="00735D03" w:rsidRPr="00C7711F" w14:paraId="7771BBE1"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235AFEA3"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Christmas</w:t>
            </w:r>
          </w:p>
        </w:tc>
        <w:tc>
          <w:tcPr>
            <w:tcW w:w="0" w:type="auto"/>
            <w:tcBorders>
              <w:top w:val="nil"/>
              <w:left w:val="nil"/>
              <w:bottom w:val="nil"/>
              <w:right w:val="nil"/>
            </w:tcBorders>
            <w:shd w:val="clear" w:color="000000" w:fill="D9D9D9"/>
            <w:noWrap/>
            <w:vAlign w:val="bottom"/>
            <w:hideMark/>
          </w:tcPr>
          <w:p w14:paraId="74E78555"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70F3111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19 Dec - 8 Jan</w:t>
            </w:r>
          </w:p>
        </w:tc>
        <w:tc>
          <w:tcPr>
            <w:tcW w:w="0" w:type="auto"/>
            <w:tcBorders>
              <w:top w:val="nil"/>
              <w:left w:val="nil"/>
              <w:bottom w:val="nil"/>
              <w:right w:val="nil"/>
            </w:tcBorders>
            <w:shd w:val="clear" w:color="auto" w:fill="auto"/>
            <w:noWrap/>
            <w:vAlign w:val="bottom"/>
            <w:hideMark/>
          </w:tcPr>
          <w:p w14:paraId="37E3083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24 Dec - 6 Jan</w:t>
            </w:r>
          </w:p>
        </w:tc>
        <w:tc>
          <w:tcPr>
            <w:tcW w:w="0" w:type="auto"/>
            <w:tcBorders>
              <w:top w:val="nil"/>
              <w:left w:val="nil"/>
              <w:bottom w:val="nil"/>
              <w:right w:val="nil"/>
            </w:tcBorders>
            <w:shd w:val="clear" w:color="auto" w:fill="auto"/>
            <w:noWrap/>
            <w:vAlign w:val="bottom"/>
            <w:hideMark/>
          </w:tcPr>
          <w:p w14:paraId="1BBE87F0"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23 Dec - 5 Jan</w:t>
            </w:r>
          </w:p>
        </w:tc>
      </w:tr>
      <w:tr w:rsidR="00735D03" w:rsidRPr="00C7711F" w14:paraId="01350A31"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6141A1B2"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Spring 1</w:t>
            </w:r>
          </w:p>
        </w:tc>
        <w:tc>
          <w:tcPr>
            <w:tcW w:w="0" w:type="auto"/>
            <w:tcBorders>
              <w:top w:val="nil"/>
              <w:left w:val="nil"/>
              <w:bottom w:val="nil"/>
              <w:right w:val="nil"/>
            </w:tcBorders>
            <w:shd w:val="clear" w:color="000000" w:fill="D9D9D9"/>
            <w:noWrap/>
            <w:vAlign w:val="bottom"/>
            <w:hideMark/>
          </w:tcPr>
          <w:p w14:paraId="2DE5065A"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4631789F"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9 Jan - Feb 12</w:t>
            </w:r>
          </w:p>
        </w:tc>
        <w:tc>
          <w:tcPr>
            <w:tcW w:w="0" w:type="auto"/>
            <w:tcBorders>
              <w:top w:val="nil"/>
              <w:left w:val="nil"/>
              <w:bottom w:val="nil"/>
              <w:right w:val="nil"/>
            </w:tcBorders>
            <w:shd w:val="clear" w:color="auto" w:fill="auto"/>
            <w:noWrap/>
            <w:vAlign w:val="bottom"/>
            <w:hideMark/>
          </w:tcPr>
          <w:p w14:paraId="72ED4200"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7 Jan - 17 Feb</w:t>
            </w:r>
          </w:p>
        </w:tc>
        <w:tc>
          <w:tcPr>
            <w:tcW w:w="0" w:type="auto"/>
            <w:tcBorders>
              <w:top w:val="nil"/>
              <w:left w:val="nil"/>
              <w:bottom w:val="nil"/>
              <w:right w:val="nil"/>
            </w:tcBorders>
            <w:shd w:val="clear" w:color="auto" w:fill="auto"/>
            <w:noWrap/>
            <w:vAlign w:val="bottom"/>
            <w:hideMark/>
          </w:tcPr>
          <w:p w14:paraId="1309FCD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6 Jan - 16 Feb</w:t>
            </w:r>
          </w:p>
        </w:tc>
      </w:tr>
      <w:tr w:rsidR="00735D03" w:rsidRPr="00C7711F" w14:paraId="12C0DD9D"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6AD49D9D"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Spring HT</w:t>
            </w:r>
          </w:p>
        </w:tc>
        <w:tc>
          <w:tcPr>
            <w:tcW w:w="0" w:type="auto"/>
            <w:tcBorders>
              <w:top w:val="nil"/>
              <w:left w:val="nil"/>
              <w:bottom w:val="nil"/>
              <w:right w:val="nil"/>
            </w:tcBorders>
            <w:shd w:val="clear" w:color="000000" w:fill="D9D9D9"/>
            <w:noWrap/>
            <w:vAlign w:val="bottom"/>
            <w:hideMark/>
          </w:tcPr>
          <w:p w14:paraId="79AF897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5E3A9D15"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Feb 13 - Feb 19</w:t>
            </w:r>
          </w:p>
        </w:tc>
        <w:tc>
          <w:tcPr>
            <w:tcW w:w="0" w:type="auto"/>
            <w:tcBorders>
              <w:top w:val="nil"/>
              <w:left w:val="nil"/>
              <w:bottom w:val="nil"/>
              <w:right w:val="nil"/>
            </w:tcBorders>
            <w:shd w:val="clear" w:color="auto" w:fill="auto"/>
            <w:noWrap/>
            <w:vAlign w:val="bottom"/>
            <w:hideMark/>
          </w:tcPr>
          <w:p w14:paraId="09A927A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18 Feb - 24 Feb</w:t>
            </w:r>
          </w:p>
        </w:tc>
        <w:tc>
          <w:tcPr>
            <w:tcW w:w="0" w:type="auto"/>
            <w:tcBorders>
              <w:top w:val="nil"/>
              <w:left w:val="nil"/>
              <w:bottom w:val="nil"/>
              <w:right w:val="nil"/>
            </w:tcBorders>
            <w:shd w:val="clear" w:color="auto" w:fill="auto"/>
            <w:noWrap/>
            <w:vAlign w:val="bottom"/>
            <w:hideMark/>
          </w:tcPr>
          <w:p w14:paraId="39627F77"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17 Feb - 23 Feb</w:t>
            </w:r>
          </w:p>
        </w:tc>
      </w:tr>
      <w:tr w:rsidR="00735D03" w:rsidRPr="00C7711F" w14:paraId="312BC3CA"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0C027A4C"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Spring 2</w:t>
            </w:r>
          </w:p>
        </w:tc>
        <w:tc>
          <w:tcPr>
            <w:tcW w:w="0" w:type="auto"/>
            <w:tcBorders>
              <w:top w:val="nil"/>
              <w:left w:val="nil"/>
              <w:bottom w:val="nil"/>
              <w:right w:val="nil"/>
            </w:tcBorders>
            <w:shd w:val="clear" w:color="000000" w:fill="D9D9D9"/>
            <w:noWrap/>
            <w:vAlign w:val="bottom"/>
            <w:hideMark/>
          </w:tcPr>
          <w:p w14:paraId="561A7A2B"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50CDA52D"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Feb 20 - 1 April</w:t>
            </w:r>
          </w:p>
        </w:tc>
        <w:tc>
          <w:tcPr>
            <w:tcW w:w="0" w:type="auto"/>
            <w:tcBorders>
              <w:top w:val="nil"/>
              <w:left w:val="nil"/>
              <w:bottom w:val="nil"/>
              <w:right w:val="nil"/>
            </w:tcBorders>
            <w:shd w:val="clear" w:color="auto" w:fill="auto"/>
            <w:noWrap/>
            <w:vAlign w:val="bottom"/>
            <w:hideMark/>
          </w:tcPr>
          <w:p w14:paraId="7C469C37"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25 Feb - 24 Mar</w:t>
            </w:r>
          </w:p>
        </w:tc>
        <w:tc>
          <w:tcPr>
            <w:tcW w:w="0" w:type="auto"/>
            <w:tcBorders>
              <w:top w:val="nil"/>
              <w:left w:val="nil"/>
              <w:bottom w:val="nil"/>
              <w:right w:val="nil"/>
            </w:tcBorders>
            <w:shd w:val="clear" w:color="auto" w:fill="auto"/>
            <w:noWrap/>
            <w:vAlign w:val="bottom"/>
            <w:hideMark/>
          </w:tcPr>
          <w:p w14:paraId="3BE3E74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24 Feb - 6 Apr</w:t>
            </w:r>
          </w:p>
        </w:tc>
      </w:tr>
      <w:tr w:rsidR="00735D03" w:rsidRPr="00C7711F" w14:paraId="4B4FDC76"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7702FD0A"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Easter</w:t>
            </w:r>
          </w:p>
        </w:tc>
        <w:tc>
          <w:tcPr>
            <w:tcW w:w="0" w:type="auto"/>
            <w:tcBorders>
              <w:top w:val="nil"/>
              <w:left w:val="nil"/>
              <w:bottom w:val="nil"/>
              <w:right w:val="nil"/>
            </w:tcBorders>
            <w:shd w:val="clear" w:color="auto" w:fill="auto"/>
            <w:noWrap/>
            <w:vAlign w:val="bottom"/>
            <w:hideMark/>
          </w:tcPr>
          <w:p w14:paraId="48B24E9C"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11th Apr - 24th Apr</w:t>
            </w:r>
          </w:p>
        </w:tc>
        <w:tc>
          <w:tcPr>
            <w:tcW w:w="0" w:type="auto"/>
            <w:tcBorders>
              <w:top w:val="nil"/>
              <w:left w:val="nil"/>
              <w:bottom w:val="nil"/>
              <w:right w:val="nil"/>
            </w:tcBorders>
            <w:shd w:val="clear" w:color="auto" w:fill="auto"/>
            <w:noWrap/>
            <w:vAlign w:val="bottom"/>
            <w:hideMark/>
          </w:tcPr>
          <w:p w14:paraId="7B7E98C0"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 Apr - 15 Apr</w:t>
            </w:r>
          </w:p>
        </w:tc>
        <w:tc>
          <w:tcPr>
            <w:tcW w:w="0" w:type="auto"/>
            <w:tcBorders>
              <w:top w:val="nil"/>
              <w:left w:val="nil"/>
              <w:bottom w:val="nil"/>
              <w:right w:val="nil"/>
            </w:tcBorders>
            <w:shd w:val="clear" w:color="auto" w:fill="auto"/>
            <w:noWrap/>
            <w:vAlign w:val="bottom"/>
            <w:hideMark/>
          </w:tcPr>
          <w:p w14:paraId="42B6F509"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25 Mar - 14 Apr</w:t>
            </w:r>
          </w:p>
        </w:tc>
        <w:tc>
          <w:tcPr>
            <w:tcW w:w="0" w:type="auto"/>
            <w:tcBorders>
              <w:top w:val="nil"/>
              <w:left w:val="nil"/>
              <w:bottom w:val="nil"/>
              <w:right w:val="nil"/>
            </w:tcBorders>
            <w:shd w:val="clear" w:color="auto" w:fill="auto"/>
            <w:noWrap/>
            <w:vAlign w:val="bottom"/>
            <w:hideMark/>
          </w:tcPr>
          <w:p w14:paraId="7FE33AB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7 Apr - 20 Apr</w:t>
            </w:r>
          </w:p>
        </w:tc>
      </w:tr>
      <w:tr w:rsidR="00735D03" w:rsidRPr="00C7711F" w14:paraId="5CD80EBF"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51C98963"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Summer 1</w:t>
            </w:r>
          </w:p>
        </w:tc>
        <w:tc>
          <w:tcPr>
            <w:tcW w:w="0" w:type="auto"/>
            <w:tcBorders>
              <w:top w:val="nil"/>
              <w:left w:val="nil"/>
              <w:bottom w:val="nil"/>
              <w:right w:val="nil"/>
            </w:tcBorders>
            <w:shd w:val="clear" w:color="auto" w:fill="auto"/>
            <w:noWrap/>
            <w:vAlign w:val="bottom"/>
            <w:hideMark/>
          </w:tcPr>
          <w:p w14:paraId="3BA871BB"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25 Apr - 29 May</w:t>
            </w:r>
          </w:p>
        </w:tc>
        <w:tc>
          <w:tcPr>
            <w:tcW w:w="0" w:type="auto"/>
            <w:tcBorders>
              <w:top w:val="nil"/>
              <w:left w:val="nil"/>
              <w:bottom w:val="nil"/>
              <w:right w:val="nil"/>
            </w:tcBorders>
            <w:shd w:val="clear" w:color="auto" w:fill="auto"/>
            <w:noWrap/>
            <w:vAlign w:val="bottom"/>
            <w:hideMark/>
          </w:tcPr>
          <w:p w14:paraId="481FF9CF"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16 Apr - 3 Jun</w:t>
            </w:r>
          </w:p>
        </w:tc>
        <w:tc>
          <w:tcPr>
            <w:tcW w:w="0" w:type="auto"/>
            <w:tcBorders>
              <w:top w:val="nil"/>
              <w:left w:val="nil"/>
              <w:bottom w:val="nil"/>
              <w:right w:val="nil"/>
            </w:tcBorders>
            <w:shd w:val="clear" w:color="auto" w:fill="auto"/>
            <w:noWrap/>
            <w:vAlign w:val="bottom"/>
            <w:hideMark/>
          </w:tcPr>
          <w:p w14:paraId="0DBF631A"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15 Apr - 26 May</w:t>
            </w:r>
          </w:p>
        </w:tc>
        <w:tc>
          <w:tcPr>
            <w:tcW w:w="0" w:type="auto"/>
            <w:tcBorders>
              <w:top w:val="nil"/>
              <w:left w:val="nil"/>
              <w:bottom w:val="nil"/>
              <w:right w:val="nil"/>
            </w:tcBorders>
            <w:shd w:val="clear" w:color="auto" w:fill="auto"/>
            <w:noWrap/>
            <w:vAlign w:val="bottom"/>
            <w:hideMark/>
          </w:tcPr>
          <w:p w14:paraId="02499B50"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21 Apr - 25 May</w:t>
            </w:r>
          </w:p>
        </w:tc>
      </w:tr>
      <w:tr w:rsidR="00735D03" w:rsidRPr="00C7711F" w14:paraId="6020964A"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67BAA88D"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Summer HT</w:t>
            </w:r>
          </w:p>
        </w:tc>
        <w:tc>
          <w:tcPr>
            <w:tcW w:w="0" w:type="auto"/>
            <w:tcBorders>
              <w:top w:val="nil"/>
              <w:left w:val="nil"/>
              <w:bottom w:val="nil"/>
              <w:right w:val="nil"/>
            </w:tcBorders>
            <w:shd w:val="clear" w:color="auto" w:fill="auto"/>
            <w:noWrap/>
            <w:vAlign w:val="bottom"/>
            <w:hideMark/>
          </w:tcPr>
          <w:p w14:paraId="7EE12108"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30 May - 5 June</w:t>
            </w:r>
          </w:p>
        </w:tc>
        <w:tc>
          <w:tcPr>
            <w:tcW w:w="0" w:type="auto"/>
            <w:tcBorders>
              <w:top w:val="nil"/>
              <w:left w:val="nil"/>
              <w:bottom w:val="nil"/>
              <w:right w:val="nil"/>
            </w:tcBorders>
            <w:shd w:val="clear" w:color="auto" w:fill="auto"/>
            <w:noWrap/>
            <w:vAlign w:val="bottom"/>
            <w:hideMark/>
          </w:tcPr>
          <w:p w14:paraId="1DBD1AC2"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4 Jun - 10 Jun</w:t>
            </w:r>
          </w:p>
        </w:tc>
        <w:tc>
          <w:tcPr>
            <w:tcW w:w="0" w:type="auto"/>
            <w:tcBorders>
              <w:top w:val="nil"/>
              <w:left w:val="nil"/>
              <w:bottom w:val="nil"/>
              <w:right w:val="nil"/>
            </w:tcBorders>
            <w:shd w:val="clear" w:color="auto" w:fill="auto"/>
            <w:noWrap/>
            <w:vAlign w:val="bottom"/>
            <w:hideMark/>
          </w:tcPr>
          <w:p w14:paraId="7AB838D9"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27 May - 2 Jun</w:t>
            </w:r>
          </w:p>
        </w:tc>
        <w:tc>
          <w:tcPr>
            <w:tcW w:w="0" w:type="auto"/>
            <w:tcBorders>
              <w:top w:val="nil"/>
              <w:left w:val="nil"/>
              <w:bottom w:val="nil"/>
              <w:right w:val="nil"/>
            </w:tcBorders>
            <w:shd w:val="clear" w:color="auto" w:fill="auto"/>
            <w:noWrap/>
            <w:vAlign w:val="bottom"/>
            <w:hideMark/>
          </w:tcPr>
          <w:p w14:paraId="0869DBC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26 May - 1 June</w:t>
            </w:r>
          </w:p>
        </w:tc>
      </w:tr>
      <w:tr w:rsidR="00735D03" w:rsidRPr="00C7711F" w14:paraId="25741AC3" w14:textId="77777777" w:rsidTr="00BF320C">
        <w:trPr>
          <w:trHeight w:val="300"/>
          <w:jc w:val="center"/>
        </w:trPr>
        <w:tc>
          <w:tcPr>
            <w:tcW w:w="0" w:type="auto"/>
            <w:tcBorders>
              <w:top w:val="nil"/>
              <w:left w:val="nil"/>
              <w:bottom w:val="nil"/>
              <w:right w:val="nil"/>
            </w:tcBorders>
            <w:shd w:val="clear" w:color="auto" w:fill="auto"/>
            <w:noWrap/>
            <w:vAlign w:val="bottom"/>
            <w:hideMark/>
          </w:tcPr>
          <w:p w14:paraId="5D32758A"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Summer 2</w:t>
            </w:r>
          </w:p>
        </w:tc>
        <w:tc>
          <w:tcPr>
            <w:tcW w:w="0" w:type="auto"/>
            <w:tcBorders>
              <w:top w:val="nil"/>
              <w:left w:val="nil"/>
              <w:bottom w:val="nil"/>
              <w:right w:val="nil"/>
            </w:tcBorders>
            <w:shd w:val="clear" w:color="auto" w:fill="auto"/>
            <w:noWrap/>
            <w:vAlign w:val="bottom"/>
            <w:hideMark/>
          </w:tcPr>
          <w:p w14:paraId="73D4151B"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6 Jun - 24 Jul</w:t>
            </w:r>
          </w:p>
        </w:tc>
        <w:tc>
          <w:tcPr>
            <w:tcW w:w="0" w:type="auto"/>
            <w:tcBorders>
              <w:top w:val="nil"/>
              <w:left w:val="nil"/>
              <w:bottom w:val="nil"/>
              <w:right w:val="nil"/>
            </w:tcBorders>
            <w:shd w:val="clear" w:color="auto" w:fill="auto"/>
            <w:noWrap/>
            <w:vAlign w:val="bottom"/>
            <w:hideMark/>
          </w:tcPr>
          <w:p w14:paraId="2A3AB52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11 Jun - 22 Jul</w:t>
            </w:r>
          </w:p>
        </w:tc>
        <w:tc>
          <w:tcPr>
            <w:tcW w:w="0" w:type="auto"/>
            <w:tcBorders>
              <w:top w:val="nil"/>
              <w:left w:val="nil"/>
              <w:bottom w:val="nil"/>
              <w:right w:val="nil"/>
            </w:tcBorders>
            <w:shd w:val="clear" w:color="auto" w:fill="auto"/>
            <w:noWrap/>
            <w:vAlign w:val="bottom"/>
            <w:hideMark/>
          </w:tcPr>
          <w:p w14:paraId="29456FAB"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 Jun - 21 Jul</w:t>
            </w:r>
          </w:p>
        </w:tc>
        <w:tc>
          <w:tcPr>
            <w:tcW w:w="0" w:type="auto"/>
            <w:tcBorders>
              <w:top w:val="nil"/>
              <w:left w:val="nil"/>
              <w:bottom w:val="nil"/>
              <w:right w:val="nil"/>
            </w:tcBorders>
            <w:shd w:val="clear" w:color="auto" w:fill="auto"/>
            <w:noWrap/>
            <w:vAlign w:val="bottom"/>
            <w:hideMark/>
          </w:tcPr>
          <w:p w14:paraId="67D9B14F"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 Jun - 20 Jul</w:t>
            </w:r>
          </w:p>
        </w:tc>
      </w:tr>
      <w:tr w:rsidR="00735D03" w:rsidRPr="00C7711F" w14:paraId="47C1F72A" w14:textId="77777777" w:rsidTr="00BF320C">
        <w:trPr>
          <w:trHeight w:val="300"/>
          <w:jc w:val="center"/>
        </w:trPr>
        <w:tc>
          <w:tcPr>
            <w:tcW w:w="0" w:type="auto"/>
            <w:tcBorders>
              <w:top w:val="nil"/>
              <w:left w:val="nil"/>
              <w:bottom w:val="single" w:sz="4" w:space="0" w:color="auto"/>
              <w:right w:val="nil"/>
            </w:tcBorders>
            <w:shd w:val="clear" w:color="auto" w:fill="auto"/>
            <w:noWrap/>
            <w:vAlign w:val="bottom"/>
            <w:hideMark/>
          </w:tcPr>
          <w:p w14:paraId="7233765D"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Summer</w:t>
            </w:r>
          </w:p>
        </w:tc>
        <w:tc>
          <w:tcPr>
            <w:tcW w:w="0" w:type="auto"/>
            <w:tcBorders>
              <w:top w:val="nil"/>
              <w:left w:val="nil"/>
              <w:bottom w:val="single" w:sz="4" w:space="0" w:color="auto"/>
              <w:right w:val="nil"/>
            </w:tcBorders>
            <w:shd w:val="clear" w:color="auto" w:fill="auto"/>
            <w:noWrap/>
            <w:vAlign w:val="bottom"/>
            <w:hideMark/>
          </w:tcPr>
          <w:p w14:paraId="3B50D196"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25 Jul - 4 Sep</w:t>
            </w:r>
          </w:p>
        </w:tc>
        <w:tc>
          <w:tcPr>
            <w:tcW w:w="0" w:type="auto"/>
            <w:tcBorders>
              <w:top w:val="nil"/>
              <w:left w:val="nil"/>
              <w:bottom w:val="single" w:sz="4" w:space="0" w:color="auto"/>
              <w:right w:val="nil"/>
            </w:tcBorders>
            <w:shd w:val="clear" w:color="auto" w:fill="auto"/>
            <w:noWrap/>
            <w:vAlign w:val="bottom"/>
            <w:hideMark/>
          </w:tcPr>
          <w:p w14:paraId="26852E7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23 Jul - 2 Sep</w:t>
            </w:r>
          </w:p>
        </w:tc>
        <w:tc>
          <w:tcPr>
            <w:tcW w:w="0" w:type="auto"/>
            <w:tcBorders>
              <w:top w:val="nil"/>
              <w:left w:val="nil"/>
              <w:bottom w:val="single" w:sz="4" w:space="0" w:color="auto"/>
              <w:right w:val="nil"/>
            </w:tcBorders>
            <w:shd w:val="clear" w:color="auto" w:fill="auto"/>
            <w:noWrap/>
            <w:vAlign w:val="bottom"/>
            <w:hideMark/>
          </w:tcPr>
          <w:p w14:paraId="5E53CC2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22 Jul - 01 Sep</w:t>
            </w:r>
          </w:p>
        </w:tc>
        <w:tc>
          <w:tcPr>
            <w:tcW w:w="0" w:type="auto"/>
            <w:tcBorders>
              <w:top w:val="nil"/>
              <w:left w:val="nil"/>
              <w:bottom w:val="single" w:sz="4" w:space="0" w:color="auto"/>
              <w:right w:val="nil"/>
            </w:tcBorders>
            <w:shd w:val="clear" w:color="auto" w:fill="auto"/>
            <w:noWrap/>
            <w:vAlign w:val="bottom"/>
            <w:hideMark/>
          </w:tcPr>
          <w:p w14:paraId="4FCB5D2A"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21 Jul - 31 Aug</w:t>
            </w:r>
          </w:p>
        </w:tc>
      </w:tr>
    </w:tbl>
    <w:p w14:paraId="7733D71A" w14:textId="77777777" w:rsidR="00735D03" w:rsidRDefault="00735D03" w:rsidP="00735D03">
      <w:pPr>
        <w:jc w:val="center"/>
        <w:rPr>
          <w:rFonts w:ascii="Times New Roman" w:hAnsi="Times New Roman" w:cs="Times New Roman"/>
          <w:b/>
        </w:rPr>
      </w:pPr>
    </w:p>
    <w:tbl>
      <w:tblPr>
        <w:tblW w:w="10195" w:type="dxa"/>
        <w:tblInd w:w="-580" w:type="dxa"/>
        <w:tblLook w:val="04A0" w:firstRow="1" w:lastRow="0" w:firstColumn="1" w:lastColumn="0" w:noHBand="0" w:noVBand="1"/>
      </w:tblPr>
      <w:tblGrid>
        <w:gridCol w:w="1412"/>
        <w:gridCol w:w="1789"/>
        <w:gridCol w:w="1578"/>
        <w:gridCol w:w="1829"/>
        <w:gridCol w:w="1829"/>
        <w:gridCol w:w="1758"/>
      </w:tblGrid>
      <w:tr w:rsidR="00735D03" w:rsidRPr="00C7711F" w14:paraId="124CBD80" w14:textId="77777777" w:rsidTr="00BF320C">
        <w:trPr>
          <w:trHeight w:val="300"/>
        </w:trPr>
        <w:tc>
          <w:tcPr>
            <w:tcW w:w="0" w:type="auto"/>
            <w:tcBorders>
              <w:top w:val="single" w:sz="4" w:space="0" w:color="auto"/>
              <w:left w:val="nil"/>
              <w:bottom w:val="single" w:sz="4" w:space="0" w:color="auto"/>
              <w:right w:val="nil"/>
            </w:tcBorders>
            <w:shd w:val="clear" w:color="000000" w:fill="9BC2E6"/>
            <w:noWrap/>
            <w:vAlign w:val="bottom"/>
            <w:hideMark/>
          </w:tcPr>
          <w:p w14:paraId="1AD00047" w14:textId="77777777" w:rsidR="00735D03" w:rsidRPr="00C7711F" w:rsidRDefault="00735D03" w:rsidP="00BF320C">
            <w:pPr>
              <w:spacing w:after="0" w:line="240" w:lineRule="auto"/>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 </w:t>
            </w:r>
          </w:p>
        </w:tc>
        <w:tc>
          <w:tcPr>
            <w:tcW w:w="0" w:type="auto"/>
            <w:tcBorders>
              <w:top w:val="single" w:sz="4" w:space="0" w:color="auto"/>
              <w:left w:val="nil"/>
              <w:bottom w:val="single" w:sz="4" w:space="0" w:color="auto"/>
              <w:right w:val="nil"/>
            </w:tcBorders>
            <w:shd w:val="clear" w:color="000000" w:fill="9BC2E6"/>
            <w:noWrap/>
            <w:vAlign w:val="bottom"/>
            <w:hideMark/>
          </w:tcPr>
          <w:p w14:paraId="38A752C6"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2014/15</w:t>
            </w:r>
          </w:p>
        </w:tc>
        <w:tc>
          <w:tcPr>
            <w:tcW w:w="0" w:type="auto"/>
            <w:tcBorders>
              <w:top w:val="single" w:sz="4" w:space="0" w:color="auto"/>
              <w:left w:val="nil"/>
              <w:bottom w:val="single" w:sz="4" w:space="0" w:color="auto"/>
              <w:right w:val="nil"/>
            </w:tcBorders>
            <w:shd w:val="clear" w:color="000000" w:fill="9BC2E6"/>
            <w:noWrap/>
            <w:vAlign w:val="bottom"/>
            <w:hideMark/>
          </w:tcPr>
          <w:p w14:paraId="061F4B80"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2015/16</w:t>
            </w:r>
          </w:p>
        </w:tc>
        <w:tc>
          <w:tcPr>
            <w:tcW w:w="0" w:type="auto"/>
            <w:tcBorders>
              <w:top w:val="single" w:sz="4" w:space="0" w:color="auto"/>
              <w:left w:val="nil"/>
              <w:bottom w:val="single" w:sz="4" w:space="0" w:color="auto"/>
              <w:right w:val="nil"/>
            </w:tcBorders>
            <w:shd w:val="clear" w:color="000000" w:fill="9BC2E6"/>
            <w:noWrap/>
            <w:vAlign w:val="bottom"/>
            <w:hideMark/>
          </w:tcPr>
          <w:p w14:paraId="79A0319B"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2016/17</w:t>
            </w:r>
          </w:p>
        </w:tc>
        <w:tc>
          <w:tcPr>
            <w:tcW w:w="0" w:type="auto"/>
            <w:tcBorders>
              <w:top w:val="single" w:sz="4" w:space="0" w:color="auto"/>
              <w:left w:val="nil"/>
              <w:bottom w:val="single" w:sz="4" w:space="0" w:color="auto"/>
              <w:right w:val="nil"/>
            </w:tcBorders>
            <w:shd w:val="clear" w:color="000000" w:fill="9BC2E6"/>
            <w:noWrap/>
            <w:vAlign w:val="bottom"/>
            <w:hideMark/>
          </w:tcPr>
          <w:p w14:paraId="119C0BC9"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2017/18</w:t>
            </w:r>
          </w:p>
        </w:tc>
        <w:tc>
          <w:tcPr>
            <w:tcW w:w="1758" w:type="dxa"/>
            <w:tcBorders>
              <w:top w:val="single" w:sz="4" w:space="0" w:color="auto"/>
              <w:left w:val="nil"/>
              <w:bottom w:val="single" w:sz="4" w:space="0" w:color="auto"/>
              <w:right w:val="nil"/>
            </w:tcBorders>
            <w:shd w:val="clear" w:color="000000" w:fill="9BC2E6"/>
            <w:noWrap/>
            <w:vAlign w:val="bottom"/>
            <w:hideMark/>
          </w:tcPr>
          <w:p w14:paraId="2A7CD6E4" w14:textId="77777777" w:rsidR="00735D03" w:rsidRPr="00C7711F" w:rsidRDefault="00735D03" w:rsidP="00BF320C">
            <w:pPr>
              <w:spacing w:after="0" w:line="240" w:lineRule="auto"/>
              <w:jc w:val="center"/>
              <w:rPr>
                <w:rFonts w:ascii="Times New Roman" w:eastAsia="Times New Roman" w:hAnsi="Times New Roman" w:cs="Times New Roman"/>
                <w:b/>
                <w:bCs/>
                <w:color w:val="000000"/>
                <w:szCs w:val="24"/>
                <w:lang w:eastAsia="en-GB"/>
              </w:rPr>
            </w:pPr>
            <w:r w:rsidRPr="00C7711F">
              <w:rPr>
                <w:rFonts w:ascii="Times New Roman" w:eastAsia="Times New Roman" w:hAnsi="Times New Roman" w:cs="Times New Roman"/>
                <w:b/>
                <w:bCs/>
                <w:color w:val="000000"/>
                <w:szCs w:val="24"/>
                <w:lang w:eastAsia="en-GB"/>
              </w:rPr>
              <w:t>2018/19</w:t>
            </w:r>
          </w:p>
        </w:tc>
      </w:tr>
      <w:tr w:rsidR="00735D03" w:rsidRPr="00C7711F" w14:paraId="07954EBE" w14:textId="77777777" w:rsidTr="00BF320C">
        <w:trPr>
          <w:trHeight w:val="300"/>
        </w:trPr>
        <w:tc>
          <w:tcPr>
            <w:tcW w:w="0" w:type="auto"/>
            <w:tcBorders>
              <w:top w:val="nil"/>
              <w:left w:val="nil"/>
              <w:bottom w:val="nil"/>
              <w:right w:val="nil"/>
            </w:tcBorders>
            <w:shd w:val="clear" w:color="auto" w:fill="auto"/>
            <w:noWrap/>
            <w:vAlign w:val="bottom"/>
            <w:hideMark/>
          </w:tcPr>
          <w:p w14:paraId="250E94B8"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Autumn 1</w:t>
            </w:r>
          </w:p>
        </w:tc>
        <w:tc>
          <w:tcPr>
            <w:tcW w:w="0" w:type="auto"/>
            <w:tcBorders>
              <w:top w:val="nil"/>
              <w:left w:val="nil"/>
              <w:bottom w:val="nil"/>
              <w:right w:val="nil"/>
            </w:tcBorders>
            <w:shd w:val="clear" w:color="auto" w:fill="auto"/>
            <w:noWrap/>
            <w:vAlign w:val="bottom"/>
            <w:hideMark/>
          </w:tcPr>
          <w:p w14:paraId="3B6C19A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 Sep - 26 Oct</w:t>
            </w:r>
          </w:p>
        </w:tc>
        <w:tc>
          <w:tcPr>
            <w:tcW w:w="0" w:type="auto"/>
            <w:tcBorders>
              <w:top w:val="nil"/>
              <w:left w:val="nil"/>
              <w:bottom w:val="nil"/>
              <w:right w:val="nil"/>
            </w:tcBorders>
            <w:shd w:val="clear" w:color="000000" w:fill="D9D9D9"/>
            <w:noWrap/>
            <w:vAlign w:val="bottom"/>
            <w:hideMark/>
          </w:tcPr>
          <w:p w14:paraId="3D2202F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5CD7FCD7"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5 Sep - 23 Oct</w:t>
            </w:r>
          </w:p>
        </w:tc>
        <w:tc>
          <w:tcPr>
            <w:tcW w:w="0" w:type="auto"/>
            <w:tcBorders>
              <w:top w:val="nil"/>
              <w:left w:val="nil"/>
              <w:bottom w:val="nil"/>
              <w:right w:val="nil"/>
            </w:tcBorders>
            <w:shd w:val="clear" w:color="auto" w:fill="auto"/>
            <w:noWrap/>
            <w:vAlign w:val="bottom"/>
            <w:hideMark/>
          </w:tcPr>
          <w:p w14:paraId="650BB8C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04 Sep - 22 Oct</w:t>
            </w:r>
          </w:p>
        </w:tc>
        <w:tc>
          <w:tcPr>
            <w:tcW w:w="1758" w:type="dxa"/>
            <w:tcBorders>
              <w:top w:val="nil"/>
              <w:left w:val="nil"/>
              <w:bottom w:val="nil"/>
              <w:right w:val="nil"/>
            </w:tcBorders>
            <w:shd w:val="clear" w:color="auto" w:fill="auto"/>
            <w:noWrap/>
            <w:vAlign w:val="bottom"/>
            <w:hideMark/>
          </w:tcPr>
          <w:p w14:paraId="0DBC304A"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 Sep - 21 Oct</w:t>
            </w:r>
          </w:p>
        </w:tc>
      </w:tr>
      <w:tr w:rsidR="00735D03" w:rsidRPr="00C7711F" w14:paraId="1F1E8DB7" w14:textId="77777777" w:rsidTr="00BF320C">
        <w:trPr>
          <w:trHeight w:val="300"/>
        </w:trPr>
        <w:tc>
          <w:tcPr>
            <w:tcW w:w="0" w:type="auto"/>
            <w:tcBorders>
              <w:top w:val="nil"/>
              <w:left w:val="nil"/>
              <w:bottom w:val="nil"/>
              <w:right w:val="nil"/>
            </w:tcBorders>
            <w:shd w:val="clear" w:color="auto" w:fill="auto"/>
            <w:noWrap/>
            <w:vAlign w:val="bottom"/>
            <w:hideMark/>
          </w:tcPr>
          <w:p w14:paraId="05FA89EC"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Autumn HT</w:t>
            </w:r>
          </w:p>
        </w:tc>
        <w:tc>
          <w:tcPr>
            <w:tcW w:w="0" w:type="auto"/>
            <w:tcBorders>
              <w:top w:val="nil"/>
              <w:left w:val="nil"/>
              <w:bottom w:val="nil"/>
              <w:right w:val="nil"/>
            </w:tcBorders>
            <w:shd w:val="clear" w:color="auto" w:fill="auto"/>
            <w:noWrap/>
            <w:vAlign w:val="bottom"/>
            <w:hideMark/>
          </w:tcPr>
          <w:p w14:paraId="7789CD5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27 Oct - 2 Nov</w:t>
            </w:r>
          </w:p>
        </w:tc>
        <w:tc>
          <w:tcPr>
            <w:tcW w:w="0" w:type="auto"/>
            <w:tcBorders>
              <w:top w:val="nil"/>
              <w:left w:val="nil"/>
              <w:bottom w:val="nil"/>
              <w:right w:val="nil"/>
            </w:tcBorders>
            <w:shd w:val="clear" w:color="000000" w:fill="D9D9D9"/>
            <w:noWrap/>
            <w:vAlign w:val="bottom"/>
            <w:hideMark/>
          </w:tcPr>
          <w:p w14:paraId="7C98768C"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0008CC2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24 Oct - 30 Oct</w:t>
            </w:r>
          </w:p>
        </w:tc>
        <w:tc>
          <w:tcPr>
            <w:tcW w:w="0" w:type="auto"/>
            <w:tcBorders>
              <w:top w:val="nil"/>
              <w:left w:val="nil"/>
              <w:bottom w:val="nil"/>
              <w:right w:val="nil"/>
            </w:tcBorders>
            <w:shd w:val="clear" w:color="auto" w:fill="auto"/>
            <w:noWrap/>
            <w:vAlign w:val="bottom"/>
            <w:hideMark/>
          </w:tcPr>
          <w:p w14:paraId="6C8DA2CD"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23 Oct - 29 Oct</w:t>
            </w:r>
          </w:p>
        </w:tc>
        <w:tc>
          <w:tcPr>
            <w:tcW w:w="1758" w:type="dxa"/>
            <w:tcBorders>
              <w:top w:val="nil"/>
              <w:left w:val="nil"/>
              <w:bottom w:val="nil"/>
              <w:right w:val="nil"/>
            </w:tcBorders>
            <w:shd w:val="clear" w:color="auto" w:fill="auto"/>
            <w:noWrap/>
            <w:vAlign w:val="bottom"/>
            <w:hideMark/>
          </w:tcPr>
          <w:p w14:paraId="10AB851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22 Oct - 28 Oct</w:t>
            </w:r>
          </w:p>
        </w:tc>
      </w:tr>
      <w:tr w:rsidR="00735D03" w:rsidRPr="00C7711F" w14:paraId="5F1282E8" w14:textId="77777777" w:rsidTr="00BF320C">
        <w:trPr>
          <w:trHeight w:val="300"/>
        </w:trPr>
        <w:tc>
          <w:tcPr>
            <w:tcW w:w="0" w:type="auto"/>
            <w:tcBorders>
              <w:top w:val="nil"/>
              <w:left w:val="nil"/>
              <w:bottom w:val="nil"/>
              <w:right w:val="nil"/>
            </w:tcBorders>
            <w:shd w:val="clear" w:color="auto" w:fill="auto"/>
            <w:noWrap/>
            <w:vAlign w:val="bottom"/>
            <w:hideMark/>
          </w:tcPr>
          <w:p w14:paraId="722F79B2"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Autumn 2</w:t>
            </w:r>
          </w:p>
        </w:tc>
        <w:tc>
          <w:tcPr>
            <w:tcW w:w="0" w:type="auto"/>
            <w:tcBorders>
              <w:top w:val="nil"/>
              <w:left w:val="nil"/>
              <w:bottom w:val="nil"/>
              <w:right w:val="nil"/>
            </w:tcBorders>
            <w:shd w:val="clear" w:color="auto" w:fill="auto"/>
            <w:noWrap/>
            <w:vAlign w:val="bottom"/>
            <w:hideMark/>
          </w:tcPr>
          <w:p w14:paraId="225CA82A"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 Nov - 21 Dec</w:t>
            </w:r>
          </w:p>
        </w:tc>
        <w:tc>
          <w:tcPr>
            <w:tcW w:w="0" w:type="auto"/>
            <w:tcBorders>
              <w:top w:val="nil"/>
              <w:left w:val="nil"/>
              <w:bottom w:val="nil"/>
              <w:right w:val="nil"/>
            </w:tcBorders>
            <w:shd w:val="clear" w:color="000000" w:fill="D9D9D9"/>
            <w:noWrap/>
            <w:vAlign w:val="bottom"/>
            <w:hideMark/>
          </w:tcPr>
          <w:p w14:paraId="57AC0888"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7DD028DD"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31 Oct - 18 Dec</w:t>
            </w:r>
          </w:p>
        </w:tc>
        <w:tc>
          <w:tcPr>
            <w:tcW w:w="0" w:type="auto"/>
            <w:tcBorders>
              <w:top w:val="nil"/>
              <w:left w:val="nil"/>
              <w:bottom w:val="nil"/>
              <w:right w:val="nil"/>
            </w:tcBorders>
            <w:shd w:val="clear" w:color="auto" w:fill="auto"/>
            <w:noWrap/>
            <w:vAlign w:val="bottom"/>
            <w:hideMark/>
          </w:tcPr>
          <w:p w14:paraId="35BC8FDC"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30 Oct - 17 Dec</w:t>
            </w:r>
          </w:p>
        </w:tc>
        <w:tc>
          <w:tcPr>
            <w:tcW w:w="1758" w:type="dxa"/>
            <w:tcBorders>
              <w:top w:val="nil"/>
              <w:left w:val="nil"/>
              <w:bottom w:val="nil"/>
              <w:right w:val="nil"/>
            </w:tcBorders>
            <w:shd w:val="clear" w:color="auto" w:fill="auto"/>
            <w:noWrap/>
            <w:vAlign w:val="bottom"/>
            <w:hideMark/>
          </w:tcPr>
          <w:p w14:paraId="1DE7C237"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29 Oct - 16 Dec</w:t>
            </w:r>
          </w:p>
        </w:tc>
      </w:tr>
      <w:tr w:rsidR="00735D03" w:rsidRPr="00C7711F" w14:paraId="134685F0" w14:textId="77777777" w:rsidTr="00BF320C">
        <w:trPr>
          <w:trHeight w:val="300"/>
        </w:trPr>
        <w:tc>
          <w:tcPr>
            <w:tcW w:w="0" w:type="auto"/>
            <w:tcBorders>
              <w:top w:val="nil"/>
              <w:left w:val="nil"/>
              <w:bottom w:val="nil"/>
              <w:right w:val="nil"/>
            </w:tcBorders>
            <w:shd w:val="clear" w:color="auto" w:fill="auto"/>
            <w:noWrap/>
            <w:vAlign w:val="bottom"/>
            <w:hideMark/>
          </w:tcPr>
          <w:p w14:paraId="6434F0B2"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Christmas</w:t>
            </w:r>
          </w:p>
        </w:tc>
        <w:tc>
          <w:tcPr>
            <w:tcW w:w="0" w:type="auto"/>
            <w:tcBorders>
              <w:top w:val="nil"/>
              <w:left w:val="nil"/>
              <w:bottom w:val="nil"/>
              <w:right w:val="nil"/>
            </w:tcBorders>
            <w:shd w:val="clear" w:color="auto" w:fill="auto"/>
            <w:noWrap/>
            <w:vAlign w:val="bottom"/>
            <w:hideMark/>
          </w:tcPr>
          <w:p w14:paraId="5E02C48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22 Dec - 4 Jan</w:t>
            </w:r>
          </w:p>
        </w:tc>
        <w:tc>
          <w:tcPr>
            <w:tcW w:w="0" w:type="auto"/>
            <w:tcBorders>
              <w:top w:val="nil"/>
              <w:left w:val="nil"/>
              <w:bottom w:val="nil"/>
              <w:right w:val="nil"/>
            </w:tcBorders>
            <w:shd w:val="clear" w:color="000000" w:fill="D9D9D9"/>
            <w:noWrap/>
            <w:vAlign w:val="bottom"/>
            <w:hideMark/>
          </w:tcPr>
          <w:p w14:paraId="2B39CC5A"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63616EB6"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19 Dec - 8 Jan</w:t>
            </w:r>
          </w:p>
        </w:tc>
        <w:tc>
          <w:tcPr>
            <w:tcW w:w="0" w:type="auto"/>
            <w:tcBorders>
              <w:top w:val="nil"/>
              <w:left w:val="nil"/>
              <w:bottom w:val="nil"/>
              <w:right w:val="nil"/>
            </w:tcBorders>
            <w:shd w:val="clear" w:color="auto" w:fill="auto"/>
            <w:noWrap/>
            <w:vAlign w:val="bottom"/>
            <w:hideMark/>
          </w:tcPr>
          <w:p w14:paraId="2BE12A0A"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18 Dec - 7 Jan</w:t>
            </w:r>
          </w:p>
        </w:tc>
        <w:tc>
          <w:tcPr>
            <w:tcW w:w="1758" w:type="dxa"/>
            <w:tcBorders>
              <w:top w:val="nil"/>
              <w:left w:val="nil"/>
              <w:bottom w:val="nil"/>
              <w:right w:val="nil"/>
            </w:tcBorders>
            <w:shd w:val="clear" w:color="auto" w:fill="auto"/>
            <w:noWrap/>
            <w:vAlign w:val="bottom"/>
            <w:hideMark/>
          </w:tcPr>
          <w:p w14:paraId="7816870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17 Dec - Jan 6</w:t>
            </w:r>
          </w:p>
        </w:tc>
      </w:tr>
      <w:tr w:rsidR="00735D03" w:rsidRPr="00C7711F" w14:paraId="3B8554DF" w14:textId="77777777" w:rsidTr="00BF320C">
        <w:trPr>
          <w:trHeight w:val="300"/>
        </w:trPr>
        <w:tc>
          <w:tcPr>
            <w:tcW w:w="0" w:type="auto"/>
            <w:tcBorders>
              <w:top w:val="nil"/>
              <w:left w:val="nil"/>
              <w:bottom w:val="nil"/>
              <w:right w:val="nil"/>
            </w:tcBorders>
            <w:shd w:val="clear" w:color="auto" w:fill="auto"/>
            <w:noWrap/>
            <w:vAlign w:val="bottom"/>
            <w:hideMark/>
          </w:tcPr>
          <w:p w14:paraId="138D07CE"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Spring 1</w:t>
            </w:r>
          </w:p>
        </w:tc>
        <w:tc>
          <w:tcPr>
            <w:tcW w:w="0" w:type="auto"/>
            <w:tcBorders>
              <w:top w:val="nil"/>
              <w:left w:val="nil"/>
              <w:bottom w:val="nil"/>
              <w:right w:val="nil"/>
            </w:tcBorders>
            <w:shd w:val="clear" w:color="auto" w:fill="auto"/>
            <w:noWrap/>
            <w:vAlign w:val="bottom"/>
            <w:hideMark/>
          </w:tcPr>
          <w:p w14:paraId="2471257B"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5 Jan - 15 Feb</w:t>
            </w:r>
          </w:p>
        </w:tc>
        <w:tc>
          <w:tcPr>
            <w:tcW w:w="0" w:type="auto"/>
            <w:tcBorders>
              <w:top w:val="nil"/>
              <w:left w:val="nil"/>
              <w:bottom w:val="nil"/>
              <w:right w:val="nil"/>
            </w:tcBorders>
            <w:shd w:val="clear" w:color="000000" w:fill="D9D9D9"/>
            <w:noWrap/>
            <w:vAlign w:val="bottom"/>
            <w:hideMark/>
          </w:tcPr>
          <w:p w14:paraId="23B7A9A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57F3B6C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9 Jan - 12 Feb</w:t>
            </w:r>
          </w:p>
        </w:tc>
        <w:tc>
          <w:tcPr>
            <w:tcW w:w="0" w:type="auto"/>
            <w:tcBorders>
              <w:top w:val="nil"/>
              <w:left w:val="nil"/>
              <w:bottom w:val="nil"/>
              <w:right w:val="nil"/>
            </w:tcBorders>
            <w:shd w:val="clear" w:color="auto" w:fill="auto"/>
            <w:noWrap/>
            <w:vAlign w:val="bottom"/>
            <w:hideMark/>
          </w:tcPr>
          <w:p w14:paraId="3BB7744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8 Jan - 11 Feb</w:t>
            </w:r>
          </w:p>
        </w:tc>
        <w:tc>
          <w:tcPr>
            <w:tcW w:w="1758" w:type="dxa"/>
            <w:tcBorders>
              <w:top w:val="nil"/>
              <w:left w:val="nil"/>
              <w:bottom w:val="nil"/>
              <w:right w:val="nil"/>
            </w:tcBorders>
            <w:shd w:val="clear" w:color="auto" w:fill="auto"/>
            <w:noWrap/>
            <w:vAlign w:val="bottom"/>
            <w:hideMark/>
          </w:tcPr>
          <w:p w14:paraId="07F4203C"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Jan 7 - Jan 14</w:t>
            </w:r>
          </w:p>
        </w:tc>
      </w:tr>
      <w:tr w:rsidR="00735D03" w:rsidRPr="00C7711F" w14:paraId="4BEA9E46" w14:textId="77777777" w:rsidTr="00BF320C">
        <w:trPr>
          <w:trHeight w:val="300"/>
        </w:trPr>
        <w:tc>
          <w:tcPr>
            <w:tcW w:w="0" w:type="auto"/>
            <w:tcBorders>
              <w:top w:val="nil"/>
              <w:left w:val="nil"/>
              <w:bottom w:val="nil"/>
              <w:right w:val="nil"/>
            </w:tcBorders>
            <w:shd w:val="clear" w:color="auto" w:fill="auto"/>
            <w:noWrap/>
            <w:vAlign w:val="bottom"/>
            <w:hideMark/>
          </w:tcPr>
          <w:p w14:paraId="0515B5E6"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Spring HT</w:t>
            </w:r>
          </w:p>
        </w:tc>
        <w:tc>
          <w:tcPr>
            <w:tcW w:w="0" w:type="auto"/>
            <w:tcBorders>
              <w:top w:val="nil"/>
              <w:left w:val="nil"/>
              <w:bottom w:val="nil"/>
              <w:right w:val="nil"/>
            </w:tcBorders>
            <w:shd w:val="clear" w:color="auto" w:fill="auto"/>
            <w:noWrap/>
            <w:vAlign w:val="bottom"/>
            <w:hideMark/>
          </w:tcPr>
          <w:p w14:paraId="2CEFE597"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16 Feb - 22 Feb</w:t>
            </w:r>
          </w:p>
        </w:tc>
        <w:tc>
          <w:tcPr>
            <w:tcW w:w="0" w:type="auto"/>
            <w:tcBorders>
              <w:top w:val="nil"/>
              <w:left w:val="nil"/>
              <w:bottom w:val="nil"/>
              <w:right w:val="nil"/>
            </w:tcBorders>
            <w:shd w:val="clear" w:color="000000" w:fill="D9D9D9"/>
            <w:noWrap/>
            <w:vAlign w:val="bottom"/>
            <w:hideMark/>
          </w:tcPr>
          <w:p w14:paraId="0A478BB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75C7348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13 Feb - 19 Feb</w:t>
            </w:r>
          </w:p>
        </w:tc>
        <w:tc>
          <w:tcPr>
            <w:tcW w:w="0" w:type="auto"/>
            <w:tcBorders>
              <w:top w:val="nil"/>
              <w:left w:val="nil"/>
              <w:bottom w:val="nil"/>
              <w:right w:val="nil"/>
            </w:tcBorders>
            <w:shd w:val="clear" w:color="auto" w:fill="auto"/>
            <w:noWrap/>
            <w:vAlign w:val="bottom"/>
            <w:hideMark/>
          </w:tcPr>
          <w:p w14:paraId="76382651"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12 Feb - 18 Feb</w:t>
            </w:r>
          </w:p>
        </w:tc>
        <w:tc>
          <w:tcPr>
            <w:tcW w:w="1758" w:type="dxa"/>
            <w:tcBorders>
              <w:top w:val="nil"/>
              <w:left w:val="nil"/>
              <w:bottom w:val="nil"/>
              <w:right w:val="nil"/>
            </w:tcBorders>
            <w:shd w:val="clear" w:color="000000" w:fill="D9D9D9"/>
            <w:noWrap/>
            <w:vAlign w:val="bottom"/>
            <w:hideMark/>
          </w:tcPr>
          <w:p w14:paraId="6322DFA5"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r>
      <w:tr w:rsidR="00735D03" w:rsidRPr="00C7711F" w14:paraId="2B59FE60" w14:textId="77777777" w:rsidTr="00BF320C">
        <w:trPr>
          <w:trHeight w:val="300"/>
        </w:trPr>
        <w:tc>
          <w:tcPr>
            <w:tcW w:w="0" w:type="auto"/>
            <w:tcBorders>
              <w:top w:val="nil"/>
              <w:left w:val="nil"/>
              <w:bottom w:val="nil"/>
              <w:right w:val="nil"/>
            </w:tcBorders>
            <w:shd w:val="clear" w:color="auto" w:fill="auto"/>
            <w:noWrap/>
            <w:vAlign w:val="bottom"/>
            <w:hideMark/>
          </w:tcPr>
          <w:p w14:paraId="02C6BB66"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Spring 2</w:t>
            </w:r>
          </w:p>
        </w:tc>
        <w:tc>
          <w:tcPr>
            <w:tcW w:w="0" w:type="auto"/>
            <w:tcBorders>
              <w:top w:val="nil"/>
              <w:left w:val="nil"/>
              <w:bottom w:val="nil"/>
              <w:right w:val="nil"/>
            </w:tcBorders>
            <w:shd w:val="clear" w:color="auto" w:fill="auto"/>
            <w:noWrap/>
            <w:vAlign w:val="bottom"/>
            <w:hideMark/>
          </w:tcPr>
          <w:p w14:paraId="1D0FF4F9"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23 Feb - 22 Mar</w:t>
            </w:r>
          </w:p>
        </w:tc>
        <w:tc>
          <w:tcPr>
            <w:tcW w:w="0" w:type="auto"/>
            <w:tcBorders>
              <w:top w:val="nil"/>
              <w:left w:val="nil"/>
              <w:bottom w:val="nil"/>
              <w:right w:val="nil"/>
            </w:tcBorders>
            <w:shd w:val="clear" w:color="000000" w:fill="D9D9D9"/>
            <w:noWrap/>
            <w:vAlign w:val="bottom"/>
            <w:hideMark/>
          </w:tcPr>
          <w:p w14:paraId="0835C1CA"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115817E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20 Feb - 2 Apr</w:t>
            </w:r>
          </w:p>
        </w:tc>
        <w:tc>
          <w:tcPr>
            <w:tcW w:w="0" w:type="auto"/>
            <w:tcBorders>
              <w:top w:val="nil"/>
              <w:left w:val="nil"/>
              <w:bottom w:val="nil"/>
              <w:right w:val="nil"/>
            </w:tcBorders>
            <w:shd w:val="clear" w:color="auto" w:fill="auto"/>
            <w:noWrap/>
            <w:vAlign w:val="bottom"/>
            <w:hideMark/>
          </w:tcPr>
          <w:p w14:paraId="7B990719"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19 Feb - 1 Apr</w:t>
            </w:r>
          </w:p>
        </w:tc>
        <w:tc>
          <w:tcPr>
            <w:tcW w:w="1758" w:type="dxa"/>
            <w:tcBorders>
              <w:top w:val="nil"/>
              <w:left w:val="nil"/>
              <w:bottom w:val="nil"/>
              <w:right w:val="nil"/>
            </w:tcBorders>
            <w:shd w:val="clear" w:color="000000" w:fill="D9D9D9"/>
            <w:noWrap/>
            <w:vAlign w:val="bottom"/>
            <w:hideMark/>
          </w:tcPr>
          <w:p w14:paraId="38B24DA8"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r>
      <w:tr w:rsidR="00735D03" w:rsidRPr="00C7711F" w14:paraId="778E794F" w14:textId="77777777" w:rsidTr="00BF320C">
        <w:trPr>
          <w:trHeight w:val="300"/>
        </w:trPr>
        <w:tc>
          <w:tcPr>
            <w:tcW w:w="0" w:type="auto"/>
            <w:tcBorders>
              <w:top w:val="nil"/>
              <w:left w:val="nil"/>
              <w:bottom w:val="nil"/>
              <w:right w:val="nil"/>
            </w:tcBorders>
            <w:shd w:val="clear" w:color="auto" w:fill="auto"/>
            <w:noWrap/>
            <w:vAlign w:val="bottom"/>
            <w:hideMark/>
          </w:tcPr>
          <w:p w14:paraId="36806245"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Easter</w:t>
            </w:r>
          </w:p>
        </w:tc>
        <w:tc>
          <w:tcPr>
            <w:tcW w:w="0" w:type="auto"/>
            <w:tcBorders>
              <w:top w:val="nil"/>
              <w:left w:val="nil"/>
              <w:bottom w:val="nil"/>
              <w:right w:val="nil"/>
            </w:tcBorders>
            <w:shd w:val="clear" w:color="auto" w:fill="auto"/>
            <w:noWrap/>
            <w:vAlign w:val="bottom"/>
            <w:hideMark/>
          </w:tcPr>
          <w:p w14:paraId="7646D026"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23 Mar - 12 Apr</w:t>
            </w:r>
          </w:p>
        </w:tc>
        <w:tc>
          <w:tcPr>
            <w:tcW w:w="0" w:type="auto"/>
            <w:tcBorders>
              <w:top w:val="nil"/>
              <w:left w:val="nil"/>
              <w:bottom w:val="nil"/>
              <w:right w:val="nil"/>
            </w:tcBorders>
            <w:shd w:val="clear" w:color="000000" w:fill="D9D9D9"/>
            <w:noWrap/>
            <w:vAlign w:val="bottom"/>
            <w:hideMark/>
          </w:tcPr>
          <w:p w14:paraId="15AC2EE7"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09901961"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3 Apr - 16 Apr</w:t>
            </w:r>
          </w:p>
        </w:tc>
        <w:tc>
          <w:tcPr>
            <w:tcW w:w="0" w:type="auto"/>
            <w:tcBorders>
              <w:top w:val="nil"/>
              <w:left w:val="nil"/>
              <w:bottom w:val="nil"/>
              <w:right w:val="nil"/>
            </w:tcBorders>
            <w:shd w:val="clear" w:color="auto" w:fill="auto"/>
            <w:noWrap/>
            <w:vAlign w:val="bottom"/>
            <w:hideMark/>
          </w:tcPr>
          <w:p w14:paraId="782A6052"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 Apr - 15 Apr</w:t>
            </w:r>
          </w:p>
        </w:tc>
        <w:tc>
          <w:tcPr>
            <w:tcW w:w="1758" w:type="dxa"/>
            <w:tcBorders>
              <w:top w:val="nil"/>
              <w:left w:val="nil"/>
              <w:bottom w:val="nil"/>
              <w:right w:val="nil"/>
            </w:tcBorders>
            <w:shd w:val="clear" w:color="000000" w:fill="D9D9D9"/>
            <w:noWrap/>
            <w:vAlign w:val="bottom"/>
            <w:hideMark/>
          </w:tcPr>
          <w:p w14:paraId="0CBE31F0"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r>
      <w:tr w:rsidR="00735D03" w:rsidRPr="00C7711F" w14:paraId="287EF111" w14:textId="77777777" w:rsidTr="00BF320C">
        <w:trPr>
          <w:trHeight w:val="300"/>
        </w:trPr>
        <w:tc>
          <w:tcPr>
            <w:tcW w:w="0" w:type="auto"/>
            <w:tcBorders>
              <w:top w:val="nil"/>
              <w:left w:val="nil"/>
              <w:bottom w:val="nil"/>
              <w:right w:val="nil"/>
            </w:tcBorders>
            <w:shd w:val="clear" w:color="auto" w:fill="auto"/>
            <w:noWrap/>
            <w:vAlign w:val="bottom"/>
            <w:hideMark/>
          </w:tcPr>
          <w:p w14:paraId="2FD0C396"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Summer 1</w:t>
            </w:r>
          </w:p>
        </w:tc>
        <w:tc>
          <w:tcPr>
            <w:tcW w:w="0" w:type="auto"/>
            <w:tcBorders>
              <w:top w:val="nil"/>
              <w:left w:val="nil"/>
              <w:bottom w:val="nil"/>
              <w:right w:val="nil"/>
            </w:tcBorders>
            <w:shd w:val="clear" w:color="auto" w:fill="auto"/>
            <w:noWrap/>
            <w:vAlign w:val="bottom"/>
            <w:hideMark/>
          </w:tcPr>
          <w:p w14:paraId="76EC1CF1"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13 Apr - 15 Apr</w:t>
            </w:r>
          </w:p>
        </w:tc>
        <w:tc>
          <w:tcPr>
            <w:tcW w:w="0" w:type="auto"/>
            <w:tcBorders>
              <w:top w:val="nil"/>
              <w:left w:val="nil"/>
              <w:bottom w:val="nil"/>
              <w:right w:val="nil"/>
            </w:tcBorders>
            <w:shd w:val="clear" w:color="000000" w:fill="D9D9D9"/>
            <w:noWrap/>
            <w:vAlign w:val="bottom"/>
            <w:hideMark/>
          </w:tcPr>
          <w:p w14:paraId="5B1F4661"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59DBE8C1"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Apr 17 - 28 May</w:t>
            </w:r>
          </w:p>
        </w:tc>
        <w:tc>
          <w:tcPr>
            <w:tcW w:w="0" w:type="auto"/>
            <w:tcBorders>
              <w:top w:val="nil"/>
              <w:left w:val="nil"/>
              <w:bottom w:val="nil"/>
              <w:right w:val="nil"/>
            </w:tcBorders>
            <w:shd w:val="clear" w:color="auto" w:fill="auto"/>
            <w:noWrap/>
            <w:vAlign w:val="bottom"/>
            <w:hideMark/>
          </w:tcPr>
          <w:p w14:paraId="647D1512"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16 Apr - 27 May</w:t>
            </w:r>
          </w:p>
        </w:tc>
        <w:tc>
          <w:tcPr>
            <w:tcW w:w="1758" w:type="dxa"/>
            <w:tcBorders>
              <w:top w:val="nil"/>
              <w:left w:val="nil"/>
              <w:bottom w:val="nil"/>
              <w:right w:val="nil"/>
            </w:tcBorders>
            <w:shd w:val="clear" w:color="000000" w:fill="D9D9D9"/>
            <w:noWrap/>
            <w:vAlign w:val="bottom"/>
            <w:hideMark/>
          </w:tcPr>
          <w:p w14:paraId="2D9E2F07"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r>
      <w:tr w:rsidR="00735D03" w:rsidRPr="00C7711F" w14:paraId="3286C5DA" w14:textId="77777777" w:rsidTr="00BF320C">
        <w:trPr>
          <w:trHeight w:val="300"/>
        </w:trPr>
        <w:tc>
          <w:tcPr>
            <w:tcW w:w="0" w:type="auto"/>
            <w:tcBorders>
              <w:top w:val="nil"/>
              <w:left w:val="nil"/>
              <w:bottom w:val="nil"/>
              <w:right w:val="nil"/>
            </w:tcBorders>
            <w:shd w:val="clear" w:color="auto" w:fill="auto"/>
            <w:noWrap/>
            <w:vAlign w:val="bottom"/>
            <w:hideMark/>
          </w:tcPr>
          <w:p w14:paraId="28F2E4A1"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Summer HT</w:t>
            </w:r>
          </w:p>
        </w:tc>
        <w:tc>
          <w:tcPr>
            <w:tcW w:w="0" w:type="auto"/>
            <w:tcBorders>
              <w:top w:val="nil"/>
              <w:left w:val="nil"/>
              <w:bottom w:val="nil"/>
              <w:right w:val="nil"/>
            </w:tcBorders>
            <w:shd w:val="clear" w:color="000000" w:fill="D9D9D9"/>
            <w:noWrap/>
            <w:vAlign w:val="bottom"/>
            <w:hideMark/>
          </w:tcPr>
          <w:p w14:paraId="0939CAF6"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000000" w:fill="D9D9D9"/>
            <w:noWrap/>
            <w:vAlign w:val="bottom"/>
            <w:hideMark/>
          </w:tcPr>
          <w:p w14:paraId="092BE40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73D6F3BF"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29 May - 4 Jun</w:t>
            </w:r>
          </w:p>
        </w:tc>
        <w:tc>
          <w:tcPr>
            <w:tcW w:w="0" w:type="auto"/>
            <w:tcBorders>
              <w:top w:val="nil"/>
              <w:left w:val="nil"/>
              <w:bottom w:val="nil"/>
              <w:right w:val="nil"/>
            </w:tcBorders>
            <w:shd w:val="clear" w:color="auto" w:fill="auto"/>
            <w:noWrap/>
            <w:vAlign w:val="bottom"/>
            <w:hideMark/>
          </w:tcPr>
          <w:p w14:paraId="1851CA1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28 May - 3 Jun</w:t>
            </w:r>
          </w:p>
        </w:tc>
        <w:tc>
          <w:tcPr>
            <w:tcW w:w="1758" w:type="dxa"/>
            <w:tcBorders>
              <w:top w:val="nil"/>
              <w:left w:val="nil"/>
              <w:bottom w:val="nil"/>
              <w:right w:val="nil"/>
            </w:tcBorders>
            <w:shd w:val="clear" w:color="000000" w:fill="D9D9D9"/>
            <w:noWrap/>
            <w:vAlign w:val="bottom"/>
            <w:hideMark/>
          </w:tcPr>
          <w:p w14:paraId="14C3B1C0"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r>
      <w:tr w:rsidR="00735D03" w:rsidRPr="00C7711F" w14:paraId="05DBF58D" w14:textId="77777777" w:rsidTr="00BF320C">
        <w:trPr>
          <w:trHeight w:val="300"/>
        </w:trPr>
        <w:tc>
          <w:tcPr>
            <w:tcW w:w="0" w:type="auto"/>
            <w:tcBorders>
              <w:top w:val="nil"/>
              <w:left w:val="nil"/>
              <w:bottom w:val="nil"/>
              <w:right w:val="nil"/>
            </w:tcBorders>
            <w:shd w:val="clear" w:color="auto" w:fill="auto"/>
            <w:noWrap/>
            <w:vAlign w:val="bottom"/>
            <w:hideMark/>
          </w:tcPr>
          <w:p w14:paraId="77611163"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Summer 2</w:t>
            </w:r>
          </w:p>
        </w:tc>
        <w:tc>
          <w:tcPr>
            <w:tcW w:w="0" w:type="auto"/>
            <w:tcBorders>
              <w:top w:val="nil"/>
              <w:left w:val="nil"/>
              <w:bottom w:val="nil"/>
              <w:right w:val="nil"/>
            </w:tcBorders>
            <w:shd w:val="clear" w:color="000000" w:fill="D9D9D9"/>
            <w:noWrap/>
            <w:vAlign w:val="bottom"/>
            <w:hideMark/>
          </w:tcPr>
          <w:p w14:paraId="61E4F0F5"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nil"/>
              <w:right w:val="nil"/>
            </w:tcBorders>
            <w:shd w:val="clear" w:color="auto" w:fill="auto"/>
            <w:noWrap/>
            <w:vAlign w:val="bottom"/>
            <w:hideMark/>
          </w:tcPr>
          <w:p w14:paraId="26FCD9B9"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11 Jul - 17 Jul</w:t>
            </w:r>
          </w:p>
        </w:tc>
        <w:tc>
          <w:tcPr>
            <w:tcW w:w="0" w:type="auto"/>
            <w:tcBorders>
              <w:top w:val="nil"/>
              <w:left w:val="nil"/>
              <w:bottom w:val="nil"/>
              <w:right w:val="nil"/>
            </w:tcBorders>
            <w:shd w:val="clear" w:color="auto" w:fill="auto"/>
            <w:noWrap/>
            <w:vAlign w:val="bottom"/>
            <w:hideMark/>
          </w:tcPr>
          <w:p w14:paraId="4D394534"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5 Jun - 23 Jul</w:t>
            </w:r>
          </w:p>
        </w:tc>
        <w:tc>
          <w:tcPr>
            <w:tcW w:w="0" w:type="auto"/>
            <w:tcBorders>
              <w:top w:val="nil"/>
              <w:left w:val="nil"/>
              <w:bottom w:val="nil"/>
              <w:right w:val="nil"/>
            </w:tcBorders>
            <w:shd w:val="clear" w:color="auto" w:fill="auto"/>
            <w:noWrap/>
            <w:vAlign w:val="bottom"/>
            <w:hideMark/>
          </w:tcPr>
          <w:p w14:paraId="2920C22B"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4 Jun -22 Jul</w:t>
            </w:r>
          </w:p>
        </w:tc>
        <w:tc>
          <w:tcPr>
            <w:tcW w:w="1758" w:type="dxa"/>
            <w:tcBorders>
              <w:top w:val="nil"/>
              <w:left w:val="nil"/>
              <w:bottom w:val="nil"/>
              <w:right w:val="nil"/>
            </w:tcBorders>
            <w:shd w:val="clear" w:color="000000" w:fill="D9D9D9"/>
            <w:noWrap/>
            <w:vAlign w:val="bottom"/>
            <w:hideMark/>
          </w:tcPr>
          <w:p w14:paraId="68C5C323"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r>
      <w:tr w:rsidR="00735D03" w:rsidRPr="00C7711F" w14:paraId="2DCDBB5E" w14:textId="77777777" w:rsidTr="00BF320C">
        <w:trPr>
          <w:trHeight w:val="300"/>
        </w:trPr>
        <w:tc>
          <w:tcPr>
            <w:tcW w:w="0" w:type="auto"/>
            <w:tcBorders>
              <w:top w:val="nil"/>
              <w:left w:val="nil"/>
              <w:bottom w:val="single" w:sz="4" w:space="0" w:color="auto"/>
              <w:right w:val="nil"/>
            </w:tcBorders>
            <w:shd w:val="clear" w:color="auto" w:fill="auto"/>
            <w:noWrap/>
            <w:vAlign w:val="bottom"/>
            <w:hideMark/>
          </w:tcPr>
          <w:p w14:paraId="6267E1E9" w14:textId="77777777" w:rsidR="00735D03" w:rsidRPr="00C7711F" w:rsidRDefault="00735D03" w:rsidP="00BF320C">
            <w:pPr>
              <w:spacing w:after="0" w:line="240" w:lineRule="auto"/>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Summer</w:t>
            </w:r>
          </w:p>
        </w:tc>
        <w:tc>
          <w:tcPr>
            <w:tcW w:w="0" w:type="auto"/>
            <w:tcBorders>
              <w:top w:val="nil"/>
              <w:left w:val="nil"/>
              <w:bottom w:val="single" w:sz="4" w:space="0" w:color="auto"/>
              <w:right w:val="nil"/>
            </w:tcBorders>
            <w:shd w:val="clear" w:color="000000" w:fill="D9D9D9"/>
            <w:noWrap/>
            <w:vAlign w:val="bottom"/>
            <w:hideMark/>
          </w:tcPr>
          <w:p w14:paraId="4652909E"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c>
          <w:tcPr>
            <w:tcW w:w="0" w:type="auto"/>
            <w:tcBorders>
              <w:top w:val="nil"/>
              <w:left w:val="nil"/>
              <w:bottom w:val="single" w:sz="4" w:space="0" w:color="auto"/>
              <w:right w:val="nil"/>
            </w:tcBorders>
            <w:shd w:val="clear" w:color="auto" w:fill="auto"/>
            <w:noWrap/>
            <w:vAlign w:val="bottom"/>
            <w:hideMark/>
          </w:tcPr>
          <w:p w14:paraId="6882E998"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18 Jul - 4 Sep</w:t>
            </w:r>
          </w:p>
        </w:tc>
        <w:tc>
          <w:tcPr>
            <w:tcW w:w="0" w:type="auto"/>
            <w:tcBorders>
              <w:top w:val="nil"/>
              <w:left w:val="nil"/>
              <w:bottom w:val="single" w:sz="4" w:space="0" w:color="auto"/>
              <w:right w:val="nil"/>
            </w:tcBorders>
            <w:shd w:val="clear" w:color="auto" w:fill="auto"/>
            <w:noWrap/>
            <w:vAlign w:val="bottom"/>
            <w:hideMark/>
          </w:tcPr>
          <w:p w14:paraId="01485127"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24 Jul - 3 Sep</w:t>
            </w:r>
          </w:p>
        </w:tc>
        <w:tc>
          <w:tcPr>
            <w:tcW w:w="0" w:type="auto"/>
            <w:tcBorders>
              <w:top w:val="nil"/>
              <w:left w:val="nil"/>
              <w:bottom w:val="single" w:sz="4" w:space="0" w:color="auto"/>
              <w:right w:val="nil"/>
            </w:tcBorders>
            <w:shd w:val="clear" w:color="auto" w:fill="auto"/>
            <w:noWrap/>
            <w:vAlign w:val="bottom"/>
            <w:hideMark/>
          </w:tcPr>
          <w:p w14:paraId="4E5DEBFB"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23 Jul - 2 Sep</w:t>
            </w:r>
          </w:p>
        </w:tc>
        <w:tc>
          <w:tcPr>
            <w:tcW w:w="1758" w:type="dxa"/>
            <w:tcBorders>
              <w:top w:val="nil"/>
              <w:left w:val="nil"/>
              <w:bottom w:val="single" w:sz="4" w:space="0" w:color="auto"/>
              <w:right w:val="nil"/>
            </w:tcBorders>
            <w:shd w:val="clear" w:color="000000" w:fill="D9D9D9"/>
            <w:noWrap/>
            <w:vAlign w:val="bottom"/>
            <w:hideMark/>
          </w:tcPr>
          <w:p w14:paraId="0432D979" w14:textId="77777777" w:rsidR="00735D03" w:rsidRPr="00C7711F" w:rsidRDefault="00735D03" w:rsidP="00BF320C">
            <w:pPr>
              <w:spacing w:after="0" w:line="240" w:lineRule="auto"/>
              <w:jc w:val="center"/>
              <w:rPr>
                <w:rFonts w:ascii="Times New Roman" w:eastAsia="Times New Roman" w:hAnsi="Times New Roman" w:cs="Times New Roman"/>
                <w:color w:val="000000"/>
                <w:szCs w:val="24"/>
                <w:lang w:eastAsia="en-GB"/>
              </w:rPr>
            </w:pPr>
            <w:r w:rsidRPr="00C7711F">
              <w:rPr>
                <w:rFonts w:ascii="Times New Roman" w:eastAsia="Times New Roman" w:hAnsi="Times New Roman" w:cs="Times New Roman"/>
                <w:color w:val="000000"/>
                <w:szCs w:val="24"/>
                <w:lang w:eastAsia="en-GB"/>
              </w:rPr>
              <w:t>N/A</w:t>
            </w:r>
          </w:p>
        </w:tc>
      </w:tr>
    </w:tbl>
    <w:p w14:paraId="03757F9C" w14:textId="17DEEFD7" w:rsidR="005E2E61" w:rsidRDefault="005E2E61" w:rsidP="00697230">
      <w:pPr>
        <w:spacing w:line="360" w:lineRule="auto"/>
        <w:jc w:val="both"/>
        <w:rPr>
          <w:rFonts w:ascii="Times New Roman" w:hAnsi="Times New Roman" w:cs="Times New Roman"/>
          <w:sz w:val="24"/>
          <w:szCs w:val="24"/>
        </w:rPr>
      </w:pPr>
    </w:p>
    <w:p w14:paraId="5EA3D7FB" w14:textId="1AF1219A" w:rsidR="00E05EAC" w:rsidRDefault="00E05EAC" w:rsidP="00697230">
      <w:pPr>
        <w:spacing w:line="360" w:lineRule="auto"/>
        <w:jc w:val="both"/>
        <w:rPr>
          <w:rFonts w:ascii="Times New Roman" w:hAnsi="Times New Roman" w:cs="Times New Roman"/>
          <w:sz w:val="24"/>
          <w:szCs w:val="24"/>
        </w:rPr>
      </w:pPr>
    </w:p>
    <w:p w14:paraId="2FA2D548" w14:textId="48E5EF55" w:rsidR="00E05EAC" w:rsidRDefault="00E05EAC" w:rsidP="00697230">
      <w:pPr>
        <w:spacing w:line="360" w:lineRule="auto"/>
        <w:jc w:val="both"/>
        <w:rPr>
          <w:rFonts w:ascii="Times New Roman" w:hAnsi="Times New Roman" w:cs="Times New Roman"/>
          <w:sz w:val="24"/>
          <w:szCs w:val="24"/>
        </w:rPr>
      </w:pPr>
    </w:p>
    <w:p w14:paraId="381B68F8" w14:textId="7AFAEA2A" w:rsidR="00E05EAC" w:rsidRDefault="00E05EAC" w:rsidP="00697230">
      <w:pPr>
        <w:spacing w:line="360" w:lineRule="auto"/>
        <w:jc w:val="both"/>
        <w:rPr>
          <w:rFonts w:ascii="Times New Roman" w:hAnsi="Times New Roman" w:cs="Times New Roman"/>
          <w:sz w:val="24"/>
          <w:szCs w:val="24"/>
        </w:rPr>
      </w:pPr>
    </w:p>
    <w:p w14:paraId="06F63C3B" w14:textId="3D794A29" w:rsidR="00E05EAC" w:rsidRDefault="00E05EAC" w:rsidP="00697230">
      <w:pPr>
        <w:spacing w:line="360" w:lineRule="auto"/>
        <w:jc w:val="both"/>
        <w:rPr>
          <w:rFonts w:ascii="Times New Roman" w:hAnsi="Times New Roman" w:cs="Times New Roman"/>
          <w:sz w:val="24"/>
          <w:szCs w:val="24"/>
        </w:rPr>
      </w:pPr>
    </w:p>
    <w:p w14:paraId="711ED75D" w14:textId="1A0E35CD" w:rsidR="00E05EAC" w:rsidRDefault="00E05EAC" w:rsidP="00697230">
      <w:pPr>
        <w:spacing w:line="360" w:lineRule="auto"/>
        <w:jc w:val="both"/>
        <w:rPr>
          <w:rFonts w:ascii="Times New Roman" w:hAnsi="Times New Roman" w:cs="Times New Roman"/>
          <w:sz w:val="24"/>
          <w:szCs w:val="24"/>
        </w:rPr>
      </w:pPr>
    </w:p>
    <w:p w14:paraId="2E32ACF3" w14:textId="44917459" w:rsidR="00E05EAC" w:rsidRDefault="00E05EAC" w:rsidP="00697230">
      <w:pPr>
        <w:spacing w:line="360" w:lineRule="auto"/>
        <w:jc w:val="both"/>
        <w:rPr>
          <w:rFonts w:ascii="Times New Roman" w:hAnsi="Times New Roman" w:cs="Times New Roman"/>
          <w:sz w:val="24"/>
          <w:szCs w:val="24"/>
        </w:rPr>
      </w:pPr>
    </w:p>
    <w:p w14:paraId="1B294616" w14:textId="2BF75A57" w:rsidR="00E05EAC" w:rsidRDefault="00E05EAC" w:rsidP="00697230">
      <w:pPr>
        <w:spacing w:line="360" w:lineRule="auto"/>
        <w:jc w:val="both"/>
        <w:rPr>
          <w:rFonts w:ascii="Times New Roman" w:hAnsi="Times New Roman" w:cs="Times New Roman"/>
          <w:sz w:val="24"/>
          <w:szCs w:val="24"/>
        </w:rPr>
      </w:pPr>
    </w:p>
    <w:p w14:paraId="4B519140" w14:textId="57CAAB78" w:rsidR="00E05EAC" w:rsidRDefault="00E05EAC" w:rsidP="00697230">
      <w:pPr>
        <w:spacing w:line="360" w:lineRule="auto"/>
        <w:jc w:val="both"/>
        <w:rPr>
          <w:rFonts w:ascii="Times New Roman" w:hAnsi="Times New Roman" w:cs="Times New Roman"/>
          <w:sz w:val="24"/>
          <w:szCs w:val="24"/>
        </w:rPr>
      </w:pPr>
    </w:p>
    <w:p w14:paraId="1521121B" w14:textId="4B0C0128" w:rsidR="00E05EAC" w:rsidRPr="00E05EAC" w:rsidRDefault="00E05EAC" w:rsidP="00E05EAC">
      <w:pPr>
        <w:spacing w:line="360" w:lineRule="auto"/>
        <w:jc w:val="center"/>
        <w:rPr>
          <w:rFonts w:ascii="Times New Roman" w:hAnsi="Times New Roman" w:cs="Times New Roman"/>
          <w:b/>
          <w:sz w:val="24"/>
          <w:szCs w:val="24"/>
        </w:rPr>
      </w:pPr>
      <w:r w:rsidRPr="00E05EAC">
        <w:rPr>
          <w:rFonts w:ascii="Times New Roman" w:hAnsi="Times New Roman" w:cs="Times New Roman"/>
          <w:b/>
          <w:sz w:val="24"/>
          <w:szCs w:val="24"/>
        </w:rPr>
        <w:lastRenderedPageBreak/>
        <w:t>Appendix B Key for Figure</w:t>
      </w:r>
      <w:r>
        <w:rPr>
          <w:rFonts w:ascii="Times New Roman" w:hAnsi="Times New Roman" w:cs="Times New Roman"/>
          <w:b/>
          <w:sz w:val="24"/>
          <w:szCs w:val="24"/>
        </w:rPr>
        <w:t xml:space="preserve"> 11.1</w:t>
      </w:r>
      <w:r w:rsidR="0033549A">
        <w:rPr>
          <w:rFonts w:ascii="Times New Roman" w:hAnsi="Times New Roman" w:cs="Times New Roman"/>
          <w:b/>
          <w:sz w:val="24"/>
          <w:szCs w:val="24"/>
        </w:rPr>
        <w:t xml:space="preserve"> and the distribution of SMT use of test</w:t>
      </w:r>
      <w:r w:rsidR="00FE5D0E">
        <w:rPr>
          <w:rFonts w:ascii="Times New Roman" w:hAnsi="Times New Roman" w:cs="Times New Roman"/>
          <w:b/>
          <w:sz w:val="24"/>
          <w:szCs w:val="24"/>
        </w:rPr>
        <w:t>-</w:t>
      </w:r>
      <w:r w:rsidR="0033549A">
        <w:rPr>
          <w:rFonts w:ascii="Times New Roman" w:hAnsi="Times New Roman" w:cs="Times New Roman"/>
          <w:b/>
          <w:sz w:val="24"/>
          <w:szCs w:val="24"/>
        </w:rPr>
        <w:t>score data regularly in appraisals across countries</w:t>
      </w:r>
    </w:p>
    <w:tbl>
      <w:tblPr>
        <w:tblW w:w="5820" w:type="dxa"/>
        <w:jc w:val="center"/>
        <w:tblLook w:val="04A0" w:firstRow="1" w:lastRow="0" w:firstColumn="1" w:lastColumn="0" w:noHBand="0" w:noVBand="1"/>
      </w:tblPr>
      <w:tblGrid>
        <w:gridCol w:w="2320"/>
        <w:gridCol w:w="960"/>
        <w:gridCol w:w="2540"/>
      </w:tblGrid>
      <w:tr w:rsidR="009907FE" w:rsidRPr="009907FE" w14:paraId="66E7ABAB" w14:textId="77777777" w:rsidTr="0033549A">
        <w:trPr>
          <w:trHeight w:val="570"/>
          <w:jc w:val="center"/>
        </w:trPr>
        <w:tc>
          <w:tcPr>
            <w:tcW w:w="2320" w:type="dxa"/>
            <w:tcBorders>
              <w:top w:val="single" w:sz="4" w:space="0" w:color="auto"/>
              <w:left w:val="nil"/>
              <w:bottom w:val="single" w:sz="4" w:space="0" w:color="auto"/>
              <w:right w:val="nil"/>
            </w:tcBorders>
            <w:shd w:val="clear" w:color="000000" w:fill="B4C6E7"/>
            <w:noWrap/>
            <w:vAlign w:val="center"/>
            <w:hideMark/>
          </w:tcPr>
          <w:p w14:paraId="7788E36D" w14:textId="77777777" w:rsidR="009907FE" w:rsidRPr="009907FE" w:rsidRDefault="009907FE" w:rsidP="009907FE">
            <w:pPr>
              <w:spacing w:after="0" w:line="240" w:lineRule="auto"/>
              <w:rPr>
                <w:rFonts w:ascii="Times New Roman" w:eastAsia="Times New Roman" w:hAnsi="Times New Roman" w:cs="Times New Roman"/>
                <w:b/>
                <w:bCs/>
                <w:color w:val="000000"/>
                <w:lang w:eastAsia="en-GB"/>
              </w:rPr>
            </w:pPr>
            <w:r w:rsidRPr="009907FE">
              <w:rPr>
                <w:rFonts w:ascii="Times New Roman" w:eastAsia="Times New Roman" w:hAnsi="Times New Roman" w:cs="Times New Roman"/>
                <w:b/>
                <w:bCs/>
                <w:color w:val="000000"/>
                <w:lang w:eastAsia="en-GB"/>
              </w:rPr>
              <w:t>Country</w:t>
            </w:r>
          </w:p>
        </w:tc>
        <w:tc>
          <w:tcPr>
            <w:tcW w:w="960" w:type="dxa"/>
            <w:tcBorders>
              <w:top w:val="single" w:sz="4" w:space="0" w:color="auto"/>
              <w:left w:val="nil"/>
              <w:bottom w:val="single" w:sz="4" w:space="0" w:color="auto"/>
              <w:right w:val="nil"/>
            </w:tcBorders>
            <w:shd w:val="clear" w:color="000000" w:fill="B4C6E7"/>
            <w:noWrap/>
            <w:vAlign w:val="center"/>
            <w:hideMark/>
          </w:tcPr>
          <w:p w14:paraId="5989B4BF" w14:textId="77777777" w:rsidR="009907FE" w:rsidRPr="009907FE" w:rsidRDefault="009907FE" w:rsidP="009907FE">
            <w:pPr>
              <w:spacing w:after="0" w:line="240" w:lineRule="auto"/>
              <w:jc w:val="center"/>
              <w:rPr>
                <w:rFonts w:ascii="Times New Roman" w:eastAsia="Times New Roman" w:hAnsi="Times New Roman" w:cs="Times New Roman"/>
                <w:b/>
                <w:bCs/>
                <w:color w:val="000000"/>
                <w:lang w:eastAsia="en-GB"/>
              </w:rPr>
            </w:pPr>
            <w:r w:rsidRPr="009907FE">
              <w:rPr>
                <w:rFonts w:ascii="Times New Roman" w:eastAsia="Times New Roman" w:hAnsi="Times New Roman" w:cs="Times New Roman"/>
                <w:b/>
                <w:bCs/>
                <w:color w:val="000000"/>
                <w:lang w:eastAsia="en-GB"/>
              </w:rPr>
              <w:t>Key</w:t>
            </w:r>
          </w:p>
        </w:tc>
        <w:tc>
          <w:tcPr>
            <w:tcW w:w="2540" w:type="dxa"/>
            <w:tcBorders>
              <w:top w:val="single" w:sz="4" w:space="0" w:color="auto"/>
              <w:left w:val="nil"/>
              <w:bottom w:val="single" w:sz="4" w:space="0" w:color="auto"/>
              <w:right w:val="nil"/>
            </w:tcBorders>
            <w:shd w:val="clear" w:color="000000" w:fill="B4C6E7"/>
            <w:vAlign w:val="bottom"/>
            <w:hideMark/>
          </w:tcPr>
          <w:p w14:paraId="12E7EFD0" w14:textId="77777777" w:rsidR="009907FE" w:rsidRPr="009907FE" w:rsidRDefault="009907FE" w:rsidP="009907FE">
            <w:pPr>
              <w:spacing w:after="0" w:line="240" w:lineRule="auto"/>
              <w:jc w:val="center"/>
              <w:rPr>
                <w:rFonts w:ascii="Times New Roman" w:eastAsia="Times New Roman" w:hAnsi="Times New Roman" w:cs="Times New Roman"/>
                <w:b/>
                <w:bCs/>
                <w:color w:val="000000"/>
                <w:lang w:eastAsia="en-GB"/>
              </w:rPr>
            </w:pPr>
            <w:r w:rsidRPr="009907FE">
              <w:rPr>
                <w:rFonts w:ascii="Times New Roman" w:eastAsia="Times New Roman" w:hAnsi="Times New Roman" w:cs="Times New Roman"/>
                <w:b/>
                <w:bCs/>
                <w:color w:val="000000"/>
                <w:lang w:eastAsia="en-GB"/>
              </w:rPr>
              <w:t xml:space="preserve">SMT regularly use test scores in appraisal </w:t>
            </w:r>
          </w:p>
        </w:tc>
      </w:tr>
      <w:tr w:rsidR="009907FE" w:rsidRPr="009907FE" w14:paraId="5EF72C7F" w14:textId="77777777" w:rsidTr="0033549A">
        <w:trPr>
          <w:trHeight w:val="230"/>
          <w:jc w:val="center"/>
        </w:trPr>
        <w:tc>
          <w:tcPr>
            <w:tcW w:w="2320" w:type="dxa"/>
            <w:tcBorders>
              <w:top w:val="nil"/>
              <w:left w:val="nil"/>
              <w:bottom w:val="nil"/>
              <w:right w:val="nil"/>
            </w:tcBorders>
            <w:shd w:val="clear" w:color="auto" w:fill="auto"/>
            <w:noWrap/>
            <w:vAlign w:val="center"/>
            <w:hideMark/>
          </w:tcPr>
          <w:p w14:paraId="60B1A64C" w14:textId="269529AF"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 xml:space="preserve">United Arab </w:t>
            </w:r>
            <w:r w:rsidR="00211C94" w:rsidRPr="009907FE">
              <w:rPr>
                <w:rFonts w:ascii="Times New Roman" w:eastAsia="Times New Roman" w:hAnsi="Times New Roman" w:cs="Times New Roman"/>
                <w:color w:val="000000"/>
                <w:lang w:eastAsia="en-GB"/>
              </w:rPr>
              <w:t>Em</w:t>
            </w:r>
            <w:r w:rsidR="00211C94">
              <w:rPr>
                <w:rFonts w:ascii="Times New Roman" w:eastAsia="Times New Roman" w:hAnsi="Times New Roman" w:cs="Times New Roman"/>
                <w:color w:val="000000"/>
                <w:lang w:eastAsia="en-GB"/>
              </w:rPr>
              <w:t>i</w:t>
            </w:r>
            <w:r w:rsidR="00211C94" w:rsidRPr="009907FE">
              <w:rPr>
                <w:rFonts w:ascii="Times New Roman" w:eastAsia="Times New Roman" w:hAnsi="Times New Roman" w:cs="Times New Roman"/>
                <w:color w:val="000000"/>
                <w:lang w:eastAsia="en-GB"/>
              </w:rPr>
              <w:t>r</w:t>
            </w:r>
            <w:r w:rsidR="00211C94">
              <w:rPr>
                <w:rFonts w:ascii="Times New Roman" w:eastAsia="Times New Roman" w:hAnsi="Times New Roman" w:cs="Times New Roman"/>
                <w:color w:val="000000"/>
                <w:lang w:eastAsia="en-GB"/>
              </w:rPr>
              <w:t>ates</w:t>
            </w:r>
          </w:p>
        </w:tc>
        <w:tc>
          <w:tcPr>
            <w:tcW w:w="960" w:type="dxa"/>
            <w:tcBorders>
              <w:top w:val="nil"/>
              <w:left w:val="nil"/>
              <w:bottom w:val="nil"/>
              <w:right w:val="nil"/>
            </w:tcBorders>
            <w:shd w:val="clear" w:color="auto" w:fill="auto"/>
            <w:vAlign w:val="center"/>
            <w:hideMark/>
          </w:tcPr>
          <w:p w14:paraId="1A459006"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ARE</w:t>
            </w:r>
          </w:p>
        </w:tc>
        <w:tc>
          <w:tcPr>
            <w:tcW w:w="2540" w:type="dxa"/>
            <w:tcBorders>
              <w:top w:val="nil"/>
              <w:left w:val="nil"/>
              <w:bottom w:val="nil"/>
              <w:right w:val="nil"/>
            </w:tcBorders>
            <w:shd w:val="clear" w:color="auto" w:fill="auto"/>
            <w:noWrap/>
            <w:vAlign w:val="bottom"/>
            <w:hideMark/>
          </w:tcPr>
          <w:p w14:paraId="79B2E48F"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81%</w:t>
            </w:r>
          </w:p>
        </w:tc>
      </w:tr>
      <w:tr w:rsidR="009907FE" w:rsidRPr="009907FE" w14:paraId="2F34804E" w14:textId="77777777" w:rsidTr="0033549A">
        <w:trPr>
          <w:trHeight w:val="230"/>
          <w:jc w:val="center"/>
        </w:trPr>
        <w:tc>
          <w:tcPr>
            <w:tcW w:w="2320" w:type="dxa"/>
            <w:tcBorders>
              <w:top w:val="nil"/>
              <w:left w:val="nil"/>
              <w:bottom w:val="nil"/>
              <w:right w:val="nil"/>
            </w:tcBorders>
            <w:shd w:val="clear" w:color="auto" w:fill="auto"/>
            <w:noWrap/>
            <w:vAlign w:val="center"/>
            <w:hideMark/>
          </w:tcPr>
          <w:p w14:paraId="4B72E95D"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Australia</w:t>
            </w:r>
          </w:p>
        </w:tc>
        <w:tc>
          <w:tcPr>
            <w:tcW w:w="960" w:type="dxa"/>
            <w:tcBorders>
              <w:top w:val="nil"/>
              <w:left w:val="nil"/>
              <w:bottom w:val="nil"/>
              <w:right w:val="nil"/>
            </w:tcBorders>
            <w:shd w:val="clear" w:color="auto" w:fill="auto"/>
            <w:vAlign w:val="center"/>
            <w:hideMark/>
          </w:tcPr>
          <w:p w14:paraId="126F7DD6"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AUS</w:t>
            </w:r>
          </w:p>
        </w:tc>
        <w:tc>
          <w:tcPr>
            <w:tcW w:w="2540" w:type="dxa"/>
            <w:tcBorders>
              <w:top w:val="nil"/>
              <w:left w:val="nil"/>
              <w:bottom w:val="nil"/>
              <w:right w:val="nil"/>
            </w:tcBorders>
            <w:shd w:val="clear" w:color="auto" w:fill="auto"/>
            <w:noWrap/>
            <w:vAlign w:val="bottom"/>
            <w:hideMark/>
          </w:tcPr>
          <w:p w14:paraId="5A3B478B"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61%</w:t>
            </w:r>
          </w:p>
        </w:tc>
      </w:tr>
      <w:tr w:rsidR="009907FE" w:rsidRPr="009907FE" w14:paraId="152B353A" w14:textId="77777777" w:rsidTr="0033549A">
        <w:trPr>
          <w:trHeight w:val="230"/>
          <w:jc w:val="center"/>
        </w:trPr>
        <w:tc>
          <w:tcPr>
            <w:tcW w:w="2320" w:type="dxa"/>
            <w:tcBorders>
              <w:top w:val="nil"/>
              <w:left w:val="nil"/>
              <w:bottom w:val="nil"/>
              <w:right w:val="nil"/>
            </w:tcBorders>
            <w:shd w:val="clear" w:color="auto" w:fill="auto"/>
            <w:vAlign w:val="center"/>
            <w:hideMark/>
          </w:tcPr>
          <w:p w14:paraId="0C2AFDE4"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Austria</w:t>
            </w:r>
          </w:p>
        </w:tc>
        <w:tc>
          <w:tcPr>
            <w:tcW w:w="960" w:type="dxa"/>
            <w:tcBorders>
              <w:top w:val="nil"/>
              <w:left w:val="nil"/>
              <w:bottom w:val="nil"/>
              <w:right w:val="nil"/>
            </w:tcBorders>
            <w:shd w:val="clear" w:color="auto" w:fill="auto"/>
            <w:vAlign w:val="center"/>
            <w:hideMark/>
          </w:tcPr>
          <w:p w14:paraId="685AC73A"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AUT</w:t>
            </w:r>
          </w:p>
        </w:tc>
        <w:tc>
          <w:tcPr>
            <w:tcW w:w="2540" w:type="dxa"/>
            <w:tcBorders>
              <w:top w:val="nil"/>
              <w:left w:val="nil"/>
              <w:bottom w:val="nil"/>
              <w:right w:val="nil"/>
            </w:tcBorders>
            <w:shd w:val="clear" w:color="auto" w:fill="auto"/>
            <w:noWrap/>
            <w:vAlign w:val="bottom"/>
            <w:hideMark/>
          </w:tcPr>
          <w:p w14:paraId="7D99ED22"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22%</w:t>
            </w:r>
          </w:p>
        </w:tc>
      </w:tr>
      <w:tr w:rsidR="009907FE" w:rsidRPr="009907FE" w14:paraId="57111EB5" w14:textId="77777777" w:rsidTr="0033549A">
        <w:trPr>
          <w:trHeight w:val="230"/>
          <w:jc w:val="center"/>
        </w:trPr>
        <w:tc>
          <w:tcPr>
            <w:tcW w:w="2320" w:type="dxa"/>
            <w:tcBorders>
              <w:top w:val="nil"/>
              <w:left w:val="nil"/>
              <w:bottom w:val="nil"/>
              <w:right w:val="nil"/>
            </w:tcBorders>
            <w:shd w:val="clear" w:color="auto" w:fill="auto"/>
            <w:vAlign w:val="center"/>
            <w:hideMark/>
          </w:tcPr>
          <w:p w14:paraId="35A5BFEC"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Belgium</w:t>
            </w:r>
          </w:p>
        </w:tc>
        <w:tc>
          <w:tcPr>
            <w:tcW w:w="960" w:type="dxa"/>
            <w:tcBorders>
              <w:top w:val="nil"/>
              <w:left w:val="nil"/>
              <w:bottom w:val="nil"/>
              <w:right w:val="nil"/>
            </w:tcBorders>
            <w:shd w:val="clear" w:color="auto" w:fill="auto"/>
            <w:vAlign w:val="center"/>
            <w:hideMark/>
          </w:tcPr>
          <w:p w14:paraId="32C09002"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BEL</w:t>
            </w:r>
          </w:p>
        </w:tc>
        <w:tc>
          <w:tcPr>
            <w:tcW w:w="2540" w:type="dxa"/>
            <w:tcBorders>
              <w:top w:val="nil"/>
              <w:left w:val="nil"/>
              <w:bottom w:val="nil"/>
              <w:right w:val="nil"/>
            </w:tcBorders>
            <w:shd w:val="clear" w:color="auto" w:fill="auto"/>
            <w:noWrap/>
            <w:vAlign w:val="bottom"/>
            <w:hideMark/>
          </w:tcPr>
          <w:p w14:paraId="20617D50"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25%</w:t>
            </w:r>
          </w:p>
        </w:tc>
      </w:tr>
      <w:tr w:rsidR="009907FE" w:rsidRPr="009907FE" w14:paraId="462ABAD3" w14:textId="77777777" w:rsidTr="0033549A">
        <w:trPr>
          <w:trHeight w:val="230"/>
          <w:jc w:val="center"/>
        </w:trPr>
        <w:tc>
          <w:tcPr>
            <w:tcW w:w="2320" w:type="dxa"/>
            <w:tcBorders>
              <w:top w:val="nil"/>
              <w:left w:val="nil"/>
              <w:bottom w:val="nil"/>
              <w:right w:val="nil"/>
            </w:tcBorders>
            <w:shd w:val="clear" w:color="auto" w:fill="auto"/>
            <w:vAlign w:val="center"/>
            <w:hideMark/>
          </w:tcPr>
          <w:p w14:paraId="46D3EBE2"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Bulgaria</w:t>
            </w:r>
          </w:p>
        </w:tc>
        <w:tc>
          <w:tcPr>
            <w:tcW w:w="960" w:type="dxa"/>
            <w:tcBorders>
              <w:top w:val="nil"/>
              <w:left w:val="nil"/>
              <w:bottom w:val="nil"/>
              <w:right w:val="nil"/>
            </w:tcBorders>
            <w:shd w:val="clear" w:color="auto" w:fill="auto"/>
            <w:vAlign w:val="center"/>
            <w:hideMark/>
          </w:tcPr>
          <w:p w14:paraId="4B0D06AE"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BGR</w:t>
            </w:r>
          </w:p>
        </w:tc>
        <w:tc>
          <w:tcPr>
            <w:tcW w:w="2540" w:type="dxa"/>
            <w:tcBorders>
              <w:top w:val="nil"/>
              <w:left w:val="nil"/>
              <w:bottom w:val="nil"/>
              <w:right w:val="nil"/>
            </w:tcBorders>
            <w:shd w:val="clear" w:color="auto" w:fill="auto"/>
            <w:noWrap/>
            <w:vAlign w:val="bottom"/>
            <w:hideMark/>
          </w:tcPr>
          <w:p w14:paraId="4DC6294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81%</w:t>
            </w:r>
          </w:p>
        </w:tc>
      </w:tr>
      <w:tr w:rsidR="009907FE" w:rsidRPr="009907FE" w14:paraId="4561F414" w14:textId="77777777" w:rsidTr="0033549A">
        <w:trPr>
          <w:trHeight w:val="230"/>
          <w:jc w:val="center"/>
        </w:trPr>
        <w:tc>
          <w:tcPr>
            <w:tcW w:w="2320" w:type="dxa"/>
            <w:tcBorders>
              <w:top w:val="nil"/>
              <w:left w:val="nil"/>
              <w:bottom w:val="nil"/>
              <w:right w:val="nil"/>
            </w:tcBorders>
            <w:shd w:val="clear" w:color="auto" w:fill="auto"/>
            <w:noWrap/>
            <w:vAlign w:val="center"/>
            <w:hideMark/>
          </w:tcPr>
          <w:p w14:paraId="704DFA4E"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Brazil</w:t>
            </w:r>
          </w:p>
        </w:tc>
        <w:tc>
          <w:tcPr>
            <w:tcW w:w="960" w:type="dxa"/>
            <w:tcBorders>
              <w:top w:val="nil"/>
              <w:left w:val="nil"/>
              <w:bottom w:val="nil"/>
              <w:right w:val="nil"/>
            </w:tcBorders>
            <w:shd w:val="clear" w:color="auto" w:fill="auto"/>
            <w:vAlign w:val="center"/>
            <w:hideMark/>
          </w:tcPr>
          <w:p w14:paraId="7A887160"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BRA</w:t>
            </w:r>
          </w:p>
        </w:tc>
        <w:tc>
          <w:tcPr>
            <w:tcW w:w="2540" w:type="dxa"/>
            <w:tcBorders>
              <w:top w:val="nil"/>
              <w:left w:val="nil"/>
              <w:bottom w:val="nil"/>
              <w:right w:val="nil"/>
            </w:tcBorders>
            <w:shd w:val="clear" w:color="auto" w:fill="auto"/>
            <w:noWrap/>
            <w:vAlign w:val="bottom"/>
            <w:hideMark/>
          </w:tcPr>
          <w:p w14:paraId="5F727792"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75%</w:t>
            </w:r>
          </w:p>
        </w:tc>
      </w:tr>
      <w:tr w:rsidR="009907FE" w:rsidRPr="009907FE" w14:paraId="54C76188" w14:textId="77777777" w:rsidTr="0033549A">
        <w:trPr>
          <w:trHeight w:val="230"/>
          <w:jc w:val="center"/>
        </w:trPr>
        <w:tc>
          <w:tcPr>
            <w:tcW w:w="2320" w:type="dxa"/>
            <w:tcBorders>
              <w:top w:val="nil"/>
              <w:left w:val="nil"/>
              <w:bottom w:val="nil"/>
              <w:right w:val="nil"/>
            </w:tcBorders>
            <w:shd w:val="clear" w:color="auto" w:fill="auto"/>
            <w:vAlign w:val="center"/>
            <w:hideMark/>
          </w:tcPr>
          <w:p w14:paraId="59DD8D83"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Chile</w:t>
            </w:r>
          </w:p>
        </w:tc>
        <w:tc>
          <w:tcPr>
            <w:tcW w:w="960" w:type="dxa"/>
            <w:tcBorders>
              <w:top w:val="nil"/>
              <w:left w:val="nil"/>
              <w:bottom w:val="nil"/>
              <w:right w:val="nil"/>
            </w:tcBorders>
            <w:shd w:val="clear" w:color="auto" w:fill="auto"/>
            <w:vAlign w:val="center"/>
            <w:hideMark/>
          </w:tcPr>
          <w:p w14:paraId="238ACA2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CHL</w:t>
            </w:r>
          </w:p>
        </w:tc>
        <w:tc>
          <w:tcPr>
            <w:tcW w:w="2540" w:type="dxa"/>
            <w:tcBorders>
              <w:top w:val="nil"/>
              <w:left w:val="nil"/>
              <w:bottom w:val="nil"/>
              <w:right w:val="nil"/>
            </w:tcBorders>
            <w:shd w:val="clear" w:color="auto" w:fill="auto"/>
            <w:noWrap/>
            <w:vAlign w:val="bottom"/>
            <w:hideMark/>
          </w:tcPr>
          <w:p w14:paraId="1E7A4C21"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75%</w:t>
            </w:r>
          </w:p>
        </w:tc>
      </w:tr>
      <w:tr w:rsidR="009907FE" w:rsidRPr="009907FE" w14:paraId="29A293A7" w14:textId="77777777" w:rsidTr="0033549A">
        <w:trPr>
          <w:trHeight w:val="230"/>
          <w:jc w:val="center"/>
        </w:trPr>
        <w:tc>
          <w:tcPr>
            <w:tcW w:w="2320" w:type="dxa"/>
            <w:tcBorders>
              <w:top w:val="nil"/>
              <w:left w:val="nil"/>
              <w:bottom w:val="nil"/>
              <w:right w:val="nil"/>
            </w:tcBorders>
            <w:shd w:val="clear" w:color="auto" w:fill="auto"/>
            <w:vAlign w:val="center"/>
            <w:hideMark/>
          </w:tcPr>
          <w:p w14:paraId="7FF58C8C"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Colombia</w:t>
            </w:r>
          </w:p>
        </w:tc>
        <w:tc>
          <w:tcPr>
            <w:tcW w:w="960" w:type="dxa"/>
            <w:tcBorders>
              <w:top w:val="nil"/>
              <w:left w:val="nil"/>
              <w:bottom w:val="nil"/>
              <w:right w:val="nil"/>
            </w:tcBorders>
            <w:shd w:val="clear" w:color="auto" w:fill="auto"/>
            <w:vAlign w:val="center"/>
            <w:hideMark/>
          </w:tcPr>
          <w:p w14:paraId="0A1DD784"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COL</w:t>
            </w:r>
          </w:p>
        </w:tc>
        <w:tc>
          <w:tcPr>
            <w:tcW w:w="2540" w:type="dxa"/>
            <w:tcBorders>
              <w:top w:val="nil"/>
              <w:left w:val="nil"/>
              <w:bottom w:val="nil"/>
              <w:right w:val="nil"/>
            </w:tcBorders>
            <w:shd w:val="clear" w:color="auto" w:fill="auto"/>
            <w:noWrap/>
            <w:vAlign w:val="bottom"/>
            <w:hideMark/>
          </w:tcPr>
          <w:p w14:paraId="35E191C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82%</w:t>
            </w:r>
          </w:p>
        </w:tc>
      </w:tr>
      <w:tr w:rsidR="009907FE" w:rsidRPr="009907FE" w14:paraId="0DACCCB8" w14:textId="77777777" w:rsidTr="0033549A">
        <w:trPr>
          <w:trHeight w:val="230"/>
          <w:jc w:val="center"/>
        </w:trPr>
        <w:tc>
          <w:tcPr>
            <w:tcW w:w="2320" w:type="dxa"/>
            <w:tcBorders>
              <w:top w:val="nil"/>
              <w:left w:val="nil"/>
              <w:bottom w:val="nil"/>
              <w:right w:val="nil"/>
            </w:tcBorders>
            <w:shd w:val="clear" w:color="auto" w:fill="auto"/>
            <w:vAlign w:val="center"/>
            <w:hideMark/>
          </w:tcPr>
          <w:p w14:paraId="5D073A05"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Czech Republic</w:t>
            </w:r>
          </w:p>
        </w:tc>
        <w:tc>
          <w:tcPr>
            <w:tcW w:w="960" w:type="dxa"/>
            <w:tcBorders>
              <w:top w:val="nil"/>
              <w:left w:val="nil"/>
              <w:bottom w:val="nil"/>
              <w:right w:val="nil"/>
            </w:tcBorders>
            <w:shd w:val="clear" w:color="auto" w:fill="auto"/>
            <w:vAlign w:val="center"/>
            <w:hideMark/>
          </w:tcPr>
          <w:p w14:paraId="7949AF2D"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CZE</w:t>
            </w:r>
          </w:p>
        </w:tc>
        <w:tc>
          <w:tcPr>
            <w:tcW w:w="2540" w:type="dxa"/>
            <w:tcBorders>
              <w:top w:val="nil"/>
              <w:left w:val="nil"/>
              <w:bottom w:val="nil"/>
              <w:right w:val="nil"/>
            </w:tcBorders>
            <w:shd w:val="clear" w:color="auto" w:fill="auto"/>
            <w:noWrap/>
            <w:vAlign w:val="bottom"/>
            <w:hideMark/>
          </w:tcPr>
          <w:p w14:paraId="1AD237A1"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83%</w:t>
            </w:r>
          </w:p>
        </w:tc>
      </w:tr>
      <w:tr w:rsidR="009907FE" w:rsidRPr="009907FE" w14:paraId="0D356A6F" w14:textId="77777777" w:rsidTr="0033549A">
        <w:trPr>
          <w:trHeight w:val="230"/>
          <w:jc w:val="center"/>
        </w:trPr>
        <w:tc>
          <w:tcPr>
            <w:tcW w:w="2320" w:type="dxa"/>
            <w:tcBorders>
              <w:top w:val="nil"/>
              <w:left w:val="nil"/>
              <w:bottom w:val="nil"/>
              <w:right w:val="nil"/>
            </w:tcBorders>
            <w:shd w:val="clear" w:color="auto" w:fill="auto"/>
            <w:vAlign w:val="center"/>
            <w:hideMark/>
          </w:tcPr>
          <w:p w14:paraId="39366F48"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Denmark</w:t>
            </w:r>
          </w:p>
        </w:tc>
        <w:tc>
          <w:tcPr>
            <w:tcW w:w="960" w:type="dxa"/>
            <w:tcBorders>
              <w:top w:val="nil"/>
              <w:left w:val="nil"/>
              <w:bottom w:val="nil"/>
              <w:right w:val="nil"/>
            </w:tcBorders>
            <w:shd w:val="clear" w:color="auto" w:fill="auto"/>
            <w:vAlign w:val="center"/>
            <w:hideMark/>
          </w:tcPr>
          <w:p w14:paraId="7857FF16"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DNK</w:t>
            </w:r>
          </w:p>
        </w:tc>
        <w:tc>
          <w:tcPr>
            <w:tcW w:w="2540" w:type="dxa"/>
            <w:tcBorders>
              <w:top w:val="nil"/>
              <w:left w:val="nil"/>
              <w:bottom w:val="nil"/>
              <w:right w:val="nil"/>
            </w:tcBorders>
            <w:shd w:val="clear" w:color="auto" w:fill="auto"/>
            <w:noWrap/>
            <w:vAlign w:val="bottom"/>
            <w:hideMark/>
          </w:tcPr>
          <w:p w14:paraId="62E1D857"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72%</w:t>
            </w:r>
          </w:p>
        </w:tc>
      </w:tr>
      <w:tr w:rsidR="009907FE" w:rsidRPr="009907FE" w14:paraId="65971691" w14:textId="77777777" w:rsidTr="0033549A">
        <w:trPr>
          <w:trHeight w:val="230"/>
          <w:jc w:val="center"/>
        </w:trPr>
        <w:tc>
          <w:tcPr>
            <w:tcW w:w="2320" w:type="dxa"/>
            <w:tcBorders>
              <w:top w:val="nil"/>
              <w:left w:val="nil"/>
              <w:bottom w:val="nil"/>
              <w:right w:val="nil"/>
            </w:tcBorders>
            <w:shd w:val="clear" w:color="auto" w:fill="auto"/>
            <w:vAlign w:val="center"/>
            <w:hideMark/>
          </w:tcPr>
          <w:p w14:paraId="5540DC38"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England</w:t>
            </w:r>
          </w:p>
        </w:tc>
        <w:tc>
          <w:tcPr>
            <w:tcW w:w="960" w:type="dxa"/>
            <w:tcBorders>
              <w:top w:val="nil"/>
              <w:left w:val="nil"/>
              <w:bottom w:val="nil"/>
              <w:right w:val="nil"/>
            </w:tcBorders>
            <w:shd w:val="clear" w:color="auto" w:fill="auto"/>
            <w:vAlign w:val="center"/>
            <w:hideMark/>
          </w:tcPr>
          <w:p w14:paraId="344D3D84"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ENG</w:t>
            </w:r>
          </w:p>
        </w:tc>
        <w:tc>
          <w:tcPr>
            <w:tcW w:w="2540" w:type="dxa"/>
            <w:tcBorders>
              <w:top w:val="nil"/>
              <w:left w:val="nil"/>
              <w:bottom w:val="nil"/>
              <w:right w:val="nil"/>
            </w:tcBorders>
            <w:shd w:val="clear" w:color="auto" w:fill="auto"/>
            <w:noWrap/>
            <w:vAlign w:val="bottom"/>
            <w:hideMark/>
          </w:tcPr>
          <w:p w14:paraId="123DBD62"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90%</w:t>
            </w:r>
          </w:p>
        </w:tc>
      </w:tr>
      <w:tr w:rsidR="009907FE" w:rsidRPr="009907FE" w14:paraId="62F9DE8E" w14:textId="77777777" w:rsidTr="0033549A">
        <w:trPr>
          <w:trHeight w:val="230"/>
          <w:jc w:val="center"/>
        </w:trPr>
        <w:tc>
          <w:tcPr>
            <w:tcW w:w="2320" w:type="dxa"/>
            <w:tcBorders>
              <w:top w:val="nil"/>
              <w:left w:val="nil"/>
              <w:bottom w:val="nil"/>
              <w:right w:val="nil"/>
            </w:tcBorders>
            <w:shd w:val="clear" w:color="auto" w:fill="auto"/>
            <w:vAlign w:val="center"/>
            <w:hideMark/>
          </w:tcPr>
          <w:p w14:paraId="70499AD4"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Spain</w:t>
            </w:r>
          </w:p>
        </w:tc>
        <w:tc>
          <w:tcPr>
            <w:tcW w:w="960" w:type="dxa"/>
            <w:tcBorders>
              <w:top w:val="nil"/>
              <w:left w:val="nil"/>
              <w:bottom w:val="nil"/>
              <w:right w:val="nil"/>
            </w:tcBorders>
            <w:shd w:val="clear" w:color="auto" w:fill="auto"/>
            <w:vAlign w:val="center"/>
            <w:hideMark/>
          </w:tcPr>
          <w:p w14:paraId="52C5B545"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ESP</w:t>
            </w:r>
          </w:p>
        </w:tc>
        <w:tc>
          <w:tcPr>
            <w:tcW w:w="2540" w:type="dxa"/>
            <w:tcBorders>
              <w:top w:val="nil"/>
              <w:left w:val="nil"/>
              <w:bottom w:val="nil"/>
              <w:right w:val="nil"/>
            </w:tcBorders>
            <w:shd w:val="clear" w:color="auto" w:fill="auto"/>
            <w:noWrap/>
            <w:vAlign w:val="bottom"/>
            <w:hideMark/>
          </w:tcPr>
          <w:p w14:paraId="05C7F475"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36%</w:t>
            </w:r>
          </w:p>
        </w:tc>
      </w:tr>
      <w:tr w:rsidR="009907FE" w:rsidRPr="009907FE" w14:paraId="7E622B9A" w14:textId="77777777" w:rsidTr="0033549A">
        <w:trPr>
          <w:trHeight w:val="230"/>
          <w:jc w:val="center"/>
        </w:trPr>
        <w:tc>
          <w:tcPr>
            <w:tcW w:w="2320" w:type="dxa"/>
            <w:tcBorders>
              <w:top w:val="nil"/>
              <w:left w:val="nil"/>
              <w:bottom w:val="nil"/>
              <w:right w:val="nil"/>
            </w:tcBorders>
            <w:shd w:val="clear" w:color="auto" w:fill="auto"/>
            <w:vAlign w:val="center"/>
            <w:hideMark/>
          </w:tcPr>
          <w:p w14:paraId="26DBD451"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Estonia</w:t>
            </w:r>
          </w:p>
        </w:tc>
        <w:tc>
          <w:tcPr>
            <w:tcW w:w="960" w:type="dxa"/>
            <w:tcBorders>
              <w:top w:val="nil"/>
              <w:left w:val="nil"/>
              <w:bottom w:val="nil"/>
              <w:right w:val="nil"/>
            </w:tcBorders>
            <w:shd w:val="clear" w:color="auto" w:fill="auto"/>
            <w:vAlign w:val="center"/>
            <w:hideMark/>
          </w:tcPr>
          <w:p w14:paraId="5A6CDC06"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EST</w:t>
            </w:r>
          </w:p>
        </w:tc>
        <w:tc>
          <w:tcPr>
            <w:tcW w:w="2540" w:type="dxa"/>
            <w:tcBorders>
              <w:top w:val="nil"/>
              <w:left w:val="nil"/>
              <w:bottom w:val="nil"/>
              <w:right w:val="nil"/>
            </w:tcBorders>
            <w:shd w:val="clear" w:color="auto" w:fill="auto"/>
            <w:noWrap/>
            <w:vAlign w:val="bottom"/>
            <w:hideMark/>
          </w:tcPr>
          <w:p w14:paraId="1D41BFA7"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89%</w:t>
            </w:r>
          </w:p>
        </w:tc>
      </w:tr>
      <w:tr w:rsidR="009907FE" w:rsidRPr="009907FE" w14:paraId="64D0C502" w14:textId="77777777" w:rsidTr="0033549A">
        <w:trPr>
          <w:trHeight w:val="230"/>
          <w:jc w:val="center"/>
        </w:trPr>
        <w:tc>
          <w:tcPr>
            <w:tcW w:w="2320" w:type="dxa"/>
            <w:tcBorders>
              <w:top w:val="nil"/>
              <w:left w:val="nil"/>
              <w:bottom w:val="nil"/>
              <w:right w:val="nil"/>
            </w:tcBorders>
            <w:shd w:val="clear" w:color="auto" w:fill="auto"/>
            <w:vAlign w:val="center"/>
            <w:hideMark/>
          </w:tcPr>
          <w:p w14:paraId="172FAD28"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Finland</w:t>
            </w:r>
          </w:p>
        </w:tc>
        <w:tc>
          <w:tcPr>
            <w:tcW w:w="960" w:type="dxa"/>
            <w:tcBorders>
              <w:top w:val="nil"/>
              <w:left w:val="nil"/>
              <w:bottom w:val="nil"/>
              <w:right w:val="nil"/>
            </w:tcBorders>
            <w:shd w:val="clear" w:color="auto" w:fill="auto"/>
            <w:vAlign w:val="center"/>
            <w:hideMark/>
          </w:tcPr>
          <w:p w14:paraId="1B1294E6"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FIN</w:t>
            </w:r>
          </w:p>
        </w:tc>
        <w:tc>
          <w:tcPr>
            <w:tcW w:w="2540" w:type="dxa"/>
            <w:tcBorders>
              <w:top w:val="nil"/>
              <w:left w:val="nil"/>
              <w:bottom w:val="nil"/>
              <w:right w:val="nil"/>
            </w:tcBorders>
            <w:shd w:val="clear" w:color="auto" w:fill="auto"/>
            <w:noWrap/>
            <w:vAlign w:val="bottom"/>
            <w:hideMark/>
          </w:tcPr>
          <w:p w14:paraId="32E70C54"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31%</w:t>
            </w:r>
          </w:p>
        </w:tc>
      </w:tr>
      <w:tr w:rsidR="009907FE" w:rsidRPr="009907FE" w14:paraId="28514FD5" w14:textId="77777777" w:rsidTr="0033549A">
        <w:trPr>
          <w:trHeight w:val="230"/>
          <w:jc w:val="center"/>
        </w:trPr>
        <w:tc>
          <w:tcPr>
            <w:tcW w:w="2320" w:type="dxa"/>
            <w:tcBorders>
              <w:top w:val="nil"/>
              <w:left w:val="nil"/>
              <w:bottom w:val="nil"/>
              <w:right w:val="nil"/>
            </w:tcBorders>
            <w:shd w:val="clear" w:color="auto" w:fill="auto"/>
            <w:vAlign w:val="center"/>
            <w:hideMark/>
          </w:tcPr>
          <w:p w14:paraId="3822DD68"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France</w:t>
            </w:r>
          </w:p>
        </w:tc>
        <w:tc>
          <w:tcPr>
            <w:tcW w:w="960" w:type="dxa"/>
            <w:tcBorders>
              <w:top w:val="nil"/>
              <w:left w:val="nil"/>
              <w:bottom w:val="nil"/>
              <w:right w:val="nil"/>
            </w:tcBorders>
            <w:shd w:val="clear" w:color="auto" w:fill="auto"/>
            <w:vAlign w:val="center"/>
            <w:hideMark/>
          </w:tcPr>
          <w:p w14:paraId="2C94A60A"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FRA</w:t>
            </w:r>
          </w:p>
        </w:tc>
        <w:tc>
          <w:tcPr>
            <w:tcW w:w="2540" w:type="dxa"/>
            <w:tcBorders>
              <w:top w:val="nil"/>
              <w:left w:val="nil"/>
              <w:bottom w:val="nil"/>
              <w:right w:val="nil"/>
            </w:tcBorders>
            <w:shd w:val="clear" w:color="auto" w:fill="auto"/>
            <w:noWrap/>
            <w:vAlign w:val="bottom"/>
            <w:hideMark/>
          </w:tcPr>
          <w:p w14:paraId="5DB29D81"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31%</w:t>
            </w:r>
          </w:p>
        </w:tc>
      </w:tr>
      <w:tr w:rsidR="009907FE" w:rsidRPr="009907FE" w14:paraId="3EDB1978" w14:textId="77777777" w:rsidTr="0033549A">
        <w:trPr>
          <w:trHeight w:val="230"/>
          <w:jc w:val="center"/>
        </w:trPr>
        <w:tc>
          <w:tcPr>
            <w:tcW w:w="2320" w:type="dxa"/>
            <w:tcBorders>
              <w:top w:val="nil"/>
              <w:left w:val="nil"/>
              <w:bottom w:val="nil"/>
              <w:right w:val="nil"/>
            </w:tcBorders>
            <w:shd w:val="clear" w:color="auto" w:fill="auto"/>
            <w:vAlign w:val="center"/>
            <w:hideMark/>
          </w:tcPr>
          <w:p w14:paraId="52705C6B"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Georgia</w:t>
            </w:r>
          </w:p>
        </w:tc>
        <w:tc>
          <w:tcPr>
            <w:tcW w:w="960" w:type="dxa"/>
            <w:tcBorders>
              <w:top w:val="nil"/>
              <w:left w:val="nil"/>
              <w:bottom w:val="nil"/>
              <w:right w:val="nil"/>
            </w:tcBorders>
            <w:shd w:val="clear" w:color="auto" w:fill="auto"/>
            <w:vAlign w:val="center"/>
            <w:hideMark/>
          </w:tcPr>
          <w:p w14:paraId="3B965DFF"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GEO</w:t>
            </w:r>
          </w:p>
        </w:tc>
        <w:tc>
          <w:tcPr>
            <w:tcW w:w="2540" w:type="dxa"/>
            <w:tcBorders>
              <w:top w:val="nil"/>
              <w:left w:val="nil"/>
              <w:bottom w:val="nil"/>
              <w:right w:val="nil"/>
            </w:tcBorders>
            <w:shd w:val="clear" w:color="auto" w:fill="auto"/>
            <w:noWrap/>
            <w:vAlign w:val="bottom"/>
            <w:hideMark/>
          </w:tcPr>
          <w:p w14:paraId="12A0D36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78%</w:t>
            </w:r>
          </w:p>
        </w:tc>
      </w:tr>
      <w:tr w:rsidR="009907FE" w:rsidRPr="009907FE" w14:paraId="1E8E9767" w14:textId="77777777" w:rsidTr="0033549A">
        <w:trPr>
          <w:trHeight w:val="230"/>
          <w:jc w:val="center"/>
        </w:trPr>
        <w:tc>
          <w:tcPr>
            <w:tcW w:w="2320" w:type="dxa"/>
            <w:tcBorders>
              <w:top w:val="nil"/>
              <w:left w:val="nil"/>
              <w:bottom w:val="nil"/>
              <w:right w:val="nil"/>
            </w:tcBorders>
            <w:shd w:val="clear" w:color="auto" w:fill="auto"/>
            <w:vAlign w:val="center"/>
            <w:hideMark/>
          </w:tcPr>
          <w:p w14:paraId="766CDE84"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Croatia</w:t>
            </w:r>
          </w:p>
        </w:tc>
        <w:tc>
          <w:tcPr>
            <w:tcW w:w="960" w:type="dxa"/>
            <w:tcBorders>
              <w:top w:val="nil"/>
              <w:left w:val="nil"/>
              <w:bottom w:val="nil"/>
              <w:right w:val="nil"/>
            </w:tcBorders>
            <w:shd w:val="clear" w:color="auto" w:fill="auto"/>
            <w:vAlign w:val="center"/>
            <w:hideMark/>
          </w:tcPr>
          <w:p w14:paraId="49A16A8F"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HRV</w:t>
            </w:r>
          </w:p>
        </w:tc>
        <w:tc>
          <w:tcPr>
            <w:tcW w:w="2540" w:type="dxa"/>
            <w:tcBorders>
              <w:top w:val="nil"/>
              <w:left w:val="nil"/>
              <w:bottom w:val="nil"/>
              <w:right w:val="nil"/>
            </w:tcBorders>
            <w:shd w:val="clear" w:color="auto" w:fill="auto"/>
            <w:noWrap/>
            <w:vAlign w:val="bottom"/>
            <w:hideMark/>
          </w:tcPr>
          <w:p w14:paraId="5081CC7C"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67%</w:t>
            </w:r>
          </w:p>
        </w:tc>
      </w:tr>
      <w:tr w:rsidR="009907FE" w:rsidRPr="009907FE" w14:paraId="556185A5" w14:textId="77777777" w:rsidTr="0033549A">
        <w:trPr>
          <w:trHeight w:val="230"/>
          <w:jc w:val="center"/>
        </w:trPr>
        <w:tc>
          <w:tcPr>
            <w:tcW w:w="2320" w:type="dxa"/>
            <w:tcBorders>
              <w:top w:val="nil"/>
              <w:left w:val="nil"/>
              <w:bottom w:val="nil"/>
              <w:right w:val="nil"/>
            </w:tcBorders>
            <w:shd w:val="clear" w:color="auto" w:fill="auto"/>
            <w:vAlign w:val="center"/>
            <w:hideMark/>
          </w:tcPr>
          <w:p w14:paraId="5F53028A"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Hungary</w:t>
            </w:r>
          </w:p>
        </w:tc>
        <w:tc>
          <w:tcPr>
            <w:tcW w:w="960" w:type="dxa"/>
            <w:tcBorders>
              <w:top w:val="nil"/>
              <w:left w:val="nil"/>
              <w:bottom w:val="nil"/>
              <w:right w:val="nil"/>
            </w:tcBorders>
            <w:shd w:val="clear" w:color="auto" w:fill="auto"/>
            <w:vAlign w:val="center"/>
            <w:hideMark/>
          </w:tcPr>
          <w:p w14:paraId="0E9543D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HUN</w:t>
            </w:r>
          </w:p>
        </w:tc>
        <w:tc>
          <w:tcPr>
            <w:tcW w:w="2540" w:type="dxa"/>
            <w:tcBorders>
              <w:top w:val="nil"/>
              <w:left w:val="nil"/>
              <w:bottom w:val="nil"/>
              <w:right w:val="nil"/>
            </w:tcBorders>
            <w:shd w:val="clear" w:color="auto" w:fill="auto"/>
            <w:noWrap/>
            <w:vAlign w:val="bottom"/>
            <w:hideMark/>
          </w:tcPr>
          <w:p w14:paraId="0F589BE6"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52%</w:t>
            </w:r>
          </w:p>
        </w:tc>
      </w:tr>
      <w:tr w:rsidR="009907FE" w:rsidRPr="009907FE" w14:paraId="15648D6D" w14:textId="77777777" w:rsidTr="0033549A">
        <w:trPr>
          <w:trHeight w:val="230"/>
          <w:jc w:val="center"/>
        </w:trPr>
        <w:tc>
          <w:tcPr>
            <w:tcW w:w="2320" w:type="dxa"/>
            <w:tcBorders>
              <w:top w:val="nil"/>
              <w:left w:val="nil"/>
              <w:bottom w:val="nil"/>
              <w:right w:val="nil"/>
            </w:tcBorders>
            <w:shd w:val="clear" w:color="auto" w:fill="auto"/>
            <w:vAlign w:val="center"/>
            <w:hideMark/>
          </w:tcPr>
          <w:p w14:paraId="1950E289"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Iceland</w:t>
            </w:r>
          </w:p>
        </w:tc>
        <w:tc>
          <w:tcPr>
            <w:tcW w:w="960" w:type="dxa"/>
            <w:tcBorders>
              <w:top w:val="nil"/>
              <w:left w:val="nil"/>
              <w:bottom w:val="nil"/>
              <w:right w:val="nil"/>
            </w:tcBorders>
            <w:shd w:val="clear" w:color="auto" w:fill="auto"/>
            <w:vAlign w:val="center"/>
            <w:hideMark/>
          </w:tcPr>
          <w:p w14:paraId="4F0F6235"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ISL</w:t>
            </w:r>
          </w:p>
        </w:tc>
        <w:tc>
          <w:tcPr>
            <w:tcW w:w="2540" w:type="dxa"/>
            <w:tcBorders>
              <w:top w:val="nil"/>
              <w:left w:val="nil"/>
              <w:bottom w:val="nil"/>
              <w:right w:val="nil"/>
            </w:tcBorders>
            <w:shd w:val="clear" w:color="auto" w:fill="auto"/>
            <w:noWrap/>
            <w:vAlign w:val="bottom"/>
            <w:hideMark/>
          </w:tcPr>
          <w:p w14:paraId="1C376D30"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33%</w:t>
            </w:r>
          </w:p>
        </w:tc>
      </w:tr>
      <w:tr w:rsidR="009907FE" w:rsidRPr="009907FE" w14:paraId="04566620" w14:textId="77777777" w:rsidTr="0033549A">
        <w:trPr>
          <w:trHeight w:val="230"/>
          <w:jc w:val="center"/>
        </w:trPr>
        <w:tc>
          <w:tcPr>
            <w:tcW w:w="2320" w:type="dxa"/>
            <w:tcBorders>
              <w:top w:val="nil"/>
              <w:left w:val="nil"/>
              <w:bottom w:val="nil"/>
              <w:right w:val="nil"/>
            </w:tcBorders>
            <w:shd w:val="clear" w:color="auto" w:fill="auto"/>
            <w:vAlign w:val="center"/>
            <w:hideMark/>
          </w:tcPr>
          <w:p w14:paraId="4D9250E9"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Israel</w:t>
            </w:r>
          </w:p>
        </w:tc>
        <w:tc>
          <w:tcPr>
            <w:tcW w:w="960" w:type="dxa"/>
            <w:tcBorders>
              <w:top w:val="nil"/>
              <w:left w:val="nil"/>
              <w:bottom w:val="nil"/>
              <w:right w:val="nil"/>
            </w:tcBorders>
            <w:shd w:val="clear" w:color="auto" w:fill="auto"/>
            <w:vAlign w:val="center"/>
            <w:hideMark/>
          </w:tcPr>
          <w:p w14:paraId="0136CAF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ISR</w:t>
            </w:r>
          </w:p>
        </w:tc>
        <w:tc>
          <w:tcPr>
            <w:tcW w:w="2540" w:type="dxa"/>
            <w:tcBorders>
              <w:top w:val="nil"/>
              <w:left w:val="nil"/>
              <w:bottom w:val="nil"/>
              <w:right w:val="nil"/>
            </w:tcBorders>
            <w:shd w:val="clear" w:color="auto" w:fill="auto"/>
            <w:noWrap/>
            <w:vAlign w:val="bottom"/>
            <w:hideMark/>
          </w:tcPr>
          <w:p w14:paraId="2E155B25"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67%</w:t>
            </w:r>
          </w:p>
        </w:tc>
      </w:tr>
      <w:tr w:rsidR="009907FE" w:rsidRPr="009907FE" w14:paraId="3635575E" w14:textId="77777777" w:rsidTr="0033549A">
        <w:trPr>
          <w:trHeight w:val="230"/>
          <w:jc w:val="center"/>
        </w:trPr>
        <w:tc>
          <w:tcPr>
            <w:tcW w:w="2320" w:type="dxa"/>
            <w:tcBorders>
              <w:top w:val="nil"/>
              <w:left w:val="nil"/>
              <w:bottom w:val="nil"/>
              <w:right w:val="nil"/>
            </w:tcBorders>
            <w:shd w:val="clear" w:color="auto" w:fill="auto"/>
            <w:vAlign w:val="center"/>
            <w:hideMark/>
          </w:tcPr>
          <w:p w14:paraId="019883C7"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Italy</w:t>
            </w:r>
          </w:p>
        </w:tc>
        <w:tc>
          <w:tcPr>
            <w:tcW w:w="960" w:type="dxa"/>
            <w:tcBorders>
              <w:top w:val="nil"/>
              <w:left w:val="nil"/>
              <w:bottom w:val="nil"/>
              <w:right w:val="nil"/>
            </w:tcBorders>
            <w:shd w:val="clear" w:color="auto" w:fill="auto"/>
            <w:vAlign w:val="center"/>
            <w:hideMark/>
          </w:tcPr>
          <w:p w14:paraId="53041038"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ITA</w:t>
            </w:r>
          </w:p>
        </w:tc>
        <w:tc>
          <w:tcPr>
            <w:tcW w:w="2540" w:type="dxa"/>
            <w:tcBorders>
              <w:top w:val="nil"/>
              <w:left w:val="nil"/>
              <w:bottom w:val="nil"/>
              <w:right w:val="nil"/>
            </w:tcBorders>
            <w:shd w:val="clear" w:color="auto" w:fill="auto"/>
            <w:noWrap/>
            <w:vAlign w:val="bottom"/>
            <w:hideMark/>
          </w:tcPr>
          <w:p w14:paraId="5DEF08E6"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39%</w:t>
            </w:r>
          </w:p>
        </w:tc>
      </w:tr>
      <w:tr w:rsidR="009907FE" w:rsidRPr="009907FE" w14:paraId="7E5050C0" w14:textId="77777777" w:rsidTr="0033549A">
        <w:trPr>
          <w:trHeight w:val="230"/>
          <w:jc w:val="center"/>
        </w:trPr>
        <w:tc>
          <w:tcPr>
            <w:tcW w:w="2320" w:type="dxa"/>
            <w:tcBorders>
              <w:top w:val="nil"/>
              <w:left w:val="nil"/>
              <w:bottom w:val="nil"/>
              <w:right w:val="nil"/>
            </w:tcBorders>
            <w:shd w:val="clear" w:color="auto" w:fill="auto"/>
            <w:vAlign w:val="center"/>
            <w:hideMark/>
          </w:tcPr>
          <w:p w14:paraId="376575A2"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Japan</w:t>
            </w:r>
          </w:p>
        </w:tc>
        <w:tc>
          <w:tcPr>
            <w:tcW w:w="960" w:type="dxa"/>
            <w:tcBorders>
              <w:top w:val="nil"/>
              <w:left w:val="nil"/>
              <w:bottom w:val="nil"/>
              <w:right w:val="nil"/>
            </w:tcBorders>
            <w:shd w:val="clear" w:color="auto" w:fill="auto"/>
            <w:vAlign w:val="center"/>
            <w:hideMark/>
          </w:tcPr>
          <w:p w14:paraId="4A5EA271"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JPN</w:t>
            </w:r>
          </w:p>
        </w:tc>
        <w:tc>
          <w:tcPr>
            <w:tcW w:w="2540" w:type="dxa"/>
            <w:tcBorders>
              <w:top w:val="nil"/>
              <w:left w:val="nil"/>
              <w:bottom w:val="nil"/>
              <w:right w:val="nil"/>
            </w:tcBorders>
            <w:shd w:val="clear" w:color="auto" w:fill="auto"/>
            <w:noWrap/>
            <w:vAlign w:val="bottom"/>
            <w:hideMark/>
          </w:tcPr>
          <w:p w14:paraId="2B8A93AE"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81%</w:t>
            </w:r>
          </w:p>
        </w:tc>
      </w:tr>
      <w:tr w:rsidR="009907FE" w:rsidRPr="009907FE" w14:paraId="0AC1F7DC" w14:textId="77777777" w:rsidTr="0033549A">
        <w:trPr>
          <w:trHeight w:val="230"/>
          <w:jc w:val="center"/>
        </w:trPr>
        <w:tc>
          <w:tcPr>
            <w:tcW w:w="2320" w:type="dxa"/>
            <w:tcBorders>
              <w:top w:val="nil"/>
              <w:left w:val="nil"/>
              <w:bottom w:val="nil"/>
              <w:right w:val="nil"/>
            </w:tcBorders>
            <w:shd w:val="clear" w:color="auto" w:fill="auto"/>
            <w:vAlign w:val="center"/>
            <w:hideMark/>
          </w:tcPr>
          <w:p w14:paraId="6A36CE15"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Kazakhstan</w:t>
            </w:r>
          </w:p>
        </w:tc>
        <w:tc>
          <w:tcPr>
            <w:tcW w:w="960" w:type="dxa"/>
            <w:tcBorders>
              <w:top w:val="nil"/>
              <w:left w:val="nil"/>
              <w:bottom w:val="nil"/>
              <w:right w:val="nil"/>
            </w:tcBorders>
            <w:shd w:val="clear" w:color="auto" w:fill="auto"/>
            <w:vAlign w:val="center"/>
            <w:hideMark/>
          </w:tcPr>
          <w:p w14:paraId="538CF10A"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KAZ</w:t>
            </w:r>
          </w:p>
        </w:tc>
        <w:tc>
          <w:tcPr>
            <w:tcW w:w="2540" w:type="dxa"/>
            <w:tcBorders>
              <w:top w:val="nil"/>
              <w:left w:val="nil"/>
              <w:bottom w:val="nil"/>
              <w:right w:val="nil"/>
            </w:tcBorders>
            <w:shd w:val="clear" w:color="auto" w:fill="auto"/>
            <w:noWrap/>
            <w:vAlign w:val="bottom"/>
            <w:hideMark/>
          </w:tcPr>
          <w:p w14:paraId="6107FEAC"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93%</w:t>
            </w:r>
          </w:p>
        </w:tc>
      </w:tr>
      <w:tr w:rsidR="009907FE" w:rsidRPr="009907FE" w14:paraId="373199CE" w14:textId="77777777" w:rsidTr="0033549A">
        <w:trPr>
          <w:trHeight w:val="230"/>
          <w:jc w:val="center"/>
        </w:trPr>
        <w:tc>
          <w:tcPr>
            <w:tcW w:w="2320" w:type="dxa"/>
            <w:tcBorders>
              <w:top w:val="nil"/>
              <w:left w:val="nil"/>
              <w:bottom w:val="nil"/>
              <w:right w:val="nil"/>
            </w:tcBorders>
            <w:shd w:val="clear" w:color="auto" w:fill="auto"/>
            <w:vAlign w:val="center"/>
            <w:hideMark/>
          </w:tcPr>
          <w:p w14:paraId="4E4E7190"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Korea</w:t>
            </w:r>
          </w:p>
        </w:tc>
        <w:tc>
          <w:tcPr>
            <w:tcW w:w="960" w:type="dxa"/>
            <w:tcBorders>
              <w:top w:val="nil"/>
              <w:left w:val="nil"/>
              <w:bottom w:val="nil"/>
              <w:right w:val="nil"/>
            </w:tcBorders>
            <w:shd w:val="clear" w:color="auto" w:fill="auto"/>
            <w:vAlign w:val="center"/>
            <w:hideMark/>
          </w:tcPr>
          <w:p w14:paraId="32677575"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KOR</w:t>
            </w:r>
          </w:p>
        </w:tc>
        <w:tc>
          <w:tcPr>
            <w:tcW w:w="2540" w:type="dxa"/>
            <w:tcBorders>
              <w:top w:val="nil"/>
              <w:left w:val="nil"/>
              <w:bottom w:val="nil"/>
              <w:right w:val="nil"/>
            </w:tcBorders>
            <w:shd w:val="clear" w:color="auto" w:fill="auto"/>
            <w:noWrap/>
            <w:vAlign w:val="bottom"/>
            <w:hideMark/>
          </w:tcPr>
          <w:p w14:paraId="4611E2AB"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65%</w:t>
            </w:r>
          </w:p>
        </w:tc>
      </w:tr>
      <w:tr w:rsidR="009907FE" w:rsidRPr="009907FE" w14:paraId="3117B351" w14:textId="77777777" w:rsidTr="0033549A">
        <w:trPr>
          <w:trHeight w:val="230"/>
          <w:jc w:val="center"/>
        </w:trPr>
        <w:tc>
          <w:tcPr>
            <w:tcW w:w="2320" w:type="dxa"/>
            <w:tcBorders>
              <w:top w:val="nil"/>
              <w:left w:val="nil"/>
              <w:bottom w:val="nil"/>
              <w:right w:val="nil"/>
            </w:tcBorders>
            <w:shd w:val="clear" w:color="auto" w:fill="auto"/>
            <w:vAlign w:val="center"/>
            <w:hideMark/>
          </w:tcPr>
          <w:p w14:paraId="04E64BF5"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Lithuania</w:t>
            </w:r>
          </w:p>
        </w:tc>
        <w:tc>
          <w:tcPr>
            <w:tcW w:w="960" w:type="dxa"/>
            <w:tcBorders>
              <w:top w:val="nil"/>
              <w:left w:val="nil"/>
              <w:bottom w:val="nil"/>
              <w:right w:val="nil"/>
            </w:tcBorders>
            <w:shd w:val="clear" w:color="auto" w:fill="auto"/>
            <w:vAlign w:val="center"/>
            <w:hideMark/>
          </w:tcPr>
          <w:p w14:paraId="11FC9A7F"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LTU</w:t>
            </w:r>
          </w:p>
        </w:tc>
        <w:tc>
          <w:tcPr>
            <w:tcW w:w="2540" w:type="dxa"/>
            <w:tcBorders>
              <w:top w:val="nil"/>
              <w:left w:val="nil"/>
              <w:bottom w:val="nil"/>
              <w:right w:val="nil"/>
            </w:tcBorders>
            <w:shd w:val="clear" w:color="auto" w:fill="auto"/>
            <w:noWrap/>
            <w:vAlign w:val="bottom"/>
            <w:hideMark/>
          </w:tcPr>
          <w:p w14:paraId="22BFBF3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91%</w:t>
            </w:r>
          </w:p>
        </w:tc>
      </w:tr>
      <w:tr w:rsidR="009907FE" w:rsidRPr="009907FE" w14:paraId="1FE7463D" w14:textId="77777777" w:rsidTr="0033549A">
        <w:trPr>
          <w:trHeight w:val="230"/>
          <w:jc w:val="center"/>
        </w:trPr>
        <w:tc>
          <w:tcPr>
            <w:tcW w:w="2320" w:type="dxa"/>
            <w:tcBorders>
              <w:top w:val="nil"/>
              <w:left w:val="nil"/>
              <w:bottom w:val="nil"/>
              <w:right w:val="nil"/>
            </w:tcBorders>
            <w:shd w:val="clear" w:color="auto" w:fill="auto"/>
            <w:vAlign w:val="center"/>
            <w:hideMark/>
          </w:tcPr>
          <w:p w14:paraId="7546FA72"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Latvia</w:t>
            </w:r>
          </w:p>
        </w:tc>
        <w:tc>
          <w:tcPr>
            <w:tcW w:w="960" w:type="dxa"/>
            <w:tcBorders>
              <w:top w:val="nil"/>
              <w:left w:val="nil"/>
              <w:bottom w:val="nil"/>
              <w:right w:val="nil"/>
            </w:tcBorders>
            <w:shd w:val="clear" w:color="auto" w:fill="auto"/>
            <w:vAlign w:val="center"/>
            <w:hideMark/>
          </w:tcPr>
          <w:p w14:paraId="3F02E751"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LVA</w:t>
            </w:r>
          </w:p>
        </w:tc>
        <w:tc>
          <w:tcPr>
            <w:tcW w:w="2540" w:type="dxa"/>
            <w:tcBorders>
              <w:top w:val="nil"/>
              <w:left w:val="nil"/>
              <w:bottom w:val="nil"/>
              <w:right w:val="nil"/>
            </w:tcBorders>
            <w:shd w:val="clear" w:color="auto" w:fill="auto"/>
            <w:noWrap/>
            <w:vAlign w:val="bottom"/>
            <w:hideMark/>
          </w:tcPr>
          <w:p w14:paraId="6D70EAA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90%</w:t>
            </w:r>
          </w:p>
        </w:tc>
      </w:tr>
      <w:tr w:rsidR="009907FE" w:rsidRPr="009907FE" w14:paraId="4F0DE95E" w14:textId="77777777" w:rsidTr="0033549A">
        <w:trPr>
          <w:trHeight w:val="230"/>
          <w:jc w:val="center"/>
        </w:trPr>
        <w:tc>
          <w:tcPr>
            <w:tcW w:w="2320" w:type="dxa"/>
            <w:tcBorders>
              <w:top w:val="nil"/>
              <w:left w:val="nil"/>
              <w:bottom w:val="nil"/>
              <w:right w:val="nil"/>
            </w:tcBorders>
            <w:shd w:val="clear" w:color="auto" w:fill="auto"/>
            <w:vAlign w:val="center"/>
            <w:hideMark/>
          </w:tcPr>
          <w:p w14:paraId="067E5AEB"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Mexico</w:t>
            </w:r>
          </w:p>
        </w:tc>
        <w:tc>
          <w:tcPr>
            <w:tcW w:w="960" w:type="dxa"/>
            <w:tcBorders>
              <w:top w:val="nil"/>
              <w:left w:val="nil"/>
              <w:bottom w:val="nil"/>
              <w:right w:val="nil"/>
            </w:tcBorders>
            <w:shd w:val="clear" w:color="auto" w:fill="auto"/>
            <w:vAlign w:val="center"/>
            <w:hideMark/>
          </w:tcPr>
          <w:p w14:paraId="3872AB2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MEX</w:t>
            </w:r>
          </w:p>
        </w:tc>
        <w:tc>
          <w:tcPr>
            <w:tcW w:w="2540" w:type="dxa"/>
            <w:tcBorders>
              <w:top w:val="nil"/>
              <w:left w:val="nil"/>
              <w:bottom w:val="nil"/>
              <w:right w:val="nil"/>
            </w:tcBorders>
            <w:shd w:val="clear" w:color="auto" w:fill="auto"/>
            <w:noWrap/>
            <w:vAlign w:val="bottom"/>
            <w:hideMark/>
          </w:tcPr>
          <w:p w14:paraId="221D09CE"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73%</w:t>
            </w:r>
          </w:p>
        </w:tc>
      </w:tr>
      <w:tr w:rsidR="009907FE" w:rsidRPr="009907FE" w14:paraId="0BAD06F1" w14:textId="77777777" w:rsidTr="0033549A">
        <w:trPr>
          <w:trHeight w:val="230"/>
          <w:jc w:val="center"/>
        </w:trPr>
        <w:tc>
          <w:tcPr>
            <w:tcW w:w="2320" w:type="dxa"/>
            <w:tcBorders>
              <w:top w:val="nil"/>
              <w:left w:val="nil"/>
              <w:bottom w:val="nil"/>
              <w:right w:val="nil"/>
            </w:tcBorders>
            <w:shd w:val="clear" w:color="auto" w:fill="auto"/>
            <w:vAlign w:val="center"/>
            <w:hideMark/>
          </w:tcPr>
          <w:p w14:paraId="63BEAA91"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Malta</w:t>
            </w:r>
          </w:p>
        </w:tc>
        <w:tc>
          <w:tcPr>
            <w:tcW w:w="960" w:type="dxa"/>
            <w:tcBorders>
              <w:top w:val="nil"/>
              <w:left w:val="nil"/>
              <w:bottom w:val="nil"/>
              <w:right w:val="nil"/>
            </w:tcBorders>
            <w:shd w:val="clear" w:color="auto" w:fill="auto"/>
            <w:vAlign w:val="center"/>
            <w:hideMark/>
          </w:tcPr>
          <w:p w14:paraId="24A25A57"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MLT</w:t>
            </w:r>
          </w:p>
        </w:tc>
        <w:tc>
          <w:tcPr>
            <w:tcW w:w="2540" w:type="dxa"/>
            <w:tcBorders>
              <w:top w:val="nil"/>
              <w:left w:val="nil"/>
              <w:bottom w:val="nil"/>
              <w:right w:val="nil"/>
            </w:tcBorders>
            <w:shd w:val="clear" w:color="auto" w:fill="auto"/>
            <w:noWrap/>
            <w:vAlign w:val="bottom"/>
            <w:hideMark/>
          </w:tcPr>
          <w:p w14:paraId="0370710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74%</w:t>
            </w:r>
          </w:p>
        </w:tc>
      </w:tr>
      <w:tr w:rsidR="009907FE" w:rsidRPr="009907FE" w14:paraId="4DAF0303" w14:textId="77777777" w:rsidTr="0033549A">
        <w:trPr>
          <w:trHeight w:val="230"/>
          <w:jc w:val="center"/>
        </w:trPr>
        <w:tc>
          <w:tcPr>
            <w:tcW w:w="2320" w:type="dxa"/>
            <w:tcBorders>
              <w:top w:val="nil"/>
              <w:left w:val="nil"/>
              <w:bottom w:val="nil"/>
              <w:right w:val="nil"/>
            </w:tcBorders>
            <w:shd w:val="clear" w:color="auto" w:fill="auto"/>
            <w:vAlign w:val="center"/>
            <w:hideMark/>
          </w:tcPr>
          <w:p w14:paraId="07F00686"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Netherlands</w:t>
            </w:r>
          </w:p>
        </w:tc>
        <w:tc>
          <w:tcPr>
            <w:tcW w:w="960" w:type="dxa"/>
            <w:tcBorders>
              <w:top w:val="nil"/>
              <w:left w:val="nil"/>
              <w:bottom w:val="nil"/>
              <w:right w:val="nil"/>
            </w:tcBorders>
            <w:shd w:val="clear" w:color="auto" w:fill="auto"/>
            <w:vAlign w:val="center"/>
            <w:hideMark/>
          </w:tcPr>
          <w:p w14:paraId="1E36F44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NLD</w:t>
            </w:r>
          </w:p>
        </w:tc>
        <w:tc>
          <w:tcPr>
            <w:tcW w:w="2540" w:type="dxa"/>
            <w:tcBorders>
              <w:top w:val="nil"/>
              <w:left w:val="nil"/>
              <w:bottom w:val="nil"/>
              <w:right w:val="nil"/>
            </w:tcBorders>
            <w:shd w:val="clear" w:color="auto" w:fill="auto"/>
            <w:noWrap/>
            <w:vAlign w:val="bottom"/>
            <w:hideMark/>
          </w:tcPr>
          <w:p w14:paraId="3D465170"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43%</w:t>
            </w:r>
          </w:p>
        </w:tc>
      </w:tr>
      <w:tr w:rsidR="009907FE" w:rsidRPr="009907FE" w14:paraId="04F2CE4B" w14:textId="77777777" w:rsidTr="0033549A">
        <w:trPr>
          <w:trHeight w:val="230"/>
          <w:jc w:val="center"/>
        </w:trPr>
        <w:tc>
          <w:tcPr>
            <w:tcW w:w="2320" w:type="dxa"/>
            <w:tcBorders>
              <w:top w:val="nil"/>
              <w:left w:val="nil"/>
              <w:bottom w:val="nil"/>
              <w:right w:val="nil"/>
            </w:tcBorders>
            <w:shd w:val="clear" w:color="auto" w:fill="auto"/>
            <w:vAlign w:val="center"/>
            <w:hideMark/>
          </w:tcPr>
          <w:p w14:paraId="4E137550"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Norway</w:t>
            </w:r>
          </w:p>
        </w:tc>
        <w:tc>
          <w:tcPr>
            <w:tcW w:w="960" w:type="dxa"/>
            <w:tcBorders>
              <w:top w:val="nil"/>
              <w:left w:val="nil"/>
              <w:bottom w:val="nil"/>
              <w:right w:val="nil"/>
            </w:tcBorders>
            <w:shd w:val="clear" w:color="auto" w:fill="auto"/>
            <w:vAlign w:val="center"/>
            <w:hideMark/>
          </w:tcPr>
          <w:p w14:paraId="5B885521"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NOR</w:t>
            </w:r>
          </w:p>
        </w:tc>
        <w:tc>
          <w:tcPr>
            <w:tcW w:w="2540" w:type="dxa"/>
            <w:tcBorders>
              <w:top w:val="nil"/>
              <w:left w:val="nil"/>
              <w:bottom w:val="nil"/>
              <w:right w:val="nil"/>
            </w:tcBorders>
            <w:shd w:val="clear" w:color="auto" w:fill="auto"/>
            <w:noWrap/>
            <w:vAlign w:val="bottom"/>
            <w:hideMark/>
          </w:tcPr>
          <w:p w14:paraId="1836AF61"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63%</w:t>
            </w:r>
          </w:p>
        </w:tc>
      </w:tr>
      <w:tr w:rsidR="009907FE" w:rsidRPr="009907FE" w14:paraId="589847D4" w14:textId="77777777" w:rsidTr="0033549A">
        <w:trPr>
          <w:trHeight w:val="230"/>
          <w:jc w:val="center"/>
        </w:trPr>
        <w:tc>
          <w:tcPr>
            <w:tcW w:w="2320" w:type="dxa"/>
            <w:tcBorders>
              <w:top w:val="nil"/>
              <w:left w:val="nil"/>
              <w:bottom w:val="nil"/>
              <w:right w:val="nil"/>
            </w:tcBorders>
            <w:shd w:val="clear" w:color="auto" w:fill="auto"/>
            <w:vAlign w:val="center"/>
            <w:hideMark/>
          </w:tcPr>
          <w:p w14:paraId="71E0D39B"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New Zealand</w:t>
            </w:r>
          </w:p>
        </w:tc>
        <w:tc>
          <w:tcPr>
            <w:tcW w:w="960" w:type="dxa"/>
            <w:tcBorders>
              <w:top w:val="nil"/>
              <w:left w:val="nil"/>
              <w:bottom w:val="nil"/>
              <w:right w:val="nil"/>
            </w:tcBorders>
            <w:shd w:val="clear" w:color="auto" w:fill="auto"/>
            <w:vAlign w:val="center"/>
            <w:hideMark/>
          </w:tcPr>
          <w:p w14:paraId="5922E2A2"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NZL</w:t>
            </w:r>
          </w:p>
        </w:tc>
        <w:tc>
          <w:tcPr>
            <w:tcW w:w="2540" w:type="dxa"/>
            <w:tcBorders>
              <w:top w:val="nil"/>
              <w:left w:val="nil"/>
              <w:bottom w:val="nil"/>
              <w:right w:val="nil"/>
            </w:tcBorders>
            <w:shd w:val="clear" w:color="auto" w:fill="auto"/>
            <w:noWrap/>
            <w:vAlign w:val="bottom"/>
            <w:hideMark/>
          </w:tcPr>
          <w:p w14:paraId="2A5D4E7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70%</w:t>
            </w:r>
          </w:p>
        </w:tc>
      </w:tr>
      <w:tr w:rsidR="009907FE" w:rsidRPr="009907FE" w14:paraId="0B88462C" w14:textId="77777777" w:rsidTr="0033549A">
        <w:trPr>
          <w:trHeight w:val="230"/>
          <w:jc w:val="center"/>
        </w:trPr>
        <w:tc>
          <w:tcPr>
            <w:tcW w:w="2320" w:type="dxa"/>
            <w:tcBorders>
              <w:top w:val="nil"/>
              <w:left w:val="nil"/>
              <w:bottom w:val="nil"/>
              <w:right w:val="nil"/>
            </w:tcBorders>
            <w:shd w:val="clear" w:color="auto" w:fill="auto"/>
            <w:vAlign w:val="center"/>
            <w:hideMark/>
          </w:tcPr>
          <w:p w14:paraId="650881FB"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Portugal</w:t>
            </w:r>
          </w:p>
        </w:tc>
        <w:tc>
          <w:tcPr>
            <w:tcW w:w="960" w:type="dxa"/>
            <w:tcBorders>
              <w:top w:val="nil"/>
              <w:left w:val="nil"/>
              <w:bottom w:val="nil"/>
              <w:right w:val="nil"/>
            </w:tcBorders>
            <w:shd w:val="clear" w:color="auto" w:fill="auto"/>
            <w:vAlign w:val="center"/>
            <w:hideMark/>
          </w:tcPr>
          <w:p w14:paraId="126F5E97"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PRT</w:t>
            </w:r>
          </w:p>
        </w:tc>
        <w:tc>
          <w:tcPr>
            <w:tcW w:w="2540" w:type="dxa"/>
            <w:tcBorders>
              <w:top w:val="nil"/>
              <w:left w:val="nil"/>
              <w:bottom w:val="nil"/>
              <w:right w:val="nil"/>
            </w:tcBorders>
            <w:shd w:val="clear" w:color="auto" w:fill="auto"/>
            <w:noWrap/>
            <w:vAlign w:val="bottom"/>
            <w:hideMark/>
          </w:tcPr>
          <w:p w14:paraId="558C899E"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23%</w:t>
            </w:r>
          </w:p>
        </w:tc>
      </w:tr>
      <w:tr w:rsidR="009907FE" w:rsidRPr="009907FE" w14:paraId="2682F29D" w14:textId="77777777" w:rsidTr="0033549A">
        <w:trPr>
          <w:trHeight w:val="230"/>
          <w:jc w:val="center"/>
        </w:trPr>
        <w:tc>
          <w:tcPr>
            <w:tcW w:w="2320" w:type="dxa"/>
            <w:tcBorders>
              <w:top w:val="nil"/>
              <w:left w:val="nil"/>
              <w:bottom w:val="nil"/>
              <w:right w:val="nil"/>
            </w:tcBorders>
            <w:shd w:val="clear" w:color="auto" w:fill="auto"/>
            <w:vAlign w:val="center"/>
            <w:hideMark/>
          </w:tcPr>
          <w:p w14:paraId="05F8BC50"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Romania</w:t>
            </w:r>
          </w:p>
        </w:tc>
        <w:tc>
          <w:tcPr>
            <w:tcW w:w="960" w:type="dxa"/>
            <w:tcBorders>
              <w:top w:val="nil"/>
              <w:left w:val="nil"/>
              <w:bottom w:val="nil"/>
              <w:right w:val="nil"/>
            </w:tcBorders>
            <w:shd w:val="clear" w:color="auto" w:fill="auto"/>
            <w:vAlign w:val="center"/>
            <w:hideMark/>
          </w:tcPr>
          <w:p w14:paraId="325CF0A0"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ROU</w:t>
            </w:r>
          </w:p>
        </w:tc>
        <w:tc>
          <w:tcPr>
            <w:tcW w:w="2540" w:type="dxa"/>
            <w:tcBorders>
              <w:top w:val="nil"/>
              <w:left w:val="nil"/>
              <w:bottom w:val="nil"/>
              <w:right w:val="nil"/>
            </w:tcBorders>
            <w:shd w:val="clear" w:color="auto" w:fill="auto"/>
            <w:noWrap/>
            <w:vAlign w:val="bottom"/>
            <w:hideMark/>
          </w:tcPr>
          <w:p w14:paraId="3288005E"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94%</w:t>
            </w:r>
          </w:p>
        </w:tc>
      </w:tr>
      <w:tr w:rsidR="009907FE" w:rsidRPr="009907FE" w14:paraId="5DE67929" w14:textId="77777777" w:rsidTr="0033549A">
        <w:trPr>
          <w:trHeight w:val="230"/>
          <w:jc w:val="center"/>
        </w:trPr>
        <w:tc>
          <w:tcPr>
            <w:tcW w:w="2320" w:type="dxa"/>
            <w:tcBorders>
              <w:top w:val="nil"/>
              <w:left w:val="nil"/>
              <w:bottom w:val="nil"/>
              <w:right w:val="nil"/>
            </w:tcBorders>
            <w:shd w:val="clear" w:color="auto" w:fill="auto"/>
            <w:vAlign w:val="center"/>
            <w:hideMark/>
          </w:tcPr>
          <w:p w14:paraId="08A22A0F"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Russian Federation</w:t>
            </w:r>
          </w:p>
        </w:tc>
        <w:tc>
          <w:tcPr>
            <w:tcW w:w="960" w:type="dxa"/>
            <w:tcBorders>
              <w:top w:val="nil"/>
              <w:left w:val="nil"/>
              <w:bottom w:val="nil"/>
              <w:right w:val="nil"/>
            </w:tcBorders>
            <w:shd w:val="clear" w:color="auto" w:fill="auto"/>
            <w:vAlign w:val="center"/>
            <w:hideMark/>
          </w:tcPr>
          <w:p w14:paraId="50343DB1"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RUS</w:t>
            </w:r>
          </w:p>
        </w:tc>
        <w:tc>
          <w:tcPr>
            <w:tcW w:w="2540" w:type="dxa"/>
            <w:tcBorders>
              <w:top w:val="nil"/>
              <w:left w:val="nil"/>
              <w:bottom w:val="nil"/>
              <w:right w:val="nil"/>
            </w:tcBorders>
            <w:shd w:val="clear" w:color="auto" w:fill="auto"/>
            <w:noWrap/>
            <w:vAlign w:val="bottom"/>
            <w:hideMark/>
          </w:tcPr>
          <w:p w14:paraId="7F2F8AA3"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97%</w:t>
            </w:r>
          </w:p>
        </w:tc>
      </w:tr>
      <w:tr w:rsidR="009907FE" w:rsidRPr="009907FE" w14:paraId="0E27F5B0" w14:textId="77777777" w:rsidTr="0033549A">
        <w:trPr>
          <w:trHeight w:val="230"/>
          <w:jc w:val="center"/>
        </w:trPr>
        <w:tc>
          <w:tcPr>
            <w:tcW w:w="2320" w:type="dxa"/>
            <w:tcBorders>
              <w:top w:val="nil"/>
              <w:left w:val="nil"/>
              <w:bottom w:val="nil"/>
              <w:right w:val="nil"/>
            </w:tcBorders>
            <w:shd w:val="clear" w:color="auto" w:fill="auto"/>
            <w:vAlign w:val="center"/>
            <w:hideMark/>
          </w:tcPr>
          <w:p w14:paraId="6DC3141A"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Saudi Arabia</w:t>
            </w:r>
          </w:p>
        </w:tc>
        <w:tc>
          <w:tcPr>
            <w:tcW w:w="960" w:type="dxa"/>
            <w:tcBorders>
              <w:top w:val="nil"/>
              <w:left w:val="nil"/>
              <w:bottom w:val="nil"/>
              <w:right w:val="nil"/>
            </w:tcBorders>
            <w:shd w:val="clear" w:color="auto" w:fill="auto"/>
            <w:vAlign w:val="center"/>
            <w:hideMark/>
          </w:tcPr>
          <w:p w14:paraId="6FE70D1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SAU</w:t>
            </w:r>
          </w:p>
        </w:tc>
        <w:tc>
          <w:tcPr>
            <w:tcW w:w="2540" w:type="dxa"/>
            <w:tcBorders>
              <w:top w:val="nil"/>
              <w:left w:val="nil"/>
              <w:bottom w:val="nil"/>
              <w:right w:val="nil"/>
            </w:tcBorders>
            <w:shd w:val="clear" w:color="auto" w:fill="auto"/>
            <w:noWrap/>
            <w:vAlign w:val="bottom"/>
            <w:hideMark/>
          </w:tcPr>
          <w:p w14:paraId="0DEE6867"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72%</w:t>
            </w:r>
          </w:p>
        </w:tc>
      </w:tr>
      <w:tr w:rsidR="009907FE" w:rsidRPr="009907FE" w14:paraId="40065BCA" w14:textId="77777777" w:rsidTr="0033549A">
        <w:trPr>
          <w:trHeight w:val="230"/>
          <w:jc w:val="center"/>
        </w:trPr>
        <w:tc>
          <w:tcPr>
            <w:tcW w:w="2320" w:type="dxa"/>
            <w:tcBorders>
              <w:top w:val="nil"/>
              <w:left w:val="nil"/>
              <w:bottom w:val="nil"/>
              <w:right w:val="nil"/>
            </w:tcBorders>
            <w:shd w:val="clear" w:color="auto" w:fill="auto"/>
            <w:vAlign w:val="center"/>
            <w:hideMark/>
          </w:tcPr>
          <w:p w14:paraId="2E09123E"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Singapore</w:t>
            </w:r>
          </w:p>
        </w:tc>
        <w:tc>
          <w:tcPr>
            <w:tcW w:w="960" w:type="dxa"/>
            <w:tcBorders>
              <w:top w:val="nil"/>
              <w:left w:val="nil"/>
              <w:bottom w:val="nil"/>
              <w:right w:val="nil"/>
            </w:tcBorders>
            <w:shd w:val="clear" w:color="auto" w:fill="auto"/>
            <w:vAlign w:val="center"/>
            <w:hideMark/>
          </w:tcPr>
          <w:p w14:paraId="2D0D9BEE"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SGP</w:t>
            </w:r>
          </w:p>
        </w:tc>
        <w:tc>
          <w:tcPr>
            <w:tcW w:w="2540" w:type="dxa"/>
            <w:tcBorders>
              <w:top w:val="nil"/>
              <w:left w:val="nil"/>
              <w:bottom w:val="nil"/>
              <w:right w:val="nil"/>
            </w:tcBorders>
            <w:shd w:val="clear" w:color="auto" w:fill="auto"/>
            <w:noWrap/>
            <w:vAlign w:val="bottom"/>
            <w:hideMark/>
          </w:tcPr>
          <w:p w14:paraId="7E23D745"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93%</w:t>
            </w:r>
          </w:p>
        </w:tc>
      </w:tr>
      <w:tr w:rsidR="009907FE" w:rsidRPr="009907FE" w14:paraId="1F814989" w14:textId="77777777" w:rsidTr="0033549A">
        <w:trPr>
          <w:trHeight w:val="230"/>
          <w:jc w:val="center"/>
        </w:trPr>
        <w:tc>
          <w:tcPr>
            <w:tcW w:w="2320" w:type="dxa"/>
            <w:tcBorders>
              <w:top w:val="nil"/>
              <w:left w:val="nil"/>
              <w:bottom w:val="nil"/>
              <w:right w:val="nil"/>
            </w:tcBorders>
            <w:shd w:val="clear" w:color="auto" w:fill="auto"/>
            <w:vAlign w:val="center"/>
            <w:hideMark/>
          </w:tcPr>
          <w:p w14:paraId="4EFC399C"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Slovak Republic</w:t>
            </w:r>
          </w:p>
        </w:tc>
        <w:tc>
          <w:tcPr>
            <w:tcW w:w="960" w:type="dxa"/>
            <w:tcBorders>
              <w:top w:val="nil"/>
              <w:left w:val="nil"/>
              <w:bottom w:val="nil"/>
              <w:right w:val="nil"/>
            </w:tcBorders>
            <w:shd w:val="clear" w:color="auto" w:fill="auto"/>
            <w:vAlign w:val="center"/>
            <w:hideMark/>
          </w:tcPr>
          <w:p w14:paraId="3D3AFEB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SVK</w:t>
            </w:r>
          </w:p>
        </w:tc>
        <w:tc>
          <w:tcPr>
            <w:tcW w:w="2540" w:type="dxa"/>
            <w:tcBorders>
              <w:top w:val="nil"/>
              <w:left w:val="nil"/>
              <w:bottom w:val="nil"/>
              <w:right w:val="nil"/>
            </w:tcBorders>
            <w:shd w:val="clear" w:color="auto" w:fill="auto"/>
            <w:noWrap/>
            <w:vAlign w:val="bottom"/>
            <w:hideMark/>
          </w:tcPr>
          <w:p w14:paraId="1B4ACC03"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93%</w:t>
            </w:r>
          </w:p>
        </w:tc>
      </w:tr>
      <w:tr w:rsidR="009907FE" w:rsidRPr="009907FE" w14:paraId="75B23B64" w14:textId="77777777" w:rsidTr="0033549A">
        <w:trPr>
          <w:trHeight w:val="230"/>
          <w:jc w:val="center"/>
        </w:trPr>
        <w:tc>
          <w:tcPr>
            <w:tcW w:w="2320" w:type="dxa"/>
            <w:tcBorders>
              <w:top w:val="nil"/>
              <w:left w:val="nil"/>
              <w:bottom w:val="nil"/>
              <w:right w:val="nil"/>
            </w:tcBorders>
            <w:shd w:val="clear" w:color="auto" w:fill="auto"/>
            <w:vAlign w:val="center"/>
            <w:hideMark/>
          </w:tcPr>
          <w:p w14:paraId="3DEEDA52"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Slovenia</w:t>
            </w:r>
          </w:p>
        </w:tc>
        <w:tc>
          <w:tcPr>
            <w:tcW w:w="960" w:type="dxa"/>
            <w:tcBorders>
              <w:top w:val="nil"/>
              <w:left w:val="nil"/>
              <w:bottom w:val="nil"/>
              <w:right w:val="nil"/>
            </w:tcBorders>
            <w:shd w:val="clear" w:color="auto" w:fill="auto"/>
            <w:vAlign w:val="center"/>
            <w:hideMark/>
          </w:tcPr>
          <w:p w14:paraId="0F3A558E"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SVN</w:t>
            </w:r>
          </w:p>
        </w:tc>
        <w:tc>
          <w:tcPr>
            <w:tcW w:w="2540" w:type="dxa"/>
            <w:tcBorders>
              <w:top w:val="nil"/>
              <w:left w:val="nil"/>
              <w:bottom w:val="nil"/>
              <w:right w:val="nil"/>
            </w:tcBorders>
            <w:shd w:val="clear" w:color="auto" w:fill="auto"/>
            <w:noWrap/>
            <w:vAlign w:val="bottom"/>
            <w:hideMark/>
          </w:tcPr>
          <w:p w14:paraId="4BF0F34A"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71%</w:t>
            </w:r>
          </w:p>
        </w:tc>
      </w:tr>
      <w:tr w:rsidR="009907FE" w:rsidRPr="009907FE" w14:paraId="49EEDEB4" w14:textId="77777777" w:rsidTr="0033549A">
        <w:trPr>
          <w:trHeight w:val="230"/>
          <w:jc w:val="center"/>
        </w:trPr>
        <w:tc>
          <w:tcPr>
            <w:tcW w:w="2320" w:type="dxa"/>
            <w:tcBorders>
              <w:top w:val="nil"/>
              <w:left w:val="nil"/>
              <w:bottom w:val="nil"/>
              <w:right w:val="nil"/>
            </w:tcBorders>
            <w:shd w:val="clear" w:color="auto" w:fill="auto"/>
            <w:vAlign w:val="center"/>
            <w:hideMark/>
          </w:tcPr>
          <w:p w14:paraId="519D5F8B"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Sweden</w:t>
            </w:r>
          </w:p>
        </w:tc>
        <w:tc>
          <w:tcPr>
            <w:tcW w:w="960" w:type="dxa"/>
            <w:tcBorders>
              <w:top w:val="nil"/>
              <w:left w:val="nil"/>
              <w:bottom w:val="nil"/>
              <w:right w:val="nil"/>
            </w:tcBorders>
            <w:shd w:val="clear" w:color="auto" w:fill="auto"/>
            <w:vAlign w:val="center"/>
            <w:hideMark/>
          </w:tcPr>
          <w:p w14:paraId="1D6726D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SWE</w:t>
            </w:r>
          </w:p>
        </w:tc>
        <w:tc>
          <w:tcPr>
            <w:tcW w:w="2540" w:type="dxa"/>
            <w:tcBorders>
              <w:top w:val="nil"/>
              <w:left w:val="nil"/>
              <w:bottom w:val="nil"/>
              <w:right w:val="nil"/>
            </w:tcBorders>
            <w:shd w:val="clear" w:color="auto" w:fill="auto"/>
            <w:noWrap/>
            <w:vAlign w:val="bottom"/>
            <w:hideMark/>
          </w:tcPr>
          <w:p w14:paraId="194A1406"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74%</w:t>
            </w:r>
          </w:p>
        </w:tc>
      </w:tr>
      <w:tr w:rsidR="009907FE" w:rsidRPr="009907FE" w14:paraId="3D5483F7" w14:textId="77777777" w:rsidTr="0033549A">
        <w:trPr>
          <w:trHeight w:val="230"/>
          <w:jc w:val="center"/>
        </w:trPr>
        <w:tc>
          <w:tcPr>
            <w:tcW w:w="2320" w:type="dxa"/>
            <w:tcBorders>
              <w:top w:val="nil"/>
              <w:left w:val="nil"/>
              <w:bottom w:val="nil"/>
              <w:right w:val="nil"/>
            </w:tcBorders>
            <w:shd w:val="clear" w:color="auto" w:fill="auto"/>
            <w:vAlign w:val="center"/>
            <w:hideMark/>
          </w:tcPr>
          <w:p w14:paraId="6BE285E4" w14:textId="77777777"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Turkey</w:t>
            </w:r>
          </w:p>
        </w:tc>
        <w:tc>
          <w:tcPr>
            <w:tcW w:w="960" w:type="dxa"/>
            <w:tcBorders>
              <w:top w:val="nil"/>
              <w:left w:val="nil"/>
              <w:bottom w:val="nil"/>
              <w:right w:val="nil"/>
            </w:tcBorders>
            <w:shd w:val="clear" w:color="auto" w:fill="auto"/>
            <w:vAlign w:val="center"/>
            <w:hideMark/>
          </w:tcPr>
          <w:p w14:paraId="6C37683F"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TUR</w:t>
            </w:r>
          </w:p>
        </w:tc>
        <w:tc>
          <w:tcPr>
            <w:tcW w:w="2540" w:type="dxa"/>
            <w:tcBorders>
              <w:top w:val="nil"/>
              <w:left w:val="nil"/>
              <w:bottom w:val="nil"/>
              <w:right w:val="nil"/>
            </w:tcBorders>
            <w:shd w:val="clear" w:color="auto" w:fill="auto"/>
            <w:noWrap/>
            <w:vAlign w:val="bottom"/>
            <w:hideMark/>
          </w:tcPr>
          <w:p w14:paraId="24A732CC"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56%</w:t>
            </w:r>
          </w:p>
        </w:tc>
      </w:tr>
      <w:tr w:rsidR="009907FE" w:rsidRPr="009907FE" w14:paraId="03D07666" w14:textId="77777777" w:rsidTr="0033549A">
        <w:trPr>
          <w:trHeight w:val="230"/>
          <w:jc w:val="center"/>
        </w:trPr>
        <w:tc>
          <w:tcPr>
            <w:tcW w:w="2320" w:type="dxa"/>
            <w:tcBorders>
              <w:top w:val="nil"/>
              <w:left w:val="nil"/>
              <w:bottom w:val="single" w:sz="4" w:space="0" w:color="auto"/>
              <w:right w:val="nil"/>
            </w:tcBorders>
            <w:shd w:val="clear" w:color="auto" w:fill="auto"/>
            <w:vAlign w:val="center"/>
            <w:hideMark/>
          </w:tcPr>
          <w:p w14:paraId="6E577BFC" w14:textId="436CE35C" w:rsidR="009907FE" w:rsidRPr="009907FE" w:rsidRDefault="009907FE" w:rsidP="009907FE">
            <w:pPr>
              <w:spacing w:after="0" w:line="240" w:lineRule="auto"/>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Viet</w:t>
            </w:r>
            <w:r w:rsidR="000E279B">
              <w:rPr>
                <w:rFonts w:ascii="Times New Roman" w:eastAsia="Times New Roman" w:hAnsi="Times New Roman" w:cs="Times New Roman"/>
                <w:color w:val="000000"/>
                <w:lang w:eastAsia="en-GB"/>
              </w:rPr>
              <w:t>n</w:t>
            </w:r>
            <w:r w:rsidRPr="009907FE">
              <w:rPr>
                <w:rFonts w:ascii="Times New Roman" w:eastAsia="Times New Roman" w:hAnsi="Times New Roman" w:cs="Times New Roman"/>
                <w:color w:val="000000"/>
                <w:lang w:eastAsia="en-GB"/>
              </w:rPr>
              <w:t>am</w:t>
            </w:r>
          </w:p>
        </w:tc>
        <w:tc>
          <w:tcPr>
            <w:tcW w:w="960" w:type="dxa"/>
            <w:tcBorders>
              <w:top w:val="nil"/>
              <w:left w:val="nil"/>
              <w:bottom w:val="single" w:sz="4" w:space="0" w:color="auto"/>
              <w:right w:val="nil"/>
            </w:tcBorders>
            <w:shd w:val="clear" w:color="auto" w:fill="auto"/>
            <w:vAlign w:val="center"/>
            <w:hideMark/>
          </w:tcPr>
          <w:p w14:paraId="2D3C69E9"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VNM</w:t>
            </w:r>
          </w:p>
        </w:tc>
        <w:tc>
          <w:tcPr>
            <w:tcW w:w="2540" w:type="dxa"/>
            <w:tcBorders>
              <w:top w:val="nil"/>
              <w:left w:val="nil"/>
              <w:bottom w:val="single" w:sz="4" w:space="0" w:color="auto"/>
              <w:right w:val="nil"/>
            </w:tcBorders>
            <w:shd w:val="clear" w:color="auto" w:fill="auto"/>
            <w:noWrap/>
            <w:vAlign w:val="bottom"/>
            <w:hideMark/>
          </w:tcPr>
          <w:p w14:paraId="01B7D0C3" w14:textId="77777777" w:rsidR="009907FE" w:rsidRPr="009907FE" w:rsidRDefault="009907FE" w:rsidP="009907FE">
            <w:pPr>
              <w:spacing w:after="0" w:line="240" w:lineRule="auto"/>
              <w:jc w:val="center"/>
              <w:rPr>
                <w:rFonts w:ascii="Times New Roman" w:eastAsia="Times New Roman" w:hAnsi="Times New Roman" w:cs="Times New Roman"/>
                <w:color w:val="000000"/>
                <w:lang w:eastAsia="en-GB"/>
              </w:rPr>
            </w:pPr>
            <w:r w:rsidRPr="009907FE">
              <w:rPr>
                <w:rFonts w:ascii="Times New Roman" w:eastAsia="Times New Roman" w:hAnsi="Times New Roman" w:cs="Times New Roman"/>
                <w:color w:val="000000"/>
                <w:lang w:eastAsia="en-GB"/>
              </w:rPr>
              <w:t>91%</w:t>
            </w:r>
          </w:p>
        </w:tc>
      </w:tr>
    </w:tbl>
    <w:p w14:paraId="30615D50" w14:textId="77777777" w:rsidR="00E05EAC" w:rsidRDefault="00E05EAC" w:rsidP="00E05EAC">
      <w:pPr>
        <w:spacing w:line="360" w:lineRule="auto"/>
        <w:jc w:val="center"/>
        <w:rPr>
          <w:rFonts w:ascii="Times New Roman" w:hAnsi="Times New Roman" w:cs="Times New Roman"/>
          <w:sz w:val="24"/>
          <w:szCs w:val="24"/>
        </w:rPr>
      </w:pPr>
    </w:p>
    <w:p w14:paraId="013BF832" w14:textId="22F0ED3A" w:rsidR="00E05EAC" w:rsidRDefault="00E05EAC" w:rsidP="00697230">
      <w:pPr>
        <w:spacing w:line="360" w:lineRule="auto"/>
        <w:jc w:val="both"/>
        <w:rPr>
          <w:rFonts w:ascii="Times New Roman" w:hAnsi="Times New Roman" w:cs="Times New Roman"/>
          <w:sz w:val="24"/>
          <w:szCs w:val="24"/>
        </w:rPr>
      </w:pPr>
    </w:p>
    <w:p w14:paraId="0FC98378" w14:textId="1E22CF5B" w:rsidR="00892E2A" w:rsidRDefault="00892E2A" w:rsidP="00697230">
      <w:pPr>
        <w:spacing w:line="360" w:lineRule="auto"/>
        <w:jc w:val="both"/>
        <w:rPr>
          <w:rFonts w:ascii="Times New Roman" w:hAnsi="Times New Roman" w:cs="Times New Roman"/>
          <w:sz w:val="24"/>
          <w:szCs w:val="24"/>
        </w:rPr>
      </w:pPr>
    </w:p>
    <w:p w14:paraId="38799839" w14:textId="38D0A32D" w:rsidR="00892E2A" w:rsidRDefault="00892E2A" w:rsidP="00697230">
      <w:pPr>
        <w:spacing w:line="360" w:lineRule="auto"/>
        <w:jc w:val="both"/>
        <w:rPr>
          <w:rFonts w:ascii="Times New Roman" w:hAnsi="Times New Roman" w:cs="Times New Roman"/>
          <w:sz w:val="24"/>
          <w:szCs w:val="24"/>
        </w:rPr>
      </w:pPr>
    </w:p>
    <w:p w14:paraId="3C661100" w14:textId="435B1085" w:rsidR="00892E2A" w:rsidRPr="00C91693" w:rsidRDefault="00892E2A" w:rsidP="008B4E20">
      <w:pPr>
        <w:spacing w:line="240" w:lineRule="auto"/>
        <w:jc w:val="center"/>
        <w:rPr>
          <w:rFonts w:ascii="Times New Roman" w:hAnsi="Times New Roman" w:cs="Times New Roman"/>
          <w:b/>
          <w:bCs/>
          <w:caps/>
          <w:sz w:val="24"/>
          <w:szCs w:val="24"/>
        </w:rPr>
      </w:pPr>
      <w:r>
        <w:rPr>
          <w:rFonts w:ascii="Times New Roman" w:hAnsi="Times New Roman" w:cs="Times New Roman"/>
          <w:b/>
          <w:bCs/>
          <w:sz w:val="24"/>
          <w:szCs w:val="24"/>
        </w:rPr>
        <w:lastRenderedPageBreak/>
        <w:t>Appendix C</w:t>
      </w:r>
      <w:r w:rsidRPr="00C91693">
        <w:rPr>
          <w:rFonts w:ascii="Times New Roman" w:hAnsi="Times New Roman" w:cs="Times New Roman"/>
          <w:b/>
          <w:bCs/>
          <w:sz w:val="24"/>
          <w:szCs w:val="24"/>
        </w:rPr>
        <w:t xml:space="preserve"> Biomarkers included in the </w:t>
      </w:r>
      <w:proofErr w:type="spellStart"/>
      <w:r w:rsidRPr="00C91693">
        <w:rPr>
          <w:rFonts w:ascii="Times New Roman" w:hAnsi="Times New Roman" w:cs="Times New Roman"/>
          <w:b/>
          <w:bCs/>
          <w:sz w:val="24"/>
          <w:szCs w:val="24"/>
        </w:rPr>
        <w:t>Allostatic</w:t>
      </w:r>
      <w:proofErr w:type="spellEnd"/>
      <w:r w:rsidRPr="00C91693">
        <w:rPr>
          <w:rFonts w:ascii="Times New Roman" w:hAnsi="Times New Roman" w:cs="Times New Roman"/>
          <w:b/>
          <w:bCs/>
          <w:sz w:val="24"/>
          <w:szCs w:val="24"/>
        </w:rPr>
        <w:t xml:space="preserve"> Load Index in the two datasets</w:t>
      </w:r>
    </w:p>
    <w:tbl>
      <w:tblPr>
        <w:tblStyle w:val="TableGrid"/>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4"/>
        <w:gridCol w:w="1701"/>
        <w:gridCol w:w="4962"/>
        <w:gridCol w:w="1061"/>
      </w:tblGrid>
      <w:tr w:rsidR="00892E2A" w14:paraId="40AEE128" w14:textId="77777777" w:rsidTr="0022373F">
        <w:trPr>
          <w:gridAfter w:val="1"/>
          <w:wAfter w:w="1061" w:type="dxa"/>
        </w:trPr>
        <w:tc>
          <w:tcPr>
            <w:tcW w:w="1774" w:type="dxa"/>
            <w:tcBorders>
              <w:top w:val="single" w:sz="4" w:space="0" w:color="auto"/>
              <w:bottom w:val="single" w:sz="4" w:space="0" w:color="auto"/>
            </w:tcBorders>
            <w:shd w:val="clear" w:color="auto" w:fill="D9E2F3" w:themeFill="accent1" w:themeFillTint="33"/>
          </w:tcPr>
          <w:p w14:paraId="32A70B09" w14:textId="77777777" w:rsidR="00892E2A" w:rsidRPr="00624F9E" w:rsidRDefault="00892E2A" w:rsidP="0022373F">
            <w:pPr>
              <w:spacing w:line="240" w:lineRule="auto"/>
              <w:jc w:val="center"/>
              <w:rPr>
                <w:rFonts w:ascii="Times New Roman" w:hAnsi="Times New Roman" w:cs="Times New Roman"/>
                <w:b/>
                <w:bCs/>
                <w:sz w:val="20"/>
                <w:szCs w:val="20"/>
              </w:rPr>
            </w:pPr>
            <w:r w:rsidRPr="00624F9E">
              <w:rPr>
                <w:rFonts w:ascii="Times New Roman" w:hAnsi="Times New Roman" w:cs="Times New Roman"/>
                <w:b/>
                <w:bCs/>
                <w:sz w:val="20"/>
                <w:szCs w:val="20"/>
              </w:rPr>
              <w:t>Understanding Society</w:t>
            </w:r>
          </w:p>
        </w:tc>
        <w:tc>
          <w:tcPr>
            <w:tcW w:w="1701" w:type="dxa"/>
            <w:tcBorders>
              <w:top w:val="single" w:sz="4" w:space="0" w:color="auto"/>
              <w:bottom w:val="single" w:sz="4" w:space="0" w:color="auto"/>
            </w:tcBorders>
            <w:shd w:val="clear" w:color="auto" w:fill="D9E2F3" w:themeFill="accent1" w:themeFillTint="33"/>
          </w:tcPr>
          <w:p w14:paraId="4D5F3089" w14:textId="77777777" w:rsidR="00892E2A" w:rsidRPr="00624F9E" w:rsidRDefault="00892E2A" w:rsidP="0022373F">
            <w:pPr>
              <w:spacing w:line="240" w:lineRule="auto"/>
              <w:jc w:val="center"/>
              <w:rPr>
                <w:rFonts w:ascii="Times New Roman" w:hAnsi="Times New Roman" w:cs="Times New Roman"/>
                <w:b/>
                <w:bCs/>
                <w:sz w:val="20"/>
                <w:szCs w:val="20"/>
              </w:rPr>
            </w:pPr>
            <w:r w:rsidRPr="00624F9E">
              <w:rPr>
                <w:rFonts w:ascii="Times New Roman" w:hAnsi="Times New Roman" w:cs="Times New Roman"/>
                <w:b/>
                <w:bCs/>
                <w:sz w:val="20"/>
                <w:szCs w:val="20"/>
              </w:rPr>
              <w:t>UK Biobank</w:t>
            </w:r>
          </w:p>
        </w:tc>
        <w:tc>
          <w:tcPr>
            <w:tcW w:w="4962" w:type="dxa"/>
            <w:tcBorders>
              <w:top w:val="single" w:sz="4" w:space="0" w:color="auto"/>
              <w:bottom w:val="single" w:sz="4" w:space="0" w:color="auto"/>
            </w:tcBorders>
            <w:shd w:val="clear" w:color="auto" w:fill="D9E2F3" w:themeFill="accent1" w:themeFillTint="33"/>
            <w:vAlign w:val="center"/>
          </w:tcPr>
          <w:p w14:paraId="57D5D08F" w14:textId="77777777" w:rsidR="00892E2A" w:rsidRPr="00624F9E" w:rsidRDefault="00892E2A" w:rsidP="0022373F">
            <w:pPr>
              <w:spacing w:line="240" w:lineRule="auto"/>
              <w:jc w:val="center"/>
              <w:rPr>
                <w:rFonts w:ascii="Times New Roman" w:hAnsi="Times New Roman" w:cs="Times New Roman"/>
                <w:b/>
                <w:bCs/>
                <w:sz w:val="20"/>
                <w:szCs w:val="20"/>
              </w:rPr>
            </w:pPr>
            <w:r>
              <w:rPr>
                <w:rFonts w:ascii="Times New Roman" w:hAnsi="Times New Roman" w:cs="Times New Roman"/>
                <w:b/>
                <w:bCs/>
                <w:sz w:val="20"/>
                <w:szCs w:val="20"/>
              </w:rPr>
              <w:t>Notes</w:t>
            </w:r>
          </w:p>
        </w:tc>
      </w:tr>
      <w:tr w:rsidR="00892E2A" w14:paraId="52ADE9CF" w14:textId="77777777" w:rsidTr="0022373F">
        <w:trPr>
          <w:gridAfter w:val="1"/>
          <w:wAfter w:w="1061" w:type="dxa"/>
        </w:trPr>
        <w:tc>
          <w:tcPr>
            <w:tcW w:w="1774" w:type="dxa"/>
            <w:tcBorders>
              <w:top w:val="single" w:sz="4" w:space="0" w:color="auto"/>
            </w:tcBorders>
            <w:vAlign w:val="center"/>
          </w:tcPr>
          <w:p w14:paraId="100081E4"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sz w:val="20"/>
                <w:szCs w:val="20"/>
              </w:rPr>
              <w:t>Insulin-like growth factor</w:t>
            </w:r>
          </w:p>
        </w:tc>
        <w:tc>
          <w:tcPr>
            <w:tcW w:w="1701" w:type="dxa"/>
            <w:tcBorders>
              <w:top w:val="single" w:sz="4" w:space="0" w:color="auto"/>
            </w:tcBorders>
            <w:vAlign w:val="center"/>
          </w:tcPr>
          <w:p w14:paraId="7E83D0CE" w14:textId="77777777" w:rsidR="00892E2A" w:rsidRPr="00624F9E" w:rsidRDefault="00892E2A" w:rsidP="0022373F">
            <w:pPr>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4962" w:type="dxa"/>
            <w:tcBorders>
              <w:top w:val="single" w:sz="4" w:space="0" w:color="auto"/>
            </w:tcBorders>
            <w:vAlign w:val="center"/>
          </w:tcPr>
          <w:p w14:paraId="21EE6BE5"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sz w:val="20"/>
                <w:szCs w:val="20"/>
              </w:rPr>
              <w:t>Hormones that regulate blood glucose levels. Biomarker for diabetes and cancer (</w:t>
            </w:r>
            <w:r w:rsidRPr="00AE3D2B">
              <w:rPr>
                <w:rFonts w:ascii="Times New Roman" w:hAnsi="Times New Roman" w:cs="Times New Roman"/>
                <w:color w:val="222222"/>
                <w:sz w:val="20"/>
                <w:szCs w:val="20"/>
                <w:shd w:val="clear" w:color="auto" w:fill="FFFFFF"/>
              </w:rPr>
              <w:t>Clayton et al.</w:t>
            </w:r>
            <w:r>
              <w:rPr>
                <w:rFonts w:ascii="Times New Roman" w:hAnsi="Times New Roman" w:cs="Times New Roman"/>
                <w:color w:val="222222"/>
                <w:sz w:val="20"/>
                <w:szCs w:val="20"/>
                <w:shd w:val="clear" w:color="auto" w:fill="FFFFFF"/>
              </w:rPr>
              <w:t xml:space="preserve">, </w:t>
            </w:r>
            <w:r w:rsidRPr="00AE3D2B">
              <w:rPr>
                <w:rFonts w:ascii="Times New Roman" w:hAnsi="Times New Roman" w:cs="Times New Roman"/>
                <w:color w:val="222222"/>
                <w:sz w:val="20"/>
                <w:szCs w:val="20"/>
                <w:shd w:val="clear" w:color="auto" w:fill="FFFFFF"/>
              </w:rPr>
              <w:t>2011</w:t>
            </w:r>
            <w:r>
              <w:rPr>
                <w:rFonts w:ascii="Times New Roman" w:hAnsi="Times New Roman" w:cs="Times New Roman"/>
                <w:color w:val="222222"/>
                <w:sz w:val="20"/>
                <w:szCs w:val="20"/>
                <w:shd w:val="clear" w:color="auto" w:fill="FFFFFF"/>
              </w:rPr>
              <w:t xml:space="preserve">; </w:t>
            </w:r>
            <w:proofErr w:type="spellStart"/>
            <w:r w:rsidRPr="00AE3D2B">
              <w:rPr>
                <w:rFonts w:ascii="Times New Roman" w:hAnsi="Times New Roman" w:cs="Times New Roman"/>
                <w:color w:val="222222"/>
                <w:sz w:val="20"/>
                <w:szCs w:val="20"/>
                <w:shd w:val="clear" w:color="auto" w:fill="FFFFFF"/>
              </w:rPr>
              <w:t>Lewitt</w:t>
            </w:r>
            <w:proofErr w:type="spellEnd"/>
            <w:r w:rsidRPr="00AE3D2B">
              <w:rPr>
                <w:rFonts w:ascii="Times New Roman" w:hAnsi="Times New Roman" w:cs="Times New Roman"/>
                <w:color w:val="222222"/>
                <w:sz w:val="20"/>
                <w:szCs w:val="20"/>
                <w:shd w:val="clear" w:color="auto" w:fill="FFFFFF"/>
              </w:rPr>
              <w:t>, Dent, &amp; Hall</w:t>
            </w:r>
            <w:r>
              <w:rPr>
                <w:rFonts w:ascii="Times New Roman" w:hAnsi="Times New Roman" w:cs="Times New Roman"/>
                <w:color w:val="222222"/>
                <w:sz w:val="20"/>
                <w:szCs w:val="20"/>
                <w:shd w:val="clear" w:color="auto" w:fill="FFFFFF"/>
              </w:rPr>
              <w:t xml:space="preserve">, </w:t>
            </w:r>
            <w:r w:rsidRPr="00AE3D2B">
              <w:rPr>
                <w:rFonts w:ascii="Times New Roman" w:hAnsi="Times New Roman" w:cs="Times New Roman"/>
                <w:color w:val="222222"/>
                <w:sz w:val="20"/>
                <w:szCs w:val="20"/>
                <w:shd w:val="clear" w:color="auto" w:fill="FFFFFF"/>
              </w:rPr>
              <w:t>2013</w:t>
            </w:r>
            <w:r>
              <w:rPr>
                <w:rFonts w:ascii="Times New Roman" w:hAnsi="Times New Roman" w:cs="Times New Roman"/>
                <w:color w:val="222222"/>
                <w:sz w:val="20"/>
                <w:szCs w:val="20"/>
                <w:shd w:val="clear" w:color="auto" w:fill="FFFFFF"/>
              </w:rPr>
              <w:t>.)</w:t>
            </w:r>
          </w:p>
        </w:tc>
      </w:tr>
      <w:tr w:rsidR="00892E2A" w14:paraId="094CD66F" w14:textId="77777777" w:rsidTr="0022373F">
        <w:trPr>
          <w:gridAfter w:val="1"/>
          <w:wAfter w:w="1061" w:type="dxa"/>
        </w:trPr>
        <w:tc>
          <w:tcPr>
            <w:tcW w:w="1774" w:type="dxa"/>
            <w:tcBorders>
              <w:bottom w:val="dashed" w:sz="4" w:space="0" w:color="auto"/>
            </w:tcBorders>
            <w:vAlign w:val="center"/>
          </w:tcPr>
          <w:p w14:paraId="74EF9E2F"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sz w:val="20"/>
                <w:szCs w:val="20"/>
              </w:rPr>
              <w:t>DHEA</w:t>
            </w:r>
            <w:r>
              <w:rPr>
                <w:rFonts w:ascii="Times New Roman" w:hAnsi="Times New Roman" w:cs="Times New Roman"/>
                <w:sz w:val="20"/>
                <w:szCs w:val="20"/>
              </w:rPr>
              <w:t>-S</w:t>
            </w:r>
          </w:p>
        </w:tc>
        <w:tc>
          <w:tcPr>
            <w:tcW w:w="1701" w:type="dxa"/>
            <w:tcBorders>
              <w:bottom w:val="dashed" w:sz="4" w:space="0" w:color="auto"/>
            </w:tcBorders>
            <w:vAlign w:val="center"/>
          </w:tcPr>
          <w:p w14:paraId="2794782C" w14:textId="77777777" w:rsidR="00892E2A" w:rsidRPr="00624F9E" w:rsidRDefault="00892E2A" w:rsidP="0022373F">
            <w:pPr>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4962" w:type="dxa"/>
            <w:tcBorders>
              <w:bottom w:val="dashed" w:sz="4" w:space="0" w:color="auto"/>
            </w:tcBorders>
            <w:vAlign w:val="center"/>
          </w:tcPr>
          <w:p w14:paraId="05D2F6A5"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sz w:val="20"/>
                <w:szCs w:val="20"/>
              </w:rPr>
              <w:t>Adrenal hormone and functional HPA-axis antagonist. Biomarker for cardiovascular disease (</w:t>
            </w:r>
            <w:proofErr w:type="spellStart"/>
            <w:r w:rsidRPr="00AE3D2B">
              <w:rPr>
                <w:rFonts w:ascii="Times New Roman" w:hAnsi="Times New Roman" w:cs="Times New Roman"/>
                <w:sz w:val="20"/>
                <w:szCs w:val="20"/>
              </w:rPr>
              <w:t>Mannic</w:t>
            </w:r>
            <w:proofErr w:type="spellEnd"/>
            <w:r w:rsidRPr="00AE3D2B">
              <w:rPr>
                <w:rFonts w:ascii="Times New Roman" w:hAnsi="Times New Roman" w:cs="Times New Roman"/>
                <w:sz w:val="20"/>
                <w:szCs w:val="20"/>
              </w:rPr>
              <w:t xml:space="preserve">, </w:t>
            </w:r>
            <w:proofErr w:type="spellStart"/>
            <w:r w:rsidRPr="00AE3D2B">
              <w:rPr>
                <w:rFonts w:ascii="Times New Roman" w:hAnsi="Times New Roman" w:cs="Times New Roman"/>
                <w:sz w:val="20"/>
                <w:szCs w:val="20"/>
              </w:rPr>
              <w:t>Viguie</w:t>
            </w:r>
            <w:proofErr w:type="spellEnd"/>
            <w:r w:rsidRPr="00AE3D2B">
              <w:rPr>
                <w:rFonts w:ascii="Times New Roman" w:hAnsi="Times New Roman" w:cs="Times New Roman"/>
                <w:sz w:val="20"/>
                <w:szCs w:val="20"/>
              </w:rPr>
              <w:t xml:space="preserve">, &amp; </w:t>
            </w:r>
            <w:proofErr w:type="spellStart"/>
            <w:r w:rsidRPr="00AE3D2B">
              <w:rPr>
                <w:rFonts w:ascii="Times New Roman" w:hAnsi="Times New Roman" w:cs="Times New Roman"/>
                <w:sz w:val="20"/>
                <w:szCs w:val="20"/>
              </w:rPr>
              <w:t>Rossier</w:t>
            </w:r>
            <w:proofErr w:type="spellEnd"/>
            <w:r>
              <w:rPr>
                <w:rFonts w:ascii="Times New Roman" w:hAnsi="Times New Roman" w:cs="Times New Roman"/>
                <w:sz w:val="20"/>
                <w:szCs w:val="20"/>
              </w:rPr>
              <w:t xml:space="preserve">, </w:t>
            </w:r>
            <w:r w:rsidRPr="00AE3D2B">
              <w:rPr>
                <w:rFonts w:ascii="Times New Roman" w:hAnsi="Times New Roman" w:cs="Times New Roman"/>
                <w:sz w:val="20"/>
                <w:szCs w:val="20"/>
              </w:rPr>
              <w:t>2015</w:t>
            </w:r>
            <w:r>
              <w:rPr>
                <w:rFonts w:ascii="Times New Roman" w:hAnsi="Times New Roman" w:cs="Times New Roman"/>
                <w:sz w:val="20"/>
                <w:szCs w:val="20"/>
              </w:rPr>
              <w:t xml:space="preserve">; </w:t>
            </w:r>
            <w:proofErr w:type="spellStart"/>
            <w:r w:rsidRPr="00AE3D2B">
              <w:rPr>
                <w:rFonts w:ascii="Times New Roman" w:hAnsi="Times New Roman" w:cs="Times New Roman"/>
                <w:sz w:val="20"/>
                <w:szCs w:val="20"/>
              </w:rPr>
              <w:t>Rutkowski</w:t>
            </w:r>
            <w:proofErr w:type="spellEnd"/>
            <w:r w:rsidRPr="00AE3D2B">
              <w:rPr>
                <w:rFonts w:ascii="Times New Roman" w:hAnsi="Times New Roman" w:cs="Times New Roman"/>
                <w:sz w:val="20"/>
                <w:szCs w:val="20"/>
              </w:rPr>
              <w:t xml:space="preserve"> et al.</w:t>
            </w:r>
            <w:r>
              <w:rPr>
                <w:rFonts w:ascii="Times New Roman" w:hAnsi="Times New Roman" w:cs="Times New Roman"/>
                <w:sz w:val="20"/>
                <w:szCs w:val="20"/>
              </w:rPr>
              <w:t>,</w:t>
            </w:r>
            <w:r w:rsidRPr="00AE3D2B">
              <w:rPr>
                <w:rFonts w:ascii="Times New Roman" w:hAnsi="Times New Roman" w:cs="Times New Roman"/>
                <w:sz w:val="20"/>
                <w:szCs w:val="20"/>
              </w:rPr>
              <w:t xml:space="preserve"> 2014)</w:t>
            </w:r>
            <w:r>
              <w:rPr>
                <w:rFonts w:ascii="Times New Roman" w:hAnsi="Times New Roman" w:cs="Times New Roman"/>
                <w:sz w:val="20"/>
                <w:szCs w:val="20"/>
              </w:rPr>
              <w:t>.</w:t>
            </w:r>
          </w:p>
        </w:tc>
      </w:tr>
      <w:tr w:rsidR="00892E2A" w14:paraId="171A194C" w14:textId="77777777" w:rsidTr="0022373F">
        <w:trPr>
          <w:gridAfter w:val="1"/>
          <w:wAfter w:w="1061" w:type="dxa"/>
        </w:trPr>
        <w:tc>
          <w:tcPr>
            <w:tcW w:w="1774" w:type="dxa"/>
            <w:tcBorders>
              <w:top w:val="dashed" w:sz="4" w:space="0" w:color="auto"/>
            </w:tcBorders>
            <w:vAlign w:val="center"/>
          </w:tcPr>
          <w:p w14:paraId="63CB2688" w14:textId="77777777" w:rsidR="00892E2A" w:rsidRPr="00624F9E" w:rsidRDefault="00892E2A" w:rsidP="0022373F">
            <w:pPr>
              <w:spacing w:line="240" w:lineRule="auto"/>
              <w:jc w:val="center"/>
              <w:rPr>
                <w:rFonts w:ascii="Times New Roman" w:hAnsi="Times New Roman" w:cs="Times New Roman"/>
                <w:sz w:val="20"/>
                <w:szCs w:val="20"/>
              </w:rPr>
            </w:pPr>
            <w:r>
              <w:rPr>
                <w:rFonts w:ascii="Times New Roman" w:hAnsi="Times New Roman" w:cs="Times New Roman"/>
                <w:sz w:val="20"/>
                <w:szCs w:val="20"/>
              </w:rPr>
              <w:t>Resting pulse rate</w:t>
            </w:r>
          </w:p>
        </w:tc>
        <w:tc>
          <w:tcPr>
            <w:tcW w:w="1701" w:type="dxa"/>
            <w:tcBorders>
              <w:top w:val="dashed" w:sz="4" w:space="0" w:color="auto"/>
            </w:tcBorders>
            <w:vAlign w:val="center"/>
          </w:tcPr>
          <w:p w14:paraId="039210D1" w14:textId="77777777" w:rsidR="00892E2A" w:rsidRPr="00624F9E" w:rsidRDefault="00892E2A" w:rsidP="0022373F">
            <w:pPr>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4962" w:type="dxa"/>
            <w:tcBorders>
              <w:top w:val="dashed" w:sz="4" w:space="0" w:color="auto"/>
            </w:tcBorders>
            <w:vAlign w:val="center"/>
          </w:tcPr>
          <w:p w14:paraId="159BDA80" w14:textId="77777777" w:rsidR="00892E2A" w:rsidRDefault="00892E2A" w:rsidP="0022373F">
            <w:pPr>
              <w:spacing w:line="240" w:lineRule="auto"/>
              <w:rPr>
                <w:rFonts w:ascii="Times New Roman" w:hAnsi="Times New Roman" w:cs="Times New Roman"/>
                <w:sz w:val="20"/>
                <w:szCs w:val="20"/>
              </w:rPr>
            </w:pPr>
            <w:r>
              <w:rPr>
                <w:rFonts w:ascii="Times New Roman" w:hAnsi="Times New Roman" w:cs="Times New Roman"/>
                <w:sz w:val="20"/>
                <w:szCs w:val="20"/>
              </w:rPr>
              <w:t>Heart rate. Indicator of cardiovascular fitness.</w:t>
            </w:r>
          </w:p>
        </w:tc>
      </w:tr>
      <w:tr w:rsidR="00892E2A" w14:paraId="3D83EF00" w14:textId="77777777" w:rsidTr="0022373F">
        <w:trPr>
          <w:gridAfter w:val="1"/>
          <w:wAfter w:w="1061" w:type="dxa"/>
        </w:trPr>
        <w:tc>
          <w:tcPr>
            <w:tcW w:w="1774" w:type="dxa"/>
            <w:vAlign w:val="center"/>
          </w:tcPr>
          <w:p w14:paraId="5F49464F"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sz w:val="20"/>
                <w:szCs w:val="20"/>
              </w:rPr>
              <w:t>Waist to height</w:t>
            </w:r>
            <w:r>
              <w:rPr>
                <w:rFonts w:ascii="Times New Roman" w:hAnsi="Times New Roman" w:cs="Times New Roman"/>
                <w:sz w:val="20"/>
                <w:szCs w:val="20"/>
              </w:rPr>
              <w:t>/hip</w:t>
            </w:r>
            <w:r w:rsidRPr="00624F9E">
              <w:rPr>
                <w:rFonts w:ascii="Times New Roman" w:hAnsi="Times New Roman" w:cs="Times New Roman"/>
                <w:sz w:val="20"/>
                <w:szCs w:val="20"/>
              </w:rPr>
              <w:t xml:space="preserve"> ratio</w:t>
            </w:r>
          </w:p>
        </w:tc>
        <w:tc>
          <w:tcPr>
            <w:tcW w:w="1701" w:type="dxa"/>
            <w:vAlign w:val="center"/>
          </w:tcPr>
          <w:p w14:paraId="191B2C67" w14:textId="77777777" w:rsidR="00892E2A" w:rsidRPr="00624F9E" w:rsidRDefault="00892E2A" w:rsidP="0022373F">
            <w:pPr>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4962" w:type="dxa"/>
            <w:vAlign w:val="center"/>
          </w:tcPr>
          <w:p w14:paraId="42832DE1"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sz w:val="20"/>
                <w:szCs w:val="20"/>
              </w:rPr>
              <w:t xml:space="preserve">Indicator of location of adipose tissue deposits. </w:t>
            </w:r>
          </w:p>
        </w:tc>
      </w:tr>
      <w:tr w:rsidR="00892E2A" w14:paraId="6FFA004B" w14:textId="77777777" w:rsidTr="0022373F">
        <w:trPr>
          <w:gridAfter w:val="1"/>
          <w:wAfter w:w="1061" w:type="dxa"/>
        </w:trPr>
        <w:tc>
          <w:tcPr>
            <w:tcW w:w="1774" w:type="dxa"/>
            <w:vAlign w:val="center"/>
          </w:tcPr>
          <w:p w14:paraId="097499D0"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sz w:val="20"/>
                <w:szCs w:val="20"/>
              </w:rPr>
              <w:t>H</w:t>
            </w:r>
            <w:r>
              <w:rPr>
                <w:rFonts w:ascii="Times New Roman" w:hAnsi="Times New Roman" w:cs="Times New Roman"/>
                <w:sz w:val="20"/>
                <w:szCs w:val="20"/>
              </w:rPr>
              <w:t>b</w:t>
            </w:r>
            <w:r w:rsidRPr="00624F9E">
              <w:rPr>
                <w:rFonts w:ascii="Times New Roman" w:hAnsi="Times New Roman" w:cs="Times New Roman"/>
                <w:sz w:val="20"/>
                <w:szCs w:val="20"/>
              </w:rPr>
              <w:t>A1</w:t>
            </w:r>
            <w:r>
              <w:rPr>
                <w:rFonts w:ascii="Times New Roman" w:hAnsi="Times New Roman" w:cs="Times New Roman"/>
                <w:sz w:val="20"/>
                <w:szCs w:val="20"/>
              </w:rPr>
              <w:t>c</w:t>
            </w:r>
          </w:p>
        </w:tc>
        <w:tc>
          <w:tcPr>
            <w:tcW w:w="1701" w:type="dxa"/>
            <w:vAlign w:val="center"/>
          </w:tcPr>
          <w:p w14:paraId="593D66A0"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sz w:val="20"/>
                <w:szCs w:val="20"/>
              </w:rPr>
              <w:t>H</w:t>
            </w:r>
            <w:r>
              <w:rPr>
                <w:rFonts w:ascii="Times New Roman" w:hAnsi="Times New Roman" w:cs="Times New Roman"/>
                <w:sz w:val="20"/>
                <w:szCs w:val="20"/>
              </w:rPr>
              <w:t>b</w:t>
            </w:r>
            <w:r w:rsidRPr="00624F9E">
              <w:rPr>
                <w:rFonts w:ascii="Times New Roman" w:hAnsi="Times New Roman" w:cs="Times New Roman"/>
                <w:sz w:val="20"/>
                <w:szCs w:val="20"/>
              </w:rPr>
              <w:t>A1</w:t>
            </w:r>
            <w:r>
              <w:rPr>
                <w:rFonts w:ascii="Times New Roman" w:hAnsi="Times New Roman" w:cs="Times New Roman"/>
                <w:sz w:val="20"/>
                <w:szCs w:val="20"/>
              </w:rPr>
              <w:t>c</w:t>
            </w:r>
          </w:p>
        </w:tc>
        <w:tc>
          <w:tcPr>
            <w:tcW w:w="4962" w:type="dxa"/>
            <w:vAlign w:val="center"/>
          </w:tcPr>
          <w:p w14:paraId="2396EC75"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sz w:val="20"/>
                <w:szCs w:val="20"/>
              </w:rPr>
              <w:t>Average glucose level over previous 12 weeks. Biomarker for p</w:t>
            </w:r>
            <w:r w:rsidRPr="00624F9E">
              <w:rPr>
                <w:rFonts w:ascii="Times New Roman" w:hAnsi="Times New Roman" w:cs="Times New Roman"/>
                <w:sz w:val="20"/>
                <w:szCs w:val="20"/>
              </w:rPr>
              <w:t>oorly managed diabetes</w:t>
            </w:r>
            <w:r>
              <w:rPr>
                <w:rFonts w:ascii="Times New Roman" w:hAnsi="Times New Roman" w:cs="Times New Roman"/>
                <w:sz w:val="20"/>
                <w:szCs w:val="20"/>
              </w:rPr>
              <w:t xml:space="preserve"> (</w:t>
            </w:r>
            <w:r w:rsidRPr="00AE3D2B">
              <w:rPr>
                <w:rFonts w:ascii="Times New Roman" w:hAnsi="Times New Roman" w:cs="Times New Roman"/>
                <w:sz w:val="20"/>
                <w:szCs w:val="20"/>
              </w:rPr>
              <w:t xml:space="preserve">Lyons &amp; </w:t>
            </w:r>
            <w:proofErr w:type="spellStart"/>
            <w:r w:rsidRPr="00AE3D2B">
              <w:rPr>
                <w:rFonts w:ascii="Times New Roman" w:hAnsi="Times New Roman" w:cs="Times New Roman"/>
                <w:sz w:val="20"/>
                <w:szCs w:val="20"/>
              </w:rPr>
              <w:t>Basu</w:t>
            </w:r>
            <w:proofErr w:type="spellEnd"/>
            <w:r>
              <w:rPr>
                <w:rFonts w:ascii="Times New Roman" w:hAnsi="Times New Roman" w:cs="Times New Roman"/>
                <w:sz w:val="20"/>
                <w:szCs w:val="20"/>
              </w:rPr>
              <w:t xml:space="preserve">, </w:t>
            </w:r>
            <w:r w:rsidRPr="00AE3D2B">
              <w:rPr>
                <w:rFonts w:ascii="Times New Roman" w:hAnsi="Times New Roman" w:cs="Times New Roman"/>
                <w:sz w:val="20"/>
                <w:szCs w:val="20"/>
              </w:rPr>
              <w:t>2012)</w:t>
            </w:r>
            <w:r>
              <w:rPr>
                <w:rFonts w:ascii="Times New Roman" w:hAnsi="Times New Roman" w:cs="Times New Roman"/>
                <w:sz w:val="20"/>
                <w:szCs w:val="20"/>
              </w:rPr>
              <w:t>.</w:t>
            </w:r>
          </w:p>
        </w:tc>
      </w:tr>
      <w:tr w:rsidR="00892E2A" w14:paraId="71118B76" w14:textId="77777777" w:rsidTr="0022373F">
        <w:trPr>
          <w:gridAfter w:val="1"/>
          <w:wAfter w:w="1061" w:type="dxa"/>
        </w:trPr>
        <w:tc>
          <w:tcPr>
            <w:tcW w:w="1774" w:type="dxa"/>
            <w:vAlign w:val="center"/>
          </w:tcPr>
          <w:p w14:paraId="64EA3B80"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Systolic BP</w:t>
            </w:r>
          </w:p>
        </w:tc>
        <w:tc>
          <w:tcPr>
            <w:tcW w:w="1701" w:type="dxa"/>
            <w:vAlign w:val="center"/>
          </w:tcPr>
          <w:p w14:paraId="08F979E4"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Systolic BP</w:t>
            </w:r>
          </w:p>
        </w:tc>
        <w:tc>
          <w:tcPr>
            <w:tcW w:w="4962" w:type="dxa"/>
            <w:vAlign w:val="center"/>
          </w:tcPr>
          <w:p w14:paraId="65C5D1E1"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color w:val="000000"/>
                <w:sz w:val="20"/>
                <w:szCs w:val="20"/>
              </w:rPr>
              <w:t>Indicator of intravascular pressure at end of left ventricular contraction</w:t>
            </w:r>
            <w:r>
              <w:rPr>
                <w:rFonts w:ascii="Times New Roman" w:hAnsi="Times New Roman" w:cs="Times New Roman"/>
                <w:sz w:val="20"/>
                <w:szCs w:val="20"/>
              </w:rPr>
              <w:t>. Biomarker for hypertension and cardiovascular disease (</w:t>
            </w:r>
            <w:proofErr w:type="spellStart"/>
            <w:r w:rsidRPr="00AE3D2B">
              <w:rPr>
                <w:rFonts w:ascii="Times New Roman" w:hAnsi="Times New Roman" w:cs="Times New Roman"/>
                <w:color w:val="222222"/>
                <w:sz w:val="20"/>
                <w:szCs w:val="20"/>
                <w:shd w:val="clear" w:color="auto" w:fill="FFFFFF"/>
              </w:rPr>
              <w:t>Ettehad</w:t>
            </w:r>
            <w:proofErr w:type="spellEnd"/>
            <w:r w:rsidRPr="00AE3D2B">
              <w:rPr>
                <w:rFonts w:ascii="Times New Roman" w:hAnsi="Times New Roman" w:cs="Times New Roman"/>
                <w:color w:val="222222"/>
                <w:sz w:val="20"/>
                <w:szCs w:val="20"/>
                <w:shd w:val="clear" w:color="auto" w:fill="FFFFFF"/>
              </w:rPr>
              <w:t xml:space="preserve"> et al.</w:t>
            </w:r>
            <w:r>
              <w:rPr>
                <w:rFonts w:ascii="Times New Roman" w:hAnsi="Times New Roman" w:cs="Times New Roman"/>
                <w:color w:val="222222"/>
                <w:sz w:val="20"/>
                <w:szCs w:val="20"/>
                <w:shd w:val="clear" w:color="auto" w:fill="FFFFFF"/>
              </w:rPr>
              <w:t xml:space="preserve">, </w:t>
            </w:r>
            <w:r w:rsidRPr="00AE3D2B">
              <w:rPr>
                <w:rFonts w:ascii="Times New Roman" w:hAnsi="Times New Roman" w:cs="Times New Roman"/>
                <w:color w:val="222222"/>
                <w:sz w:val="20"/>
                <w:szCs w:val="20"/>
                <w:shd w:val="clear" w:color="auto" w:fill="FFFFFF"/>
              </w:rPr>
              <w:t>2016)</w:t>
            </w:r>
            <w:r>
              <w:rPr>
                <w:rFonts w:ascii="Times New Roman" w:hAnsi="Times New Roman" w:cs="Times New Roman"/>
                <w:color w:val="222222"/>
                <w:sz w:val="20"/>
                <w:szCs w:val="20"/>
                <w:shd w:val="clear" w:color="auto" w:fill="FFFFFF"/>
              </w:rPr>
              <w:t>.</w:t>
            </w:r>
          </w:p>
        </w:tc>
      </w:tr>
      <w:tr w:rsidR="00892E2A" w14:paraId="46A7B8ED" w14:textId="77777777" w:rsidTr="0022373F">
        <w:trPr>
          <w:gridAfter w:val="1"/>
          <w:wAfter w:w="1061" w:type="dxa"/>
        </w:trPr>
        <w:tc>
          <w:tcPr>
            <w:tcW w:w="1774" w:type="dxa"/>
            <w:vAlign w:val="center"/>
          </w:tcPr>
          <w:p w14:paraId="49202F31"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Diastolic BP</w:t>
            </w:r>
          </w:p>
        </w:tc>
        <w:tc>
          <w:tcPr>
            <w:tcW w:w="1701" w:type="dxa"/>
            <w:vAlign w:val="center"/>
          </w:tcPr>
          <w:p w14:paraId="72BF586B"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Diastolic BP</w:t>
            </w:r>
          </w:p>
        </w:tc>
        <w:tc>
          <w:tcPr>
            <w:tcW w:w="4962" w:type="dxa"/>
            <w:vAlign w:val="center"/>
          </w:tcPr>
          <w:p w14:paraId="31AFF71C"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color w:val="000000"/>
                <w:sz w:val="20"/>
                <w:szCs w:val="20"/>
              </w:rPr>
              <w:t>Indicator of intravascular pressure at end of left ventricular relaxation. Biomarker for h</w:t>
            </w:r>
            <w:r>
              <w:rPr>
                <w:rFonts w:ascii="Times New Roman" w:hAnsi="Times New Roman" w:cs="Times New Roman"/>
                <w:sz w:val="20"/>
                <w:szCs w:val="20"/>
              </w:rPr>
              <w:t>ypertension and cardiovascular disease (</w:t>
            </w:r>
            <w:proofErr w:type="spellStart"/>
            <w:r w:rsidRPr="00AE3D2B">
              <w:rPr>
                <w:rFonts w:ascii="Times New Roman" w:hAnsi="Times New Roman" w:cs="Times New Roman"/>
                <w:color w:val="222222"/>
                <w:sz w:val="20"/>
                <w:szCs w:val="20"/>
                <w:shd w:val="clear" w:color="auto" w:fill="FFFFFF"/>
              </w:rPr>
              <w:t>Ettehad</w:t>
            </w:r>
            <w:proofErr w:type="spellEnd"/>
            <w:r w:rsidRPr="00AE3D2B">
              <w:rPr>
                <w:rFonts w:ascii="Times New Roman" w:hAnsi="Times New Roman" w:cs="Times New Roman"/>
                <w:color w:val="222222"/>
                <w:sz w:val="20"/>
                <w:szCs w:val="20"/>
                <w:shd w:val="clear" w:color="auto" w:fill="FFFFFF"/>
              </w:rPr>
              <w:t xml:space="preserve"> et al.</w:t>
            </w:r>
            <w:r>
              <w:rPr>
                <w:rFonts w:ascii="Times New Roman" w:hAnsi="Times New Roman" w:cs="Times New Roman"/>
                <w:color w:val="222222"/>
                <w:sz w:val="20"/>
                <w:szCs w:val="20"/>
                <w:shd w:val="clear" w:color="auto" w:fill="FFFFFF"/>
              </w:rPr>
              <w:t>,</w:t>
            </w:r>
            <w:r w:rsidRPr="00AE3D2B">
              <w:rPr>
                <w:rFonts w:ascii="Times New Roman" w:hAnsi="Times New Roman" w:cs="Times New Roman"/>
                <w:color w:val="222222"/>
                <w:sz w:val="20"/>
                <w:szCs w:val="20"/>
                <w:shd w:val="clear" w:color="auto" w:fill="FFFFFF"/>
              </w:rPr>
              <w:t xml:space="preserve"> 2016)</w:t>
            </w:r>
            <w:r>
              <w:rPr>
                <w:rFonts w:ascii="Times New Roman" w:hAnsi="Times New Roman" w:cs="Times New Roman"/>
                <w:color w:val="222222"/>
                <w:sz w:val="20"/>
                <w:szCs w:val="20"/>
                <w:shd w:val="clear" w:color="auto" w:fill="FFFFFF"/>
              </w:rPr>
              <w:t>.</w:t>
            </w:r>
          </w:p>
        </w:tc>
      </w:tr>
      <w:tr w:rsidR="00892E2A" w14:paraId="1C21D3C7" w14:textId="77777777" w:rsidTr="0022373F">
        <w:trPr>
          <w:gridAfter w:val="1"/>
          <w:wAfter w:w="1061" w:type="dxa"/>
        </w:trPr>
        <w:tc>
          <w:tcPr>
            <w:tcW w:w="1774" w:type="dxa"/>
            <w:vAlign w:val="center"/>
          </w:tcPr>
          <w:p w14:paraId="2B6E2814" w14:textId="77777777" w:rsidR="00892E2A" w:rsidRPr="00624F9E" w:rsidRDefault="00892E2A" w:rsidP="0022373F">
            <w:pPr>
              <w:spacing w:line="240" w:lineRule="auto"/>
              <w:jc w:val="center"/>
              <w:rPr>
                <w:rFonts w:ascii="Times New Roman" w:eastAsia="Times New Roman" w:hAnsi="Times New Roman" w:cs="Times New Roman"/>
                <w:color w:val="000000"/>
                <w:sz w:val="20"/>
                <w:szCs w:val="20"/>
              </w:rPr>
            </w:pPr>
            <w:r w:rsidRPr="00624F9E">
              <w:rPr>
                <w:rFonts w:ascii="Times New Roman" w:hAnsi="Times New Roman" w:cs="Times New Roman"/>
                <w:color w:val="000000"/>
                <w:sz w:val="20"/>
                <w:szCs w:val="20"/>
              </w:rPr>
              <w:t>Cholesterol to HDL</w:t>
            </w:r>
          </w:p>
        </w:tc>
        <w:tc>
          <w:tcPr>
            <w:tcW w:w="1701" w:type="dxa"/>
            <w:vAlign w:val="center"/>
          </w:tcPr>
          <w:p w14:paraId="3C0441C9"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 xml:space="preserve">Cholesterol </w:t>
            </w:r>
            <w:r>
              <w:rPr>
                <w:rFonts w:ascii="Times New Roman" w:hAnsi="Times New Roman" w:cs="Times New Roman"/>
                <w:color w:val="000000"/>
                <w:sz w:val="20"/>
                <w:szCs w:val="20"/>
              </w:rPr>
              <w:t xml:space="preserve">                     </w:t>
            </w:r>
            <w:r w:rsidRPr="00624F9E">
              <w:rPr>
                <w:rFonts w:ascii="Times New Roman" w:hAnsi="Times New Roman" w:cs="Times New Roman"/>
                <w:color w:val="000000"/>
                <w:sz w:val="20"/>
                <w:szCs w:val="20"/>
              </w:rPr>
              <w:t>to HDL</w:t>
            </w:r>
          </w:p>
        </w:tc>
        <w:tc>
          <w:tcPr>
            <w:tcW w:w="4962" w:type="dxa"/>
            <w:vAlign w:val="center"/>
          </w:tcPr>
          <w:p w14:paraId="0A5C908B"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color w:val="000000"/>
                <w:sz w:val="20"/>
                <w:szCs w:val="20"/>
              </w:rPr>
              <w:t xml:space="preserve">Cholesterol is a basic element of steroid hormones. HDL is a </w:t>
            </w:r>
            <w:proofErr w:type="spellStart"/>
            <w:r>
              <w:rPr>
                <w:rFonts w:ascii="Times New Roman" w:hAnsi="Times New Roman" w:cs="Times New Roman"/>
                <w:color w:val="000000"/>
                <w:sz w:val="20"/>
                <w:szCs w:val="20"/>
              </w:rPr>
              <w:t>cardioprotective</w:t>
            </w:r>
            <w:proofErr w:type="spellEnd"/>
            <w:r>
              <w:rPr>
                <w:rFonts w:ascii="Times New Roman" w:hAnsi="Times New Roman" w:cs="Times New Roman"/>
                <w:color w:val="000000"/>
                <w:sz w:val="20"/>
                <w:szCs w:val="20"/>
              </w:rPr>
              <w:t xml:space="preserve"> form of cholesterol. Biomarker for h</w:t>
            </w:r>
            <w:r>
              <w:rPr>
                <w:rFonts w:ascii="Times New Roman" w:hAnsi="Times New Roman" w:cs="Times New Roman"/>
                <w:sz w:val="20"/>
                <w:szCs w:val="20"/>
              </w:rPr>
              <w:t>eart disease (</w:t>
            </w:r>
            <w:r w:rsidRPr="00AE3D2B">
              <w:rPr>
                <w:rFonts w:ascii="Times New Roman" w:hAnsi="Times New Roman" w:cs="Times New Roman"/>
                <w:color w:val="222222"/>
                <w:sz w:val="20"/>
                <w:szCs w:val="20"/>
                <w:shd w:val="clear" w:color="auto" w:fill="FFFFFF"/>
              </w:rPr>
              <w:t>Barron</w:t>
            </w:r>
            <w:r>
              <w:rPr>
                <w:rFonts w:ascii="Times New Roman" w:hAnsi="Times New Roman" w:cs="Times New Roman"/>
                <w:color w:val="222222"/>
                <w:sz w:val="20"/>
                <w:szCs w:val="20"/>
                <w:shd w:val="clear" w:color="auto" w:fill="FFFFFF"/>
              </w:rPr>
              <w:t xml:space="preserve">, </w:t>
            </w:r>
            <w:r w:rsidRPr="00AE3D2B">
              <w:rPr>
                <w:rFonts w:ascii="Times New Roman" w:hAnsi="Times New Roman" w:cs="Times New Roman"/>
                <w:color w:val="222222"/>
                <w:sz w:val="20"/>
                <w:szCs w:val="20"/>
                <w:shd w:val="clear" w:color="auto" w:fill="FFFFFF"/>
              </w:rPr>
              <w:t>2015</w:t>
            </w:r>
            <w:r>
              <w:rPr>
                <w:rFonts w:ascii="Times New Roman" w:hAnsi="Times New Roman" w:cs="Times New Roman"/>
                <w:color w:val="222222"/>
                <w:sz w:val="20"/>
                <w:szCs w:val="20"/>
                <w:shd w:val="clear" w:color="auto" w:fill="FFFFFF"/>
              </w:rPr>
              <w:t>;</w:t>
            </w:r>
            <w:r w:rsidRPr="00AE3D2B">
              <w:rPr>
                <w:rFonts w:ascii="Times New Roman" w:hAnsi="Times New Roman" w:cs="Times New Roman"/>
                <w:color w:val="222222"/>
                <w:sz w:val="20"/>
                <w:szCs w:val="20"/>
                <w:shd w:val="clear" w:color="auto" w:fill="FFFFFF"/>
              </w:rPr>
              <w:t xml:space="preserve"> </w:t>
            </w:r>
            <w:proofErr w:type="spellStart"/>
            <w:r w:rsidRPr="00AE3D2B">
              <w:rPr>
                <w:rFonts w:ascii="Times New Roman" w:hAnsi="Times New Roman" w:cs="Times New Roman"/>
                <w:sz w:val="20"/>
                <w:szCs w:val="20"/>
              </w:rPr>
              <w:t>Upadhyay</w:t>
            </w:r>
            <w:proofErr w:type="spellEnd"/>
            <w:r>
              <w:rPr>
                <w:rFonts w:ascii="Times New Roman" w:hAnsi="Times New Roman" w:cs="Times New Roman"/>
                <w:sz w:val="20"/>
                <w:szCs w:val="20"/>
              </w:rPr>
              <w:t xml:space="preserve">, </w:t>
            </w:r>
            <w:r w:rsidRPr="00AE3D2B">
              <w:rPr>
                <w:rFonts w:ascii="Times New Roman" w:hAnsi="Times New Roman" w:cs="Times New Roman"/>
                <w:sz w:val="20"/>
                <w:szCs w:val="20"/>
              </w:rPr>
              <w:t>2015)</w:t>
            </w:r>
            <w:r>
              <w:rPr>
                <w:rFonts w:ascii="Times New Roman" w:hAnsi="Times New Roman" w:cs="Times New Roman"/>
                <w:sz w:val="20"/>
                <w:szCs w:val="20"/>
              </w:rPr>
              <w:t>.</w:t>
            </w:r>
          </w:p>
        </w:tc>
      </w:tr>
      <w:tr w:rsidR="00892E2A" w14:paraId="164BB352" w14:textId="77777777" w:rsidTr="0022373F">
        <w:trPr>
          <w:gridAfter w:val="1"/>
          <w:wAfter w:w="1061" w:type="dxa"/>
        </w:trPr>
        <w:tc>
          <w:tcPr>
            <w:tcW w:w="1774" w:type="dxa"/>
            <w:vAlign w:val="center"/>
          </w:tcPr>
          <w:p w14:paraId="58C6445F"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Triglycerides</w:t>
            </w:r>
          </w:p>
        </w:tc>
        <w:tc>
          <w:tcPr>
            <w:tcW w:w="1701" w:type="dxa"/>
            <w:vAlign w:val="center"/>
          </w:tcPr>
          <w:p w14:paraId="4939CA80"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Triglycerides</w:t>
            </w:r>
          </w:p>
        </w:tc>
        <w:tc>
          <w:tcPr>
            <w:tcW w:w="4962" w:type="dxa"/>
            <w:vAlign w:val="center"/>
          </w:tcPr>
          <w:p w14:paraId="491A701C"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color w:val="000000"/>
                <w:sz w:val="20"/>
                <w:szCs w:val="20"/>
              </w:rPr>
              <w:t>Cardio-damaging form of fat. Biomarker for h</w:t>
            </w:r>
            <w:r w:rsidRPr="00624F9E">
              <w:rPr>
                <w:rFonts w:ascii="Times New Roman" w:hAnsi="Times New Roman" w:cs="Times New Roman"/>
                <w:sz w:val="20"/>
                <w:szCs w:val="20"/>
              </w:rPr>
              <w:t>eart disease</w:t>
            </w:r>
            <w:r>
              <w:rPr>
                <w:rFonts w:ascii="Times New Roman" w:hAnsi="Times New Roman" w:cs="Times New Roman"/>
                <w:sz w:val="20"/>
                <w:szCs w:val="20"/>
              </w:rPr>
              <w:t xml:space="preserve"> (</w:t>
            </w:r>
            <w:proofErr w:type="spellStart"/>
            <w:r w:rsidRPr="00AE3D2B">
              <w:rPr>
                <w:rFonts w:ascii="Times New Roman" w:hAnsi="Times New Roman" w:cs="Times New Roman"/>
                <w:sz w:val="20"/>
                <w:szCs w:val="20"/>
              </w:rPr>
              <w:t>Upadhyay</w:t>
            </w:r>
            <w:proofErr w:type="spellEnd"/>
            <w:r>
              <w:rPr>
                <w:rFonts w:ascii="Times New Roman" w:hAnsi="Times New Roman" w:cs="Times New Roman"/>
                <w:sz w:val="20"/>
                <w:szCs w:val="20"/>
              </w:rPr>
              <w:t xml:space="preserve">, </w:t>
            </w:r>
            <w:r w:rsidRPr="00AE3D2B">
              <w:rPr>
                <w:rFonts w:ascii="Times New Roman" w:hAnsi="Times New Roman" w:cs="Times New Roman"/>
                <w:sz w:val="20"/>
                <w:szCs w:val="20"/>
              </w:rPr>
              <w:t>2015)</w:t>
            </w:r>
            <w:r>
              <w:rPr>
                <w:rFonts w:ascii="Times New Roman" w:hAnsi="Times New Roman" w:cs="Times New Roman"/>
                <w:sz w:val="20"/>
                <w:szCs w:val="20"/>
              </w:rPr>
              <w:t>.</w:t>
            </w:r>
          </w:p>
        </w:tc>
      </w:tr>
      <w:tr w:rsidR="00892E2A" w14:paraId="15CF4B38" w14:textId="77777777" w:rsidTr="0022373F">
        <w:trPr>
          <w:gridAfter w:val="1"/>
          <w:wAfter w:w="1061" w:type="dxa"/>
        </w:trPr>
        <w:tc>
          <w:tcPr>
            <w:tcW w:w="1774" w:type="dxa"/>
            <w:vAlign w:val="center"/>
          </w:tcPr>
          <w:p w14:paraId="712B1FC3"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Creatinine</w:t>
            </w:r>
            <w:r>
              <w:rPr>
                <w:rFonts w:ascii="Times New Roman" w:hAnsi="Times New Roman" w:cs="Times New Roman"/>
                <w:color w:val="000000"/>
                <w:sz w:val="20"/>
                <w:szCs w:val="20"/>
              </w:rPr>
              <w:t xml:space="preserve"> clearance rate</w:t>
            </w:r>
          </w:p>
        </w:tc>
        <w:tc>
          <w:tcPr>
            <w:tcW w:w="1701" w:type="dxa"/>
            <w:vAlign w:val="center"/>
          </w:tcPr>
          <w:p w14:paraId="1E6E66EA" w14:textId="77777777" w:rsidR="00892E2A" w:rsidRPr="00550274" w:rsidRDefault="00892E2A" w:rsidP="0022373F">
            <w:pPr>
              <w:spacing w:line="240" w:lineRule="auto"/>
              <w:jc w:val="center"/>
              <w:rPr>
                <w:rFonts w:ascii="Times New Roman" w:hAnsi="Times New Roman" w:cs="Times New Roman"/>
                <w:color w:val="000000"/>
                <w:sz w:val="20"/>
                <w:szCs w:val="20"/>
              </w:rPr>
            </w:pPr>
            <w:r w:rsidRPr="00624F9E">
              <w:rPr>
                <w:rFonts w:ascii="Times New Roman" w:hAnsi="Times New Roman" w:cs="Times New Roman"/>
                <w:color w:val="000000"/>
                <w:sz w:val="20"/>
                <w:szCs w:val="20"/>
              </w:rPr>
              <w:t>Creatinine</w:t>
            </w:r>
            <w:r>
              <w:rPr>
                <w:rFonts w:ascii="Times New Roman" w:hAnsi="Times New Roman" w:cs="Times New Roman"/>
                <w:color w:val="000000"/>
                <w:sz w:val="20"/>
                <w:szCs w:val="20"/>
              </w:rPr>
              <w:t xml:space="preserve">           clearance rate</w:t>
            </w:r>
          </w:p>
        </w:tc>
        <w:tc>
          <w:tcPr>
            <w:tcW w:w="4962" w:type="dxa"/>
            <w:vAlign w:val="center"/>
          </w:tcPr>
          <w:p w14:paraId="0C6EE837"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color w:val="000000"/>
                <w:sz w:val="20"/>
                <w:szCs w:val="20"/>
              </w:rPr>
              <w:t>Volume of blood plasma that is cleared of creatinine per unit of time. Biomarker for k</w:t>
            </w:r>
            <w:r>
              <w:rPr>
                <w:rFonts w:ascii="Times New Roman" w:hAnsi="Times New Roman" w:cs="Times New Roman"/>
                <w:sz w:val="20"/>
                <w:szCs w:val="20"/>
              </w:rPr>
              <w:t>idney disease (</w:t>
            </w:r>
            <w:proofErr w:type="spellStart"/>
            <w:r>
              <w:rPr>
                <w:rFonts w:ascii="Times New Roman" w:hAnsi="Times New Roman" w:cs="Times New Roman"/>
                <w:sz w:val="20"/>
                <w:szCs w:val="20"/>
              </w:rPr>
              <w:t>Tesch</w:t>
            </w:r>
            <w:proofErr w:type="spellEnd"/>
            <w:r>
              <w:rPr>
                <w:rFonts w:ascii="Times New Roman" w:hAnsi="Times New Roman" w:cs="Times New Roman"/>
                <w:sz w:val="20"/>
                <w:szCs w:val="20"/>
              </w:rPr>
              <w:t>, 2010).</w:t>
            </w:r>
          </w:p>
        </w:tc>
      </w:tr>
      <w:tr w:rsidR="00892E2A" w14:paraId="52A7ACAB" w14:textId="77777777" w:rsidTr="0022373F">
        <w:trPr>
          <w:gridAfter w:val="1"/>
          <w:wAfter w:w="1061" w:type="dxa"/>
        </w:trPr>
        <w:tc>
          <w:tcPr>
            <w:tcW w:w="1774" w:type="dxa"/>
            <w:vAlign w:val="center"/>
          </w:tcPr>
          <w:p w14:paraId="4C855086" w14:textId="77777777" w:rsidR="00892E2A" w:rsidRPr="00624F9E" w:rsidRDefault="00892E2A" w:rsidP="0022373F">
            <w:pPr>
              <w:spacing w:line="240" w:lineRule="auto"/>
              <w:jc w:val="center"/>
              <w:rPr>
                <w:rFonts w:ascii="Times New Roman" w:hAnsi="Times New Roman" w:cs="Times New Roman"/>
                <w:color w:val="000000"/>
                <w:sz w:val="20"/>
                <w:szCs w:val="20"/>
              </w:rPr>
            </w:pPr>
            <w:r w:rsidRPr="00624F9E">
              <w:rPr>
                <w:rFonts w:ascii="Times New Roman" w:hAnsi="Times New Roman" w:cs="Times New Roman"/>
                <w:color w:val="000000"/>
                <w:sz w:val="20"/>
                <w:szCs w:val="20"/>
              </w:rPr>
              <w:t>C-</w:t>
            </w:r>
            <w:r>
              <w:rPr>
                <w:rFonts w:ascii="Times New Roman" w:hAnsi="Times New Roman" w:cs="Times New Roman"/>
                <w:color w:val="000000"/>
                <w:sz w:val="20"/>
                <w:szCs w:val="20"/>
              </w:rPr>
              <w:t>r</w:t>
            </w:r>
            <w:r w:rsidRPr="00624F9E">
              <w:rPr>
                <w:rFonts w:ascii="Times New Roman" w:hAnsi="Times New Roman" w:cs="Times New Roman"/>
                <w:color w:val="000000"/>
                <w:sz w:val="20"/>
                <w:szCs w:val="20"/>
              </w:rPr>
              <w:t>ea</w:t>
            </w:r>
            <w:r>
              <w:rPr>
                <w:rFonts w:ascii="Times New Roman" w:hAnsi="Times New Roman" w:cs="Times New Roman"/>
                <w:color w:val="000000"/>
                <w:sz w:val="20"/>
                <w:szCs w:val="20"/>
              </w:rPr>
              <w:t>c</w:t>
            </w:r>
            <w:r w:rsidRPr="00624F9E">
              <w:rPr>
                <w:rFonts w:ascii="Times New Roman" w:hAnsi="Times New Roman" w:cs="Times New Roman"/>
                <w:color w:val="000000"/>
                <w:sz w:val="20"/>
                <w:szCs w:val="20"/>
              </w:rPr>
              <w:t>tive Protein</w:t>
            </w:r>
          </w:p>
        </w:tc>
        <w:tc>
          <w:tcPr>
            <w:tcW w:w="1701" w:type="dxa"/>
            <w:vAlign w:val="center"/>
          </w:tcPr>
          <w:p w14:paraId="316F12D3" w14:textId="77777777" w:rsidR="00892E2A" w:rsidRPr="00624F9E" w:rsidRDefault="00892E2A" w:rsidP="0022373F">
            <w:pPr>
              <w:spacing w:line="240" w:lineRule="auto"/>
              <w:jc w:val="center"/>
              <w:rPr>
                <w:rFonts w:ascii="Times New Roman" w:hAnsi="Times New Roman" w:cs="Times New Roman"/>
                <w:color w:val="000000"/>
                <w:sz w:val="20"/>
                <w:szCs w:val="20"/>
              </w:rPr>
            </w:pPr>
            <w:r w:rsidRPr="00624F9E">
              <w:rPr>
                <w:rFonts w:ascii="Times New Roman" w:hAnsi="Times New Roman" w:cs="Times New Roman"/>
                <w:color w:val="000000"/>
                <w:sz w:val="20"/>
                <w:szCs w:val="20"/>
              </w:rPr>
              <w:t>C-</w:t>
            </w:r>
            <w:r>
              <w:rPr>
                <w:rFonts w:ascii="Times New Roman" w:hAnsi="Times New Roman" w:cs="Times New Roman"/>
                <w:color w:val="000000"/>
                <w:sz w:val="20"/>
                <w:szCs w:val="20"/>
              </w:rPr>
              <w:t>r</w:t>
            </w:r>
            <w:r w:rsidRPr="00624F9E">
              <w:rPr>
                <w:rFonts w:ascii="Times New Roman" w:hAnsi="Times New Roman" w:cs="Times New Roman"/>
                <w:color w:val="000000"/>
                <w:sz w:val="20"/>
                <w:szCs w:val="20"/>
              </w:rPr>
              <w:t>ea</w:t>
            </w:r>
            <w:r>
              <w:rPr>
                <w:rFonts w:ascii="Times New Roman" w:hAnsi="Times New Roman" w:cs="Times New Roman"/>
                <w:color w:val="000000"/>
                <w:sz w:val="20"/>
                <w:szCs w:val="20"/>
              </w:rPr>
              <w:t>c</w:t>
            </w:r>
            <w:r w:rsidRPr="00624F9E">
              <w:rPr>
                <w:rFonts w:ascii="Times New Roman" w:hAnsi="Times New Roman" w:cs="Times New Roman"/>
                <w:color w:val="000000"/>
                <w:sz w:val="20"/>
                <w:szCs w:val="20"/>
              </w:rPr>
              <w:t>tive Protein</w:t>
            </w:r>
          </w:p>
        </w:tc>
        <w:tc>
          <w:tcPr>
            <w:tcW w:w="4962" w:type="dxa"/>
            <w:vAlign w:val="center"/>
          </w:tcPr>
          <w:p w14:paraId="0D3202F2"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color w:val="000000"/>
                <w:sz w:val="20"/>
                <w:szCs w:val="20"/>
              </w:rPr>
              <w:t>Acute phase inflammatory protein. Biomarker for i</w:t>
            </w:r>
            <w:r w:rsidRPr="00624F9E">
              <w:rPr>
                <w:rFonts w:ascii="Times New Roman" w:hAnsi="Times New Roman" w:cs="Times New Roman"/>
                <w:sz w:val="20"/>
                <w:szCs w:val="20"/>
              </w:rPr>
              <w:t>nflammation</w:t>
            </w:r>
            <w:r>
              <w:rPr>
                <w:rFonts w:ascii="Times New Roman" w:hAnsi="Times New Roman" w:cs="Times New Roman"/>
                <w:sz w:val="20"/>
                <w:szCs w:val="20"/>
              </w:rPr>
              <w:t xml:space="preserve"> </w:t>
            </w:r>
            <w:r w:rsidRPr="00624F9E">
              <w:rPr>
                <w:rFonts w:ascii="Times New Roman" w:hAnsi="Times New Roman" w:cs="Times New Roman"/>
                <w:sz w:val="20"/>
                <w:szCs w:val="20"/>
              </w:rPr>
              <w:t>due to injury or infection</w:t>
            </w:r>
            <w:r>
              <w:rPr>
                <w:rFonts w:ascii="Times New Roman" w:hAnsi="Times New Roman" w:cs="Times New Roman"/>
                <w:sz w:val="20"/>
                <w:szCs w:val="20"/>
              </w:rPr>
              <w:t xml:space="preserve"> and cardiovascular disease (</w:t>
            </w:r>
            <w:r w:rsidRPr="00AE3D2B">
              <w:rPr>
                <w:rFonts w:ascii="Times New Roman" w:hAnsi="Times New Roman" w:cs="Times New Roman"/>
                <w:color w:val="222222"/>
                <w:sz w:val="20"/>
                <w:szCs w:val="20"/>
                <w:shd w:val="clear" w:color="auto" w:fill="FFFFFF"/>
              </w:rPr>
              <w:t>Barron</w:t>
            </w:r>
            <w:r>
              <w:rPr>
                <w:rFonts w:ascii="Times New Roman" w:hAnsi="Times New Roman" w:cs="Times New Roman"/>
                <w:color w:val="222222"/>
                <w:sz w:val="20"/>
                <w:szCs w:val="20"/>
                <w:shd w:val="clear" w:color="auto" w:fill="FFFFFF"/>
              </w:rPr>
              <w:t xml:space="preserve">, </w:t>
            </w:r>
            <w:r w:rsidRPr="00AE3D2B">
              <w:rPr>
                <w:rFonts w:ascii="Times New Roman" w:hAnsi="Times New Roman" w:cs="Times New Roman"/>
                <w:color w:val="222222"/>
                <w:sz w:val="20"/>
                <w:szCs w:val="20"/>
                <w:shd w:val="clear" w:color="auto" w:fill="FFFFFF"/>
              </w:rPr>
              <w:t>2015</w:t>
            </w:r>
            <w:r>
              <w:rPr>
                <w:rFonts w:ascii="Times New Roman" w:hAnsi="Times New Roman" w:cs="Times New Roman"/>
                <w:color w:val="222222"/>
                <w:sz w:val="20"/>
                <w:szCs w:val="20"/>
                <w:shd w:val="clear" w:color="auto" w:fill="FFFFFF"/>
              </w:rPr>
              <w:t>;</w:t>
            </w:r>
            <w:r w:rsidRPr="00AE3D2B">
              <w:rPr>
                <w:rFonts w:ascii="Times New Roman" w:hAnsi="Times New Roman" w:cs="Times New Roman"/>
                <w:color w:val="222222"/>
                <w:sz w:val="20"/>
                <w:szCs w:val="20"/>
                <w:shd w:val="clear" w:color="auto" w:fill="FFFFFF"/>
              </w:rPr>
              <w:t xml:space="preserve"> </w:t>
            </w:r>
            <w:proofErr w:type="spellStart"/>
            <w:r w:rsidRPr="00AE3D2B">
              <w:rPr>
                <w:rFonts w:ascii="Times New Roman" w:hAnsi="Times New Roman" w:cs="Times New Roman"/>
                <w:color w:val="222222"/>
                <w:sz w:val="20"/>
                <w:szCs w:val="20"/>
                <w:shd w:val="clear" w:color="auto" w:fill="FFFFFF"/>
              </w:rPr>
              <w:t>Genest</w:t>
            </w:r>
            <w:proofErr w:type="spellEnd"/>
            <w:r>
              <w:rPr>
                <w:rFonts w:ascii="Times New Roman" w:hAnsi="Times New Roman" w:cs="Times New Roman"/>
                <w:color w:val="222222"/>
                <w:sz w:val="20"/>
                <w:szCs w:val="20"/>
                <w:shd w:val="clear" w:color="auto" w:fill="FFFFFF"/>
              </w:rPr>
              <w:t xml:space="preserve">, </w:t>
            </w:r>
            <w:r w:rsidRPr="00AE3D2B">
              <w:rPr>
                <w:rFonts w:ascii="Times New Roman" w:hAnsi="Times New Roman" w:cs="Times New Roman"/>
                <w:color w:val="222222"/>
                <w:sz w:val="20"/>
                <w:szCs w:val="20"/>
                <w:shd w:val="clear" w:color="auto" w:fill="FFFFFF"/>
              </w:rPr>
              <w:t>2010)</w:t>
            </w:r>
            <w:r>
              <w:rPr>
                <w:rFonts w:ascii="Times New Roman" w:hAnsi="Times New Roman" w:cs="Times New Roman"/>
                <w:color w:val="222222"/>
                <w:sz w:val="20"/>
                <w:szCs w:val="20"/>
                <w:shd w:val="clear" w:color="auto" w:fill="FFFFFF"/>
              </w:rPr>
              <w:t>.</w:t>
            </w:r>
          </w:p>
        </w:tc>
      </w:tr>
      <w:tr w:rsidR="00892E2A" w14:paraId="30865D18" w14:textId="77777777" w:rsidTr="0022373F">
        <w:trPr>
          <w:gridAfter w:val="1"/>
          <w:wAfter w:w="1061" w:type="dxa"/>
        </w:trPr>
        <w:tc>
          <w:tcPr>
            <w:tcW w:w="1774" w:type="dxa"/>
            <w:vAlign w:val="center"/>
          </w:tcPr>
          <w:p w14:paraId="05980327" w14:textId="77777777" w:rsidR="00892E2A" w:rsidRPr="00624F9E" w:rsidRDefault="00892E2A" w:rsidP="0022373F">
            <w:pPr>
              <w:spacing w:line="240" w:lineRule="auto"/>
              <w:jc w:val="center"/>
              <w:rPr>
                <w:rFonts w:ascii="Times New Roman" w:hAnsi="Times New Roman" w:cs="Times New Roman"/>
                <w:sz w:val="20"/>
                <w:szCs w:val="20"/>
              </w:rPr>
            </w:pPr>
            <w:r>
              <w:rPr>
                <w:rFonts w:ascii="Times New Roman" w:hAnsi="Times New Roman" w:cs="Times New Roman"/>
                <w:sz w:val="20"/>
                <w:szCs w:val="20"/>
              </w:rPr>
              <w:t>Fibrinogen</w:t>
            </w:r>
          </w:p>
        </w:tc>
        <w:tc>
          <w:tcPr>
            <w:tcW w:w="1701" w:type="dxa"/>
            <w:vAlign w:val="center"/>
          </w:tcPr>
          <w:p w14:paraId="33BD9947"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color w:val="000000"/>
                <w:sz w:val="20"/>
                <w:szCs w:val="20"/>
              </w:rPr>
              <w:t>Fibrinogen</w:t>
            </w:r>
          </w:p>
        </w:tc>
        <w:tc>
          <w:tcPr>
            <w:tcW w:w="4962" w:type="dxa"/>
            <w:vAlign w:val="center"/>
          </w:tcPr>
          <w:p w14:paraId="0BAE15C8"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color w:val="000000"/>
                <w:sz w:val="20"/>
                <w:szCs w:val="20"/>
              </w:rPr>
              <w:t>Protein and factor of blood coagulation. Biomarker for i</w:t>
            </w:r>
            <w:r w:rsidRPr="00624F9E">
              <w:rPr>
                <w:rFonts w:ascii="Times New Roman" w:hAnsi="Times New Roman" w:cs="Times New Roman"/>
                <w:sz w:val="20"/>
                <w:szCs w:val="20"/>
              </w:rPr>
              <w:t>nflammation</w:t>
            </w:r>
            <w:r>
              <w:rPr>
                <w:rFonts w:ascii="Times New Roman" w:hAnsi="Times New Roman" w:cs="Times New Roman"/>
                <w:sz w:val="20"/>
                <w:szCs w:val="20"/>
              </w:rPr>
              <w:t xml:space="preserve"> </w:t>
            </w:r>
            <w:r w:rsidRPr="00624F9E">
              <w:rPr>
                <w:rFonts w:ascii="Times New Roman" w:hAnsi="Times New Roman" w:cs="Times New Roman"/>
                <w:sz w:val="20"/>
                <w:szCs w:val="20"/>
              </w:rPr>
              <w:t>due to injury or infection</w:t>
            </w:r>
            <w:r>
              <w:rPr>
                <w:rFonts w:ascii="Times New Roman" w:hAnsi="Times New Roman" w:cs="Times New Roman"/>
                <w:sz w:val="20"/>
                <w:szCs w:val="20"/>
              </w:rPr>
              <w:t xml:space="preserve"> and cardiovascular disease (</w:t>
            </w:r>
            <w:r w:rsidRPr="00AE3D2B">
              <w:rPr>
                <w:rFonts w:ascii="Times New Roman" w:hAnsi="Times New Roman" w:cs="Times New Roman"/>
                <w:color w:val="222222"/>
                <w:sz w:val="20"/>
                <w:szCs w:val="20"/>
                <w:shd w:val="clear" w:color="auto" w:fill="FFFFFF"/>
              </w:rPr>
              <w:t>Barron</w:t>
            </w:r>
            <w:r>
              <w:rPr>
                <w:rFonts w:ascii="Times New Roman" w:hAnsi="Times New Roman" w:cs="Times New Roman"/>
                <w:color w:val="222222"/>
                <w:sz w:val="20"/>
                <w:szCs w:val="20"/>
                <w:shd w:val="clear" w:color="auto" w:fill="FFFFFF"/>
              </w:rPr>
              <w:t xml:space="preserve">, </w:t>
            </w:r>
            <w:r w:rsidRPr="00AE3D2B">
              <w:rPr>
                <w:rFonts w:ascii="Times New Roman" w:hAnsi="Times New Roman" w:cs="Times New Roman"/>
                <w:color w:val="222222"/>
                <w:sz w:val="20"/>
                <w:szCs w:val="20"/>
                <w:shd w:val="clear" w:color="auto" w:fill="FFFFFF"/>
              </w:rPr>
              <w:t>2015)</w:t>
            </w:r>
            <w:r>
              <w:rPr>
                <w:rFonts w:ascii="Times New Roman" w:hAnsi="Times New Roman" w:cs="Times New Roman"/>
                <w:color w:val="222222"/>
                <w:sz w:val="20"/>
                <w:szCs w:val="20"/>
                <w:shd w:val="clear" w:color="auto" w:fill="FFFFFF"/>
              </w:rPr>
              <w:t>.</w:t>
            </w:r>
          </w:p>
        </w:tc>
      </w:tr>
      <w:tr w:rsidR="00892E2A" w14:paraId="3015270E" w14:textId="77777777" w:rsidTr="0022373F">
        <w:trPr>
          <w:gridAfter w:val="1"/>
          <w:wAfter w:w="1061" w:type="dxa"/>
        </w:trPr>
        <w:tc>
          <w:tcPr>
            <w:tcW w:w="1774" w:type="dxa"/>
            <w:vAlign w:val="center"/>
          </w:tcPr>
          <w:p w14:paraId="2DAE277A" w14:textId="77777777" w:rsidR="00892E2A" w:rsidRPr="00624F9E" w:rsidRDefault="00892E2A" w:rsidP="0022373F">
            <w:pPr>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701" w:type="dxa"/>
            <w:vAlign w:val="center"/>
          </w:tcPr>
          <w:p w14:paraId="0D2D5149"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sz w:val="20"/>
                <w:szCs w:val="20"/>
              </w:rPr>
              <w:t>Albumin</w:t>
            </w:r>
          </w:p>
        </w:tc>
        <w:tc>
          <w:tcPr>
            <w:tcW w:w="4962" w:type="dxa"/>
            <w:vAlign w:val="center"/>
          </w:tcPr>
          <w:p w14:paraId="1E940875"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sz w:val="20"/>
                <w:szCs w:val="20"/>
              </w:rPr>
              <w:t>Protein made by the liver. Biomarker for sub-clinical renal damage and liver dysfunction (</w:t>
            </w:r>
            <w:proofErr w:type="spellStart"/>
            <w:r>
              <w:rPr>
                <w:rFonts w:ascii="Times New Roman" w:hAnsi="Times New Roman" w:cs="Times New Roman"/>
                <w:sz w:val="20"/>
                <w:szCs w:val="20"/>
              </w:rPr>
              <w:t>Tesch</w:t>
            </w:r>
            <w:proofErr w:type="spellEnd"/>
            <w:r>
              <w:rPr>
                <w:rFonts w:ascii="Times New Roman" w:hAnsi="Times New Roman" w:cs="Times New Roman"/>
                <w:sz w:val="20"/>
                <w:szCs w:val="20"/>
              </w:rPr>
              <w:t>, 2010).</w:t>
            </w:r>
          </w:p>
        </w:tc>
      </w:tr>
      <w:tr w:rsidR="00892E2A" w14:paraId="77B329BE" w14:textId="77777777" w:rsidTr="0022373F">
        <w:trPr>
          <w:gridAfter w:val="1"/>
          <w:wAfter w:w="1061" w:type="dxa"/>
        </w:trPr>
        <w:tc>
          <w:tcPr>
            <w:tcW w:w="1774" w:type="dxa"/>
            <w:tcBorders>
              <w:bottom w:val="single" w:sz="4" w:space="0" w:color="auto"/>
            </w:tcBorders>
            <w:vAlign w:val="center"/>
          </w:tcPr>
          <w:p w14:paraId="3688008E" w14:textId="77777777" w:rsidR="00892E2A" w:rsidRPr="00624F9E" w:rsidRDefault="00892E2A" w:rsidP="0022373F">
            <w:pPr>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701" w:type="dxa"/>
            <w:tcBorders>
              <w:bottom w:val="single" w:sz="4" w:space="0" w:color="auto"/>
            </w:tcBorders>
            <w:vAlign w:val="center"/>
          </w:tcPr>
          <w:p w14:paraId="1A8A1178" w14:textId="77777777" w:rsidR="00892E2A" w:rsidRPr="00624F9E" w:rsidRDefault="00892E2A" w:rsidP="0022373F">
            <w:pPr>
              <w:spacing w:line="240" w:lineRule="auto"/>
              <w:jc w:val="center"/>
              <w:rPr>
                <w:rFonts w:ascii="Times New Roman" w:hAnsi="Times New Roman" w:cs="Times New Roman"/>
                <w:sz w:val="20"/>
                <w:szCs w:val="20"/>
              </w:rPr>
            </w:pPr>
            <w:r w:rsidRPr="00624F9E">
              <w:rPr>
                <w:rFonts w:ascii="Times New Roman" w:hAnsi="Times New Roman" w:cs="Times New Roman"/>
                <w:sz w:val="20"/>
                <w:szCs w:val="20"/>
              </w:rPr>
              <w:t>BMI</w:t>
            </w:r>
          </w:p>
        </w:tc>
        <w:tc>
          <w:tcPr>
            <w:tcW w:w="4962" w:type="dxa"/>
            <w:tcBorders>
              <w:bottom w:val="single" w:sz="4" w:space="0" w:color="auto"/>
            </w:tcBorders>
            <w:vAlign w:val="center"/>
          </w:tcPr>
          <w:p w14:paraId="3DCCDFD1" w14:textId="77777777" w:rsidR="00892E2A" w:rsidRPr="00624F9E" w:rsidRDefault="00892E2A" w:rsidP="0022373F">
            <w:pPr>
              <w:spacing w:line="240" w:lineRule="auto"/>
              <w:rPr>
                <w:rFonts w:ascii="Times New Roman" w:hAnsi="Times New Roman" w:cs="Times New Roman"/>
                <w:sz w:val="20"/>
                <w:szCs w:val="20"/>
              </w:rPr>
            </w:pPr>
            <w:r>
              <w:rPr>
                <w:rFonts w:ascii="Times New Roman" w:hAnsi="Times New Roman" w:cs="Times New Roman"/>
                <w:sz w:val="20"/>
                <w:szCs w:val="20"/>
              </w:rPr>
              <w:t>Indicator of obesity.</w:t>
            </w:r>
          </w:p>
        </w:tc>
      </w:tr>
      <w:tr w:rsidR="00892E2A" w14:paraId="76D94229" w14:textId="77777777" w:rsidTr="0022373F">
        <w:tc>
          <w:tcPr>
            <w:tcW w:w="9498" w:type="dxa"/>
            <w:gridSpan w:val="4"/>
            <w:tcBorders>
              <w:top w:val="single" w:sz="4" w:space="0" w:color="auto"/>
            </w:tcBorders>
          </w:tcPr>
          <w:p w14:paraId="2F554F8B" w14:textId="77777777" w:rsidR="00892E2A" w:rsidRDefault="00892E2A" w:rsidP="0022373F">
            <w:pPr>
              <w:spacing w:line="240" w:lineRule="auto"/>
              <w:rPr>
                <w:rFonts w:ascii="Times New Roman" w:hAnsi="Times New Roman" w:cs="Times New Roman"/>
                <w:sz w:val="20"/>
                <w:szCs w:val="20"/>
              </w:rPr>
            </w:pPr>
            <w:r>
              <w:rPr>
                <w:rFonts w:ascii="Times New Roman" w:hAnsi="Times New Roman" w:cs="Times New Roman"/>
                <w:sz w:val="20"/>
                <w:szCs w:val="20"/>
              </w:rPr>
              <w:t xml:space="preserve">Notes: Based in part on </w:t>
            </w:r>
            <w:proofErr w:type="spellStart"/>
            <w:r>
              <w:rPr>
                <w:rFonts w:ascii="Times New Roman" w:hAnsi="Times New Roman" w:cs="Times New Roman"/>
                <w:sz w:val="20"/>
                <w:szCs w:val="20"/>
              </w:rPr>
              <w:t>Mouss</w:t>
            </w:r>
            <w:proofErr w:type="spellEnd"/>
            <w:r>
              <w:rPr>
                <w:rFonts w:ascii="Times New Roman" w:hAnsi="Times New Roman" w:cs="Times New Roman"/>
                <w:sz w:val="20"/>
                <w:szCs w:val="20"/>
              </w:rPr>
              <w:t xml:space="preserve"> et al. (2015)</w:t>
            </w:r>
          </w:p>
        </w:tc>
      </w:tr>
    </w:tbl>
    <w:p w14:paraId="3710CB97" w14:textId="77777777" w:rsidR="00892E2A" w:rsidRPr="00697230" w:rsidRDefault="00892E2A" w:rsidP="00697230">
      <w:pPr>
        <w:spacing w:line="360" w:lineRule="auto"/>
        <w:jc w:val="both"/>
        <w:rPr>
          <w:rFonts w:ascii="Times New Roman" w:hAnsi="Times New Roman" w:cs="Times New Roman"/>
          <w:sz w:val="24"/>
          <w:szCs w:val="24"/>
        </w:rPr>
      </w:pPr>
    </w:p>
    <w:sectPr w:rsidR="00892E2A" w:rsidRPr="00697230">
      <w:footerReference w:type="default" r:id="rId109"/>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5B05D" w16cex:dateUtc="2021-03-12T09:18:00Z"/>
  <w16cex:commentExtensible w16cex:durableId="23F5B0F8" w16cex:dateUtc="2021-03-12T09:20:00Z"/>
  <w16cex:commentExtensible w16cex:durableId="23F5B38D" w16cex:dateUtc="2021-03-12T09:31:00Z"/>
  <w16cex:commentExtensible w16cex:durableId="23F5DB95" w16cex:dateUtc="2021-03-12T12:22:00Z"/>
  <w16cex:commentExtensible w16cex:durableId="23F5B39A" w16cex:dateUtc="2021-03-12T09:32:00Z"/>
  <w16cex:commentExtensible w16cex:durableId="23F5BDBD" w16cex:dateUtc="2021-03-12T10:15:00Z"/>
  <w16cex:commentExtensible w16cex:durableId="23F5B4D0" w16cex:dateUtc="2021-03-12T09:37:00Z"/>
  <w16cex:commentExtensible w16cex:durableId="23F5BC70" w16cex:dateUtc="2021-03-12T10:09:00Z"/>
  <w16cex:commentExtensible w16cex:durableId="23F5BCE3" w16cex:dateUtc="2021-03-12T10:11:00Z"/>
  <w16cex:commentExtensible w16cex:durableId="23F5BE2A" w16cex:dateUtc="2021-03-12T10:17:00Z"/>
  <w16cex:commentExtensible w16cex:durableId="23F5E065" w16cex:dateUtc="2021-03-12T12:43:00Z"/>
  <w16cex:commentExtensible w16cex:durableId="23F5E0BD" w16cex:dateUtc="2021-03-12T12:44:00Z"/>
  <w16cex:commentExtensible w16cex:durableId="23F6329A" w16cex:dateUtc="2021-03-12T18:34:00Z"/>
  <w16cex:commentExtensible w16cex:durableId="23F63815" w16cex:dateUtc="2021-03-12T18:57:00Z"/>
  <w16cex:commentExtensible w16cex:durableId="23F63C25" w16cex:dateUtc="2021-03-12T19:14:00Z"/>
  <w16cex:commentExtensible w16cex:durableId="23F714B1" w16cex:dateUtc="2021-03-13T10:38:00Z"/>
  <w16cex:commentExtensible w16cex:durableId="23F7158F" w16cex:dateUtc="2021-03-13T10:42:00Z"/>
  <w16cex:commentExtensible w16cex:durableId="23F717DE" w16cex:dateUtc="2021-03-13T10:52:00Z"/>
  <w16cex:commentExtensible w16cex:durableId="23FE01B7" w16cex:dateUtc="2021-03-18T16:43:00Z"/>
  <w16cex:commentExtensible w16cex:durableId="2404948F" w16cex:dateUtc="2021-03-23T16:23:00Z"/>
  <w16cex:commentExtensible w16cex:durableId="23FE15AA" w16cex:dateUtc="2021-03-18T18:08:00Z"/>
  <w16cex:commentExtensible w16cex:durableId="23FE15D1" w16cex:dateUtc="2021-03-18T18:09:00Z"/>
  <w16cex:commentExtensible w16cex:durableId="23FE1810" w16cex:dateUtc="2021-03-18T18:18:00Z"/>
  <w16cex:commentExtensible w16cex:durableId="23FE1930" w16cex:dateUtc="2021-03-18T18:23:00Z"/>
  <w16cex:commentExtensible w16cex:durableId="23FE1A0B" w16cex:dateUtc="2021-03-18T18:27:00Z"/>
  <w16cex:commentExtensible w16cex:durableId="23FE1A1C" w16cex:dateUtc="2021-03-18T18:27:00Z"/>
  <w16cex:commentExtensible w16cex:durableId="24004B6A" w16cex:dateUtc="2021-03-20T10:22:00Z"/>
  <w16cex:commentExtensible w16cex:durableId="2400522A" w16cex:dateUtc="2021-03-20T10:51:00Z"/>
  <w16cex:commentExtensible w16cex:durableId="2400698A" w16cex:dateUtc="2021-03-20T12:31:00Z"/>
  <w16cex:commentExtensible w16cex:durableId="240069BA" w16cex:dateUtc="2021-03-20T12:31:00Z"/>
  <w16cex:commentExtensible w16cex:durableId="24006B65" w16cex:dateUtc="2021-03-20T12:39:00Z"/>
  <w16cex:commentExtensible w16cex:durableId="24006B86" w16cex:dateUtc="2021-03-20T12:39:00Z"/>
  <w16cex:commentExtensible w16cex:durableId="24006C0E" w16cex:dateUtc="2021-03-20T12:41:00Z"/>
  <w16cex:commentExtensible w16cex:durableId="24006E2E" w16cex:dateUtc="2021-03-20T12:50:00Z"/>
  <w16cex:commentExtensible w16cex:durableId="24007100" w16cex:dateUtc="2021-03-20T13:02:00Z"/>
  <w16cex:commentExtensible w16cex:durableId="24007268" w16cex:dateUtc="2021-03-20T13:08:00Z"/>
  <w16cex:commentExtensible w16cex:durableId="24007FBC" w16cex:dateUtc="2021-03-20T14:05:00Z"/>
  <w16cex:commentExtensible w16cex:durableId="240080D9" w16cex:dateUtc="2021-03-20T14:10:00Z"/>
  <w16cex:commentExtensible w16cex:durableId="2400827E" w16cex:dateUtc="2021-03-20T14:17:00Z"/>
  <w16cex:commentExtensible w16cex:durableId="240089A2" w16cex:dateUtc="2021-03-20T14:48:00Z"/>
  <w16cex:commentExtensible w16cex:durableId="2400B554" w16cex:dateUtc="2021-03-20T17:54:00Z"/>
  <w16cex:commentExtensible w16cex:durableId="2400B599" w16cex:dateUtc="2021-03-20T17:55:00Z"/>
  <w16cex:commentExtensible w16cex:durableId="2400B949" w16cex:dateUtc="2021-03-20T18:11:00Z"/>
  <w16cex:commentExtensible w16cex:durableId="2400BA2A" w16cex:dateUtc="2021-03-20T18:15:00Z"/>
  <w16cex:commentExtensible w16cex:durableId="2400BCF0" w16cex:dateUtc="2021-03-20T18:26:00Z"/>
  <w16cex:commentExtensible w16cex:durableId="2400BF37" w16cex:dateUtc="2021-03-20T18: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45B1C72" w16cid:durableId="23F5B05D"/>
  <w16cid:commentId w16cid:paraId="74151EF5" w16cid:durableId="23F5B0F8"/>
  <w16cid:commentId w16cid:paraId="34805C5F" w16cid:durableId="23F5B38D"/>
  <w16cid:commentId w16cid:paraId="685633D3" w16cid:durableId="23F5DB95"/>
  <w16cid:commentId w16cid:paraId="00CAA650" w16cid:durableId="23F5B39A"/>
  <w16cid:commentId w16cid:paraId="1F789EFF" w16cid:durableId="23F5BDBD"/>
  <w16cid:commentId w16cid:paraId="4F2BA3D0" w16cid:durableId="23F5B4D0"/>
  <w16cid:commentId w16cid:paraId="676697E0" w16cid:durableId="23F5BC70"/>
  <w16cid:commentId w16cid:paraId="32FAC088" w16cid:durableId="23F5BCE3"/>
  <w16cid:commentId w16cid:paraId="3DF769EF" w16cid:durableId="23F5BE2A"/>
  <w16cid:commentId w16cid:paraId="408D435B" w16cid:durableId="23F5E065"/>
  <w16cid:commentId w16cid:paraId="29571C22" w16cid:durableId="23F5E0BD"/>
  <w16cid:commentId w16cid:paraId="67588D18" w16cid:durableId="23F6329A"/>
  <w16cid:commentId w16cid:paraId="5E7EE8F9" w16cid:durableId="23F63815"/>
  <w16cid:commentId w16cid:paraId="6B893762" w16cid:durableId="23F63C25"/>
  <w16cid:commentId w16cid:paraId="62CA78F9" w16cid:durableId="23F714B1"/>
  <w16cid:commentId w16cid:paraId="49D97AB2" w16cid:durableId="23F7158F"/>
  <w16cid:commentId w16cid:paraId="75EC6899" w16cid:durableId="23F717DE"/>
  <w16cid:commentId w16cid:paraId="306523A5" w16cid:durableId="23FE01B7"/>
  <w16cid:commentId w16cid:paraId="4A9AA42E" w16cid:durableId="2404948F"/>
  <w16cid:commentId w16cid:paraId="71F98A8B" w16cid:durableId="23FE15AA"/>
  <w16cid:commentId w16cid:paraId="6536C7DC" w16cid:durableId="23FE15D1"/>
  <w16cid:commentId w16cid:paraId="7CD60248" w16cid:durableId="23FE1810"/>
  <w16cid:commentId w16cid:paraId="531A3CF9" w16cid:durableId="23FE1930"/>
  <w16cid:commentId w16cid:paraId="3A736913" w16cid:durableId="23FE1A0B"/>
  <w16cid:commentId w16cid:paraId="1FDFD707" w16cid:durableId="23FE1A1C"/>
  <w16cid:commentId w16cid:paraId="3BBC2A92" w16cid:durableId="24004B6A"/>
  <w16cid:commentId w16cid:paraId="43303E95" w16cid:durableId="2400522A"/>
  <w16cid:commentId w16cid:paraId="5D2710FB" w16cid:durableId="2400698A"/>
  <w16cid:commentId w16cid:paraId="79054DFA" w16cid:durableId="240069BA"/>
  <w16cid:commentId w16cid:paraId="1F169CDC" w16cid:durableId="24006B65"/>
  <w16cid:commentId w16cid:paraId="07819DF2" w16cid:durableId="24006B86"/>
  <w16cid:commentId w16cid:paraId="6B6CC939" w16cid:durableId="24006C0E"/>
  <w16cid:commentId w16cid:paraId="6A285A59" w16cid:durableId="24006E2E"/>
  <w16cid:commentId w16cid:paraId="7A8D8A4F" w16cid:durableId="24007100"/>
  <w16cid:commentId w16cid:paraId="02F2B4BC" w16cid:durableId="24007268"/>
  <w16cid:commentId w16cid:paraId="11F7903C" w16cid:durableId="24007FBC"/>
  <w16cid:commentId w16cid:paraId="0F8BA653" w16cid:durableId="240080D9"/>
  <w16cid:commentId w16cid:paraId="31929420" w16cid:durableId="2400827E"/>
  <w16cid:commentId w16cid:paraId="6954465C" w16cid:durableId="240089A2"/>
  <w16cid:commentId w16cid:paraId="621EB706" w16cid:durableId="2400B554"/>
  <w16cid:commentId w16cid:paraId="5288B076" w16cid:durableId="2400B599"/>
  <w16cid:commentId w16cid:paraId="01C4A3AB" w16cid:durableId="2400B949"/>
  <w16cid:commentId w16cid:paraId="6C0EE0A1" w16cid:durableId="2400BA2A"/>
  <w16cid:commentId w16cid:paraId="23BAD74C" w16cid:durableId="2400BCF0"/>
  <w16cid:commentId w16cid:paraId="69FCC158" w16cid:durableId="2400BF3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69DC85" w14:textId="77777777" w:rsidR="004A78DF" w:rsidRDefault="004A78DF" w:rsidP="009025C2">
      <w:pPr>
        <w:spacing w:after="0" w:line="240" w:lineRule="auto"/>
      </w:pPr>
      <w:r>
        <w:separator/>
      </w:r>
    </w:p>
  </w:endnote>
  <w:endnote w:type="continuationSeparator" w:id="0">
    <w:p w14:paraId="55FA865E" w14:textId="77777777" w:rsidR="004A78DF" w:rsidRDefault="004A78DF" w:rsidP="00902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9135460"/>
      <w:docPartObj>
        <w:docPartGallery w:val="Page Numbers (Bottom of Page)"/>
        <w:docPartUnique/>
      </w:docPartObj>
    </w:sdtPr>
    <w:sdtEndPr>
      <w:rPr>
        <w:noProof/>
      </w:rPr>
    </w:sdtEndPr>
    <w:sdtContent>
      <w:p w14:paraId="1CF7E620" w14:textId="042D6FDE" w:rsidR="004A78DF" w:rsidRDefault="004A78DF">
        <w:pPr>
          <w:pStyle w:val="Footer"/>
          <w:jc w:val="right"/>
        </w:pPr>
        <w:r>
          <w:fldChar w:fldCharType="begin"/>
        </w:r>
        <w:r>
          <w:instrText xml:space="preserve"> PAGE   \* MERGEFORMAT </w:instrText>
        </w:r>
        <w:r>
          <w:fldChar w:fldCharType="separate"/>
        </w:r>
        <w:r w:rsidR="00833BF8">
          <w:rPr>
            <w:noProof/>
          </w:rPr>
          <w:t>7</w:t>
        </w:r>
        <w:r>
          <w:rPr>
            <w:noProof/>
          </w:rPr>
          <w:fldChar w:fldCharType="end"/>
        </w:r>
      </w:p>
    </w:sdtContent>
  </w:sdt>
  <w:p w14:paraId="6D442AB2" w14:textId="77777777" w:rsidR="004A78DF" w:rsidRDefault="004A78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7480785"/>
      <w:docPartObj>
        <w:docPartGallery w:val="Page Numbers (Bottom of Page)"/>
        <w:docPartUnique/>
      </w:docPartObj>
    </w:sdtPr>
    <w:sdtEndPr>
      <w:rPr>
        <w:noProof/>
      </w:rPr>
    </w:sdtEndPr>
    <w:sdtContent>
      <w:p w14:paraId="1A2BF151" w14:textId="0C458E93" w:rsidR="004A78DF" w:rsidRDefault="004A78DF">
        <w:pPr>
          <w:pStyle w:val="Footer"/>
          <w:jc w:val="center"/>
        </w:pPr>
        <w:r>
          <w:fldChar w:fldCharType="begin"/>
        </w:r>
        <w:r>
          <w:instrText xml:space="preserve"> PAGE   \* MERGEFORMAT </w:instrText>
        </w:r>
        <w:r>
          <w:fldChar w:fldCharType="separate"/>
        </w:r>
        <w:r w:rsidR="00833BF8">
          <w:rPr>
            <w:noProof/>
          </w:rPr>
          <w:t>42</w:t>
        </w:r>
        <w:r>
          <w:rPr>
            <w:noProof/>
          </w:rPr>
          <w:fldChar w:fldCharType="end"/>
        </w:r>
      </w:p>
    </w:sdtContent>
  </w:sdt>
  <w:p w14:paraId="22D5682D" w14:textId="77777777" w:rsidR="004A78DF" w:rsidRDefault="004A78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1979452"/>
      <w:docPartObj>
        <w:docPartGallery w:val="Page Numbers (Bottom of Page)"/>
        <w:docPartUnique/>
      </w:docPartObj>
    </w:sdtPr>
    <w:sdtEndPr>
      <w:rPr>
        <w:noProof/>
      </w:rPr>
    </w:sdtEndPr>
    <w:sdtContent>
      <w:p w14:paraId="088119AC" w14:textId="4CE8F070" w:rsidR="004A78DF" w:rsidRDefault="004A78DF">
        <w:pPr>
          <w:pStyle w:val="Footer"/>
          <w:jc w:val="center"/>
        </w:pPr>
        <w:r>
          <w:fldChar w:fldCharType="begin"/>
        </w:r>
        <w:r>
          <w:instrText xml:space="preserve"> PAGE   \* MERGEFORMAT </w:instrText>
        </w:r>
        <w:r>
          <w:fldChar w:fldCharType="separate"/>
        </w:r>
        <w:r w:rsidR="00833BF8">
          <w:rPr>
            <w:noProof/>
          </w:rPr>
          <w:t>112</w:t>
        </w:r>
        <w:r>
          <w:rPr>
            <w:noProof/>
          </w:rPr>
          <w:fldChar w:fldCharType="end"/>
        </w:r>
      </w:p>
    </w:sdtContent>
  </w:sdt>
  <w:p w14:paraId="5BC28E49" w14:textId="77777777" w:rsidR="004A78DF" w:rsidRDefault="004A78D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248584"/>
      <w:docPartObj>
        <w:docPartGallery w:val="Page Numbers (Bottom of Page)"/>
        <w:docPartUnique/>
      </w:docPartObj>
    </w:sdtPr>
    <w:sdtEndPr>
      <w:rPr>
        <w:noProof/>
      </w:rPr>
    </w:sdtEndPr>
    <w:sdtContent>
      <w:p w14:paraId="04CC10A8" w14:textId="6937CF30" w:rsidR="004A78DF" w:rsidRDefault="004A78DF">
        <w:pPr>
          <w:pStyle w:val="Footer"/>
          <w:jc w:val="center"/>
        </w:pPr>
        <w:r>
          <w:fldChar w:fldCharType="begin"/>
        </w:r>
        <w:r>
          <w:instrText xml:space="preserve"> PAGE   \* MERGEFORMAT </w:instrText>
        </w:r>
        <w:r>
          <w:fldChar w:fldCharType="separate"/>
        </w:r>
        <w:r w:rsidR="00833BF8">
          <w:rPr>
            <w:noProof/>
          </w:rPr>
          <w:t>163</w:t>
        </w:r>
        <w:r>
          <w:rPr>
            <w:noProof/>
          </w:rPr>
          <w:fldChar w:fldCharType="end"/>
        </w:r>
      </w:p>
    </w:sdtContent>
  </w:sdt>
  <w:p w14:paraId="305A41ED" w14:textId="77777777" w:rsidR="004A78DF" w:rsidRDefault="004A78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DAC138" w14:textId="77777777" w:rsidR="004A78DF" w:rsidRDefault="004A78DF" w:rsidP="009025C2">
      <w:pPr>
        <w:spacing w:after="0" w:line="240" w:lineRule="auto"/>
      </w:pPr>
      <w:r>
        <w:separator/>
      </w:r>
    </w:p>
  </w:footnote>
  <w:footnote w:type="continuationSeparator" w:id="0">
    <w:p w14:paraId="23859D14" w14:textId="77777777" w:rsidR="004A78DF" w:rsidRDefault="004A78DF" w:rsidP="009025C2">
      <w:pPr>
        <w:spacing w:after="0" w:line="240" w:lineRule="auto"/>
      </w:pPr>
      <w:r>
        <w:continuationSeparator/>
      </w:r>
    </w:p>
  </w:footnote>
  <w:footnote w:id="1">
    <w:p w14:paraId="1C56BA52" w14:textId="0C3094E9" w:rsidR="004A78DF" w:rsidRPr="00C53298" w:rsidRDefault="004A78DF">
      <w:pPr>
        <w:pStyle w:val="FootnoteText"/>
        <w:rPr>
          <w:rFonts w:ascii="Times New Roman" w:hAnsi="Times New Roman" w:cs="Times New Roman"/>
        </w:rPr>
      </w:pPr>
      <w:r w:rsidRPr="00C53298">
        <w:rPr>
          <w:rStyle w:val="FootnoteReference"/>
          <w:rFonts w:ascii="Times New Roman" w:hAnsi="Times New Roman" w:cs="Times New Roman"/>
        </w:rPr>
        <w:footnoteRef/>
      </w:r>
      <w:r w:rsidRPr="00C53298">
        <w:rPr>
          <w:rFonts w:ascii="Times New Roman" w:hAnsi="Times New Roman" w:cs="Times New Roman"/>
        </w:rPr>
        <w:t xml:space="preserve"> Here, ‘working population sample’ refers to the general population (not specifically professional workers).</w:t>
      </w:r>
    </w:p>
  </w:footnote>
  <w:footnote w:id="2">
    <w:p w14:paraId="299026C4" w14:textId="77777777" w:rsidR="004A78DF" w:rsidRDefault="004A78DF" w:rsidP="009B3987">
      <w:pPr>
        <w:pStyle w:val="FootnoteText"/>
        <w:jc w:val="both"/>
      </w:pPr>
      <w:r>
        <w:rPr>
          <w:rStyle w:val="FootnoteReference"/>
        </w:rPr>
        <w:footnoteRef/>
      </w:r>
      <w:r>
        <w:t xml:space="preserve"> </w:t>
      </w:r>
      <w:r w:rsidRPr="00927648">
        <w:rPr>
          <w:rFonts w:ascii="Times New Roman" w:hAnsi="Times New Roman" w:cs="Times New Roman"/>
        </w:rPr>
        <w:t xml:space="preserve">In the Biobank dataset, </w:t>
      </w:r>
      <w:r>
        <w:rPr>
          <w:rFonts w:ascii="Times New Roman" w:hAnsi="Times New Roman" w:cs="Times New Roman"/>
        </w:rPr>
        <w:t>the matching model will also include number of</w:t>
      </w:r>
      <w:r w:rsidRPr="00927648">
        <w:rPr>
          <w:rFonts w:ascii="Times New Roman" w:hAnsi="Times New Roman" w:cs="Times New Roman"/>
        </w:rPr>
        <w:t xml:space="preserve"> children in the household, whether a parent or a sibling has had depression and whether a relative died in the two years before the interview.</w:t>
      </w:r>
    </w:p>
  </w:footnote>
  <w:footnote w:id="3">
    <w:p w14:paraId="03198B72" w14:textId="31FC8047" w:rsidR="004A78DF" w:rsidRPr="00C35FD0" w:rsidRDefault="004A78DF" w:rsidP="004B31EC">
      <w:pPr>
        <w:pStyle w:val="FootnoteText"/>
        <w:jc w:val="both"/>
        <w:rPr>
          <w:rFonts w:ascii="Times New Roman" w:hAnsi="Times New Roman" w:cs="Times New Roman"/>
        </w:rPr>
      </w:pPr>
      <w:r w:rsidRPr="00C35FD0">
        <w:rPr>
          <w:rStyle w:val="FootnoteReference"/>
          <w:rFonts w:ascii="Times New Roman" w:hAnsi="Times New Roman" w:cs="Times New Roman"/>
        </w:rPr>
        <w:footnoteRef/>
      </w:r>
      <w:r w:rsidRPr="00C35FD0">
        <w:rPr>
          <w:rFonts w:ascii="Times New Roman" w:hAnsi="Times New Roman" w:cs="Times New Roman"/>
        </w:rPr>
        <w:t xml:space="preserve"> For instance, at a recent House of Commons committee meeting, a </w:t>
      </w:r>
      <w:proofErr w:type="spellStart"/>
      <w:r w:rsidRPr="00C35FD0">
        <w:rPr>
          <w:rFonts w:ascii="Times New Roman" w:hAnsi="Times New Roman" w:cs="Times New Roman"/>
        </w:rPr>
        <w:t>headteacher</w:t>
      </w:r>
      <w:proofErr w:type="spellEnd"/>
      <w:r w:rsidRPr="00C35FD0">
        <w:rPr>
          <w:rFonts w:ascii="Times New Roman" w:hAnsi="Times New Roman" w:cs="Times New Roman"/>
        </w:rPr>
        <w:t xml:space="preserve"> giving evidence stated: ‘</w:t>
      </w:r>
      <w:r w:rsidRPr="00C35FD0">
        <w:rPr>
          <w:rFonts w:ascii="Times New Roman" w:hAnsi="Times New Roman" w:cs="Times New Roman"/>
          <w:i/>
        </w:rPr>
        <w:t>In terms of staff wellbeing at the moment, I have probably got the greatest concern that I have ever had. In terms of people’s health, I have never known it as bad as it is at the moment</w:t>
      </w:r>
      <w:r w:rsidRPr="00C35FD0">
        <w:rPr>
          <w:rFonts w:ascii="Times New Roman" w:hAnsi="Times New Roman" w:cs="Times New Roman"/>
        </w:rPr>
        <w:t>’ (House of Commons</w:t>
      </w:r>
      <w:r>
        <w:rPr>
          <w:rFonts w:ascii="Times New Roman" w:hAnsi="Times New Roman" w:cs="Times New Roman"/>
        </w:rPr>
        <w:t>,</w:t>
      </w:r>
      <w:r w:rsidRPr="00C35FD0">
        <w:rPr>
          <w:rFonts w:ascii="Times New Roman" w:hAnsi="Times New Roman" w:cs="Times New Roman"/>
        </w:rPr>
        <w:t xml:space="preserve"> 2018).</w:t>
      </w:r>
    </w:p>
  </w:footnote>
  <w:footnote w:id="4">
    <w:p w14:paraId="06074BA4" w14:textId="6EE96389" w:rsidR="004A78DF" w:rsidRDefault="004A78DF" w:rsidP="004B31EC">
      <w:pPr>
        <w:pStyle w:val="FootnoteText"/>
      </w:pPr>
      <w:r>
        <w:rPr>
          <w:rStyle w:val="FootnoteReference"/>
        </w:rPr>
        <w:footnoteRef/>
      </w:r>
      <w:r>
        <w:t xml:space="preserve"> </w:t>
      </w:r>
      <w:r>
        <w:rPr>
          <w:rFonts w:ascii="Times New Roman" w:hAnsi="Times New Roman" w:cs="Times New Roman"/>
        </w:rPr>
        <w:t xml:space="preserve">Although our analysis of HSE cannot focus upon teachers per se, in Jerrim et al. (2020b) we illustrate how </w:t>
      </w:r>
      <w:proofErr w:type="gramStart"/>
      <w:r>
        <w:rPr>
          <w:rFonts w:ascii="Times New Roman" w:hAnsi="Times New Roman" w:cs="Times New Roman"/>
        </w:rPr>
        <w:t>trends in mental health and wellbeing outcomes for</w:t>
      </w:r>
      <w:proofErr w:type="gramEnd"/>
      <w:r>
        <w:rPr>
          <w:rFonts w:ascii="Times New Roman" w:hAnsi="Times New Roman" w:cs="Times New Roman"/>
        </w:rPr>
        <w:t xml:space="preserve"> education professionals (broadly defined) are very similar to those for teachers (specifically defined).</w:t>
      </w:r>
    </w:p>
  </w:footnote>
  <w:footnote w:id="5">
    <w:p w14:paraId="60ED8109" w14:textId="77777777" w:rsidR="004A78DF" w:rsidRDefault="004A78DF" w:rsidP="004B31EC">
      <w:pPr>
        <w:pStyle w:val="FootnoteText"/>
        <w:jc w:val="both"/>
      </w:pPr>
      <w:r>
        <w:rPr>
          <w:rStyle w:val="FootnoteReference"/>
        </w:rPr>
        <w:footnoteRef/>
      </w:r>
      <w:r>
        <w:t xml:space="preserve"> </w:t>
      </w:r>
      <w:r>
        <w:rPr>
          <w:rFonts w:ascii="Times New Roman" w:hAnsi="Times New Roman" w:cs="Times New Roman"/>
          <w:szCs w:val="24"/>
        </w:rPr>
        <w:t>The variables included in the matching model are age, gender, marital status, ethnicity, whether born in the UK and whether the teacher works full-time or part-time. By matching upon these characteristics, we can rule out changes in the demographic composition of the teaching workforce from confounding our results.</w:t>
      </w:r>
    </w:p>
  </w:footnote>
  <w:footnote w:id="6">
    <w:p w14:paraId="127C186B" w14:textId="77777777" w:rsidR="004A78DF" w:rsidRPr="00F16AB2" w:rsidRDefault="004A78DF" w:rsidP="004B31EC">
      <w:pPr>
        <w:pStyle w:val="FootnoteText"/>
        <w:jc w:val="both"/>
        <w:rPr>
          <w:rFonts w:ascii="Times New Roman" w:hAnsi="Times New Roman" w:cs="Times New Roman"/>
        </w:rPr>
      </w:pPr>
      <w:r w:rsidRPr="00F16AB2">
        <w:rPr>
          <w:rStyle w:val="FootnoteReference"/>
          <w:rFonts w:ascii="Times New Roman" w:hAnsi="Times New Roman" w:cs="Times New Roman"/>
        </w:rPr>
        <w:footnoteRef/>
      </w:r>
      <w:r w:rsidRPr="00F16AB2">
        <w:rPr>
          <w:rFonts w:ascii="Times New Roman" w:hAnsi="Times New Roman" w:cs="Times New Roman"/>
        </w:rPr>
        <w:t xml:space="preserve"> This includes nurses, midwives, physios, occupational therapists, social workers, medical practitioners and paramedics.</w:t>
      </w:r>
    </w:p>
  </w:footnote>
  <w:footnote w:id="7">
    <w:p w14:paraId="3DC1897A" w14:textId="77777777" w:rsidR="004A78DF" w:rsidRPr="00F16AB2" w:rsidRDefault="004A78DF" w:rsidP="004B31EC">
      <w:pPr>
        <w:pStyle w:val="FootnoteText"/>
        <w:jc w:val="both"/>
        <w:rPr>
          <w:rFonts w:ascii="Times New Roman" w:hAnsi="Times New Roman" w:cs="Times New Roman"/>
        </w:rPr>
      </w:pPr>
      <w:r w:rsidRPr="00F16AB2">
        <w:rPr>
          <w:rStyle w:val="FootnoteReference"/>
          <w:rFonts w:ascii="Times New Roman" w:hAnsi="Times New Roman" w:cs="Times New Roman"/>
        </w:rPr>
        <w:footnoteRef/>
      </w:r>
      <w:r w:rsidRPr="00F16AB2">
        <w:rPr>
          <w:rFonts w:ascii="Times New Roman" w:hAnsi="Times New Roman" w:cs="Times New Roman"/>
        </w:rPr>
        <w:t xml:space="preserve"> This includes accountants, management consultants, project managers, architects, town planners, surveyors, public relations, statisticians, human resource officer/manager and IT workers. </w:t>
      </w:r>
    </w:p>
  </w:footnote>
  <w:footnote w:id="8">
    <w:p w14:paraId="44C3E789" w14:textId="77777777" w:rsidR="004A78DF" w:rsidRPr="008E407A" w:rsidRDefault="004A78DF" w:rsidP="004B31EC">
      <w:pPr>
        <w:pStyle w:val="FootnoteText"/>
        <w:jc w:val="both"/>
        <w:rPr>
          <w:rFonts w:ascii="Times New Roman" w:hAnsi="Times New Roman" w:cs="Times New Roman"/>
        </w:rPr>
      </w:pPr>
      <w:r w:rsidRPr="008E407A">
        <w:rPr>
          <w:rStyle w:val="FootnoteReference"/>
          <w:rFonts w:ascii="Times New Roman" w:hAnsi="Times New Roman" w:cs="Times New Roman"/>
        </w:rPr>
        <w:footnoteRef/>
      </w:r>
      <w:r w:rsidRPr="008E407A">
        <w:rPr>
          <w:rFonts w:ascii="Times New Roman" w:hAnsi="Times New Roman" w:cs="Times New Roman"/>
        </w:rPr>
        <w:t xml:space="preserve"> Recall that there are only around 100-200 education professionals in the HSE dataset each year. </w:t>
      </w:r>
    </w:p>
  </w:footnote>
  <w:footnote w:id="9">
    <w:p w14:paraId="0A331882" w14:textId="77777777" w:rsidR="004A78DF" w:rsidRDefault="004A78DF" w:rsidP="007C75C5">
      <w:pPr>
        <w:pStyle w:val="FootnoteText"/>
        <w:jc w:val="both"/>
      </w:pPr>
      <w:r w:rsidRPr="006507A4">
        <w:rPr>
          <w:rStyle w:val="FootnoteReference"/>
          <w:rFonts w:ascii="Times New Roman" w:hAnsi="Times New Roman" w:cs="Times New Roman"/>
        </w:rPr>
        <w:footnoteRef/>
      </w:r>
      <w:r w:rsidRPr="006507A4">
        <w:rPr>
          <w:rFonts w:ascii="Times New Roman" w:hAnsi="Times New Roman" w:cs="Times New Roman"/>
        </w:rPr>
        <w:t xml:space="preserve"> Note that this is different to the ‘reference week’ date that is available within the public use version of the APS. Specifically, respondents are asked to recall various pieces of information about the reference week (e.g. hours worked) with the actual survey being conducted at a later date (usually the week after, but sometimes later).</w:t>
      </w:r>
      <w:r>
        <w:t xml:space="preserve"> </w:t>
      </w:r>
    </w:p>
  </w:footnote>
  <w:footnote w:id="10">
    <w:p w14:paraId="653FD864" w14:textId="3855F0F5" w:rsidR="004A78DF" w:rsidRPr="00D23882" w:rsidRDefault="004A78DF" w:rsidP="007C75C5">
      <w:pPr>
        <w:pStyle w:val="FootnoteText"/>
        <w:jc w:val="both"/>
        <w:rPr>
          <w:rFonts w:ascii="Times New Roman" w:hAnsi="Times New Roman" w:cs="Times New Roman"/>
        </w:rPr>
      </w:pPr>
      <w:r w:rsidRPr="00D23882">
        <w:rPr>
          <w:rStyle w:val="FootnoteReference"/>
          <w:rFonts w:ascii="Times New Roman" w:hAnsi="Times New Roman" w:cs="Times New Roman"/>
        </w:rPr>
        <w:footnoteRef/>
      </w:r>
      <w:r w:rsidRPr="00D23882">
        <w:rPr>
          <w:rFonts w:ascii="Times New Roman" w:hAnsi="Times New Roman" w:cs="Times New Roman"/>
        </w:rPr>
        <w:t xml:space="preserve"> For instance, the February half</w:t>
      </w:r>
      <w:r>
        <w:rPr>
          <w:rFonts w:ascii="Times New Roman" w:hAnsi="Times New Roman" w:cs="Times New Roman"/>
        </w:rPr>
        <w:t>-</w:t>
      </w:r>
      <w:r w:rsidRPr="00D23882">
        <w:rPr>
          <w:rFonts w:ascii="Times New Roman" w:hAnsi="Times New Roman" w:cs="Times New Roman"/>
        </w:rPr>
        <w:t>term in 2020 would typically be either 10</w:t>
      </w:r>
      <w:r w:rsidRPr="00D23882">
        <w:rPr>
          <w:rFonts w:ascii="Times New Roman" w:hAnsi="Times New Roman" w:cs="Times New Roman"/>
          <w:vertAlign w:val="superscript"/>
        </w:rPr>
        <w:t>th</w:t>
      </w:r>
      <w:r w:rsidRPr="00D23882">
        <w:rPr>
          <w:rFonts w:ascii="Times New Roman" w:hAnsi="Times New Roman" w:cs="Times New Roman"/>
        </w:rPr>
        <w:t>-14</w:t>
      </w:r>
      <w:r w:rsidRPr="00D23882">
        <w:rPr>
          <w:rFonts w:ascii="Times New Roman" w:hAnsi="Times New Roman" w:cs="Times New Roman"/>
          <w:vertAlign w:val="superscript"/>
        </w:rPr>
        <w:t xml:space="preserve">th </w:t>
      </w:r>
      <w:r w:rsidRPr="00D23882">
        <w:rPr>
          <w:rFonts w:ascii="Times New Roman" w:hAnsi="Times New Roman" w:cs="Times New Roman"/>
        </w:rPr>
        <w:t>February or 17</w:t>
      </w:r>
      <w:r w:rsidRPr="00D23882">
        <w:rPr>
          <w:rFonts w:ascii="Times New Roman" w:hAnsi="Times New Roman" w:cs="Times New Roman"/>
          <w:vertAlign w:val="superscript"/>
        </w:rPr>
        <w:t>th</w:t>
      </w:r>
      <w:r>
        <w:rPr>
          <w:rFonts w:ascii="Times New Roman" w:hAnsi="Times New Roman" w:cs="Times New Roman"/>
        </w:rPr>
        <w:t>-</w:t>
      </w:r>
      <w:r w:rsidRPr="00D23882">
        <w:rPr>
          <w:rFonts w:ascii="Times New Roman" w:hAnsi="Times New Roman" w:cs="Times New Roman"/>
        </w:rPr>
        <w:t>21</w:t>
      </w:r>
      <w:r w:rsidRPr="00D23882">
        <w:rPr>
          <w:rFonts w:ascii="Times New Roman" w:hAnsi="Times New Roman" w:cs="Times New Roman"/>
          <w:vertAlign w:val="superscript"/>
        </w:rPr>
        <w:t>st</w:t>
      </w:r>
      <w:r w:rsidRPr="00D23882">
        <w:rPr>
          <w:rFonts w:ascii="Times New Roman" w:hAnsi="Times New Roman" w:cs="Times New Roman"/>
        </w:rPr>
        <w:t xml:space="preserve"> February within most school</w:t>
      </w:r>
      <w:r>
        <w:rPr>
          <w:rFonts w:ascii="Times New Roman" w:hAnsi="Times New Roman" w:cs="Times New Roman"/>
        </w:rPr>
        <w:t>s</w:t>
      </w:r>
      <w:r w:rsidRPr="00D23882">
        <w:rPr>
          <w:rFonts w:ascii="Times New Roman" w:hAnsi="Times New Roman" w:cs="Times New Roman"/>
        </w:rPr>
        <w:t>.</w:t>
      </w:r>
    </w:p>
  </w:footnote>
  <w:footnote w:id="11">
    <w:p w14:paraId="5D5D51C3" w14:textId="77777777" w:rsidR="004A78DF" w:rsidRPr="00D12027" w:rsidRDefault="004A78DF" w:rsidP="007C75C5">
      <w:pPr>
        <w:pStyle w:val="FootnoteText"/>
        <w:jc w:val="both"/>
        <w:rPr>
          <w:rFonts w:ascii="Times New Roman" w:hAnsi="Times New Roman" w:cs="Times New Roman"/>
        </w:rPr>
      </w:pPr>
      <w:r w:rsidRPr="00D12027">
        <w:rPr>
          <w:rStyle w:val="FootnoteReference"/>
          <w:rFonts w:ascii="Times New Roman" w:hAnsi="Times New Roman" w:cs="Times New Roman"/>
        </w:rPr>
        <w:footnoteRef/>
      </w:r>
      <w:r w:rsidRPr="00D12027">
        <w:rPr>
          <w:rFonts w:ascii="Times New Roman" w:hAnsi="Times New Roman" w:cs="Times New Roman"/>
        </w:rPr>
        <w:t xml:space="preserve"> The length of the spring term in England also varies somewhat depending upon the date of Easter. </w:t>
      </w:r>
    </w:p>
  </w:footnote>
  <w:footnote w:id="12">
    <w:p w14:paraId="60169315" w14:textId="3FC29302" w:rsidR="004A78DF" w:rsidRDefault="004A78DF" w:rsidP="007C75C5">
      <w:pPr>
        <w:pStyle w:val="FootnoteText"/>
      </w:pPr>
      <w:r>
        <w:rPr>
          <w:rStyle w:val="FootnoteReference"/>
        </w:rPr>
        <w:footnoteRef/>
      </w:r>
      <w:r>
        <w:t xml:space="preserve"> </w:t>
      </w:r>
      <w:r>
        <w:rPr>
          <w:rFonts w:ascii="Times New Roman" w:hAnsi="Times New Roman" w:cs="Times New Roman"/>
        </w:rPr>
        <w:t xml:space="preserve">The models will use one-to-one nearest neighbour matching with a </w:t>
      </w:r>
      <w:proofErr w:type="spellStart"/>
      <w:r>
        <w:rPr>
          <w:rFonts w:ascii="Times New Roman" w:hAnsi="Times New Roman" w:cs="Times New Roman"/>
        </w:rPr>
        <w:t>caliper</w:t>
      </w:r>
      <w:proofErr w:type="spellEnd"/>
      <w:r>
        <w:rPr>
          <w:rFonts w:ascii="Times New Roman" w:hAnsi="Times New Roman" w:cs="Times New Roman"/>
        </w:rPr>
        <w:t xml:space="preserve"> of 0.05 including gender, ethnicity, age, whether works part-time or full-time, whether a primary or secondary teacher, survey year.</w:t>
      </w:r>
    </w:p>
  </w:footnote>
  <w:footnote w:id="13">
    <w:p w14:paraId="25957E55" w14:textId="77777777" w:rsidR="004A78DF" w:rsidRPr="005948E9" w:rsidRDefault="004A78DF" w:rsidP="00577A69">
      <w:pPr>
        <w:pStyle w:val="FootnoteText"/>
        <w:rPr>
          <w:rFonts w:ascii="Times New Roman" w:hAnsi="Times New Roman" w:cs="Times New Roman"/>
        </w:rPr>
      </w:pPr>
      <w:r w:rsidRPr="005948E9">
        <w:rPr>
          <w:rStyle w:val="FootnoteReference"/>
          <w:rFonts w:ascii="Times New Roman" w:hAnsi="Times New Roman" w:cs="Times New Roman"/>
        </w:rPr>
        <w:footnoteRef/>
      </w:r>
      <w:r w:rsidRPr="005948E9">
        <w:rPr>
          <w:rFonts w:ascii="Times New Roman" w:hAnsi="Times New Roman" w:cs="Times New Roman"/>
        </w:rPr>
        <w:t xml:space="preserve"> This is the same National Statistics Socio-economic Classification (NSSEC) group as teachers.</w:t>
      </w:r>
    </w:p>
  </w:footnote>
  <w:footnote w:id="14">
    <w:p w14:paraId="731C51C7" w14:textId="0EE7623F" w:rsidR="004A78DF" w:rsidRPr="005948E9" w:rsidRDefault="004A78DF" w:rsidP="00577A69">
      <w:pPr>
        <w:pStyle w:val="FootnoteText"/>
        <w:rPr>
          <w:rFonts w:ascii="Times New Roman" w:hAnsi="Times New Roman" w:cs="Times New Roman"/>
        </w:rPr>
      </w:pPr>
      <w:r w:rsidRPr="005948E9">
        <w:rPr>
          <w:rStyle w:val="FootnoteReference"/>
          <w:rFonts w:ascii="Times New Roman" w:hAnsi="Times New Roman" w:cs="Times New Roman"/>
        </w:rPr>
        <w:footnoteRef/>
      </w:r>
      <w:r w:rsidRPr="005948E9">
        <w:rPr>
          <w:rFonts w:ascii="Times New Roman" w:hAnsi="Times New Roman" w:cs="Times New Roman"/>
        </w:rPr>
        <w:t xml:space="preserve"> This includes nurses, midwives, physio</w:t>
      </w:r>
      <w:r>
        <w:rPr>
          <w:rFonts w:ascii="Times New Roman" w:hAnsi="Times New Roman" w:cs="Times New Roman"/>
        </w:rPr>
        <w:t>therapist</w:t>
      </w:r>
      <w:r w:rsidRPr="005948E9">
        <w:rPr>
          <w:rFonts w:ascii="Times New Roman" w:hAnsi="Times New Roman" w:cs="Times New Roman"/>
        </w:rPr>
        <w:t>s, occupational therapists, social workers, medical practitioners and paramedics.</w:t>
      </w:r>
    </w:p>
  </w:footnote>
  <w:footnote w:id="15">
    <w:p w14:paraId="207A2366" w14:textId="07F68F59" w:rsidR="004A78DF" w:rsidRDefault="004A78DF" w:rsidP="00577A69">
      <w:pPr>
        <w:pStyle w:val="FootnoteText"/>
      </w:pPr>
      <w:r w:rsidRPr="005948E9">
        <w:rPr>
          <w:rStyle w:val="FootnoteReference"/>
          <w:rFonts w:ascii="Times New Roman" w:hAnsi="Times New Roman" w:cs="Times New Roman"/>
        </w:rPr>
        <w:footnoteRef/>
      </w:r>
      <w:r w:rsidRPr="005948E9">
        <w:rPr>
          <w:rFonts w:ascii="Times New Roman" w:hAnsi="Times New Roman" w:cs="Times New Roman"/>
        </w:rPr>
        <w:t xml:space="preserve"> This includes accountants, management consultants, project managers, architects, town planners, surveyors, public relations</w:t>
      </w:r>
      <w:r>
        <w:rPr>
          <w:rFonts w:ascii="Times New Roman" w:hAnsi="Times New Roman" w:cs="Times New Roman"/>
        </w:rPr>
        <w:t xml:space="preserve"> officers</w:t>
      </w:r>
      <w:r w:rsidRPr="005948E9">
        <w:rPr>
          <w:rFonts w:ascii="Times New Roman" w:hAnsi="Times New Roman" w:cs="Times New Roman"/>
        </w:rPr>
        <w:t>, statisticians, human resource officer/manager and IT workers.</w:t>
      </w:r>
      <w:r>
        <w:t xml:space="preserve"> </w:t>
      </w:r>
    </w:p>
  </w:footnote>
  <w:footnote w:id="16">
    <w:p w14:paraId="08ACCD4F" w14:textId="77777777" w:rsidR="004A78DF" w:rsidRPr="003D309D" w:rsidRDefault="004A78DF" w:rsidP="00577A69">
      <w:pPr>
        <w:pStyle w:val="NoSpacing"/>
        <w:rPr>
          <w:rFonts w:ascii="Times New Roman" w:hAnsi="Times New Roman" w:cs="Times New Roman"/>
          <w:sz w:val="20"/>
          <w:szCs w:val="20"/>
        </w:rPr>
      </w:pPr>
      <w:r w:rsidRPr="003D309D">
        <w:rPr>
          <w:rStyle w:val="FootnoteReference"/>
          <w:sz w:val="20"/>
          <w:szCs w:val="20"/>
        </w:rPr>
        <w:footnoteRef/>
      </w:r>
      <w:r w:rsidRPr="003D309D">
        <w:rPr>
          <w:sz w:val="20"/>
          <w:szCs w:val="20"/>
        </w:rPr>
        <w:t xml:space="preserve"> </w:t>
      </w:r>
      <w:r w:rsidRPr="003D309D">
        <w:rPr>
          <w:rFonts w:ascii="Times New Roman" w:hAnsi="Times New Roman" w:cs="Times New Roman"/>
          <w:sz w:val="20"/>
          <w:szCs w:val="20"/>
        </w:rPr>
        <w:t>This was gathered via responses to the following statement: ‘</w:t>
      </w:r>
      <w:r w:rsidRPr="003D309D">
        <w:rPr>
          <w:rFonts w:ascii="Times New Roman" w:hAnsi="Times New Roman" w:cs="Times New Roman"/>
          <w:i/>
          <w:iCs/>
          <w:sz w:val="20"/>
          <w:szCs w:val="20"/>
        </w:rPr>
        <w:t>Britain today is a place where hard work is rewarded</w:t>
      </w:r>
      <w:r w:rsidRPr="003D309D">
        <w:rPr>
          <w:rFonts w:ascii="Times New Roman" w:hAnsi="Times New Roman" w:cs="Times New Roman"/>
          <w:sz w:val="20"/>
          <w:szCs w:val="20"/>
        </w:rPr>
        <w:t>’ using a four-point scale (strongly agree to strongly disagree).</w:t>
      </w:r>
    </w:p>
  </w:footnote>
  <w:footnote w:id="17">
    <w:p w14:paraId="409A5316" w14:textId="1BC16632" w:rsidR="004A78DF" w:rsidRDefault="004A78DF">
      <w:pPr>
        <w:pStyle w:val="FootnoteText"/>
      </w:pPr>
      <w:r>
        <w:rPr>
          <w:rStyle w:val="FootnoteReference"/>
        </w:rPr>
        <w:footnoteRef/>
      </w:r>
      <w:r>
        <w:t xml:space="preserve"> </w:t>
      </w:r>
      <w:r>
        <w:rPr>
          <w:rFonts w:ascii="Times New Roman" w:hAnsi="Times New Roman" w:cs="Times New Roman"/>
        </w:rPr>
        <w:t>It should be noted that this refers to responses before the Covid-19 pandemic. Data is not yet available on how this might have changed since.</w:t>
      </w:r>
    </w:p>
  </w:footnote>
  <w:footnote w:id="18">
    <w:p w14:paraId="495A912A" w14:textId="77777777" w:rsidR="004A78DF" w:rsidRPr="007D0042" w:rsidRDefault="004A78DF" w:rsidP="008B4E20">
      <w:pPr>
        <w:spacing w:after="0" w:line="240" w:lineRule="auto"/>
        <w:jc w:val="both"/>
        <w:rPr>
          <w:rFonts w:ascii="Times New Roman" w:hAnsi="Times New Roman" w:cs="Times New Roman"/>
          <w:sz w:val="20"/>
          <w:szCs w:val="20"/>
        </w:rPr>
      </w:pPr>
      <w:r w:rsidRPr="00357149">
        <w:rPr>
          <w:rStyle w:val="FootnoteReference"/>
          <w:rFonts w:ascii="Times New Roman" w:hAnsi="Times New Roman" w:cs="Times New Roman"/>
          <w:sz w:val="20"/>
          <w:szCs w:val="20"/>
        </w:rPr>
        <w:footnoteRef/>
      </w:r>
      <w:r w:rsidRPr="00357149">
        <w:rPr>
          <w:rFonts w:ascii="Times New Roman" w:hAnsi="Times New Roman" w:cs="Times New Roman"/>
          <w:sz w:val="20"/>
          <w:szCs w:val="20"/>
        </w:rPr>
        <w:t xml:space="preserve"> These models control for household structure, family history of mental illness, whether a major life event occurred in last two years (e.g. divorce, had a relative die), month the assessment centre took place, reported spells of depression before they entered teaching and an array of demographic char</w:t>
      </w:r>
      <w:r w:rsidRPr="007D0042">
        <w:rPr>
          <w:rFonts w:ascii="Times New Roman" w:hAnsi="Times New Roman" w:cs="Times New Roman"/>
          <w:sz w:val="20"/>
          <w:szCs w:val="20"/>
        </w:rPr>
        <w:t xml:space="preserve">acteristics. </w:t>
      </w:r>
    </w:p>
  </w:footnote>
  <w:footnote w:id="19">
    <w:p w14:paraId="327FC223" w14:textId="18FC3991" w:rsidR="004A78DF" w:rsidRPr="00392430" w:rsidRDefault="004A78DF" w:rsidP="00440E80">
      <w:pPr>
        <w:pStyle w:val="FootnoteText"/>
        <w:jc w:val="both"/>
        <w:rPr>
          <w:rFonts w:ascii="Times New Roman" w:hAnsi="Times New Roman" w:cs="Times New Roman"/>
        </w:rPr>
      </w:pPr>
      <w:r w:rsidRPr="007D0042">
        <w:rPr>
          <w:rStyle w:val="FootnoteReference"/>
          <w:rFonts w:ascii="Times New Roman" w:hAnsi="Times New Roman" w:cs="Times New Roman"/>
        </w:rPr>
        <w:footnoteRef/>
      </w:r>
      <w:r w:rsidRPr="007D0042">
        <w:rPr>
          <w:rFonts w:ascii="Times New Roman" w:hAnsi="Times New Roman" w:cs="Times New Roman"/>
        </w:rPr>
        <w:t xml:space="preserve"> A subset of respondents also completed a follow-up mental health questionnaire, including some additional measures. These results are not reported here for brevity, as they essentially replicate the key findings presented within other parts of our analysis. For further details see Jerrim et al</w:t>
      </w:r>
      <w:r>
        <w:rPr>
          <w:rFonts w:ascii="Times New Roman" w:hAnsi="Times New Roman" w:cs="Times New Roman"/>
        </w:rPr>
        <w:t>.</w:t>
      </w:r>
      <w:r w:rsidRPr="007D0042">
        <w:rPr>
          <w:rFonts w:ascii="Times New Roman" w:hAnsi="Times New Roman" w:cs="Times New Roman"/>
        </w:rPr>
        <w:t xml:space="preserve"> (2020c).</w:t>
      </w:r>
      <w:r w:rsidRPr="00392430">
        <w:rPr>
          <w:rFonts w:ascii="Times New Roman" w:hAnsi="Times New Roman" w:cs="Times New Roman"/>
        </w:rPr>
        <w:t xml:space="preserve"> </w:t>
      </w:r>
    </w:p>
  </w:footnote>
  <w:footnote w:id="20">
    <w:p w14:paraId="6A47964C" w14:textId="77777777" w:rsidR="004A78DF" w:rsidRPr="00F13321" w:rsidRDefault="004A78DF" w:rsidP="008B4E20">
      <w:pPr>
        <w:spacing w:after="0" w:line="240" w:lineRule="auto"/>
        <w:jc w:val="both"/>
        <w:rPr>
          <w:rFonts w:ascii="Times New Roman" w:hAnsi="Times New Roman" w:cs="Times New Roman"/>
          <w:sz w:val="20"/>
          <w:szCs w:val="20"/>
        </w:rPr>
      </w:pPr>
      <w:r w:rsidRPr="00F13321">
        <w:rPr>
          <w:rStyle w:val="FootnoteReference"/>
          <w:rFonts w:ascii="Times New Roman" w:hAnsi="Times New Roman" w:cs="Times New Roman"/>
          <w:sz w:val="20"/>
          <w:szCs w:val="20"/>
        </w:rPr>
        <w:footnoteRef/>
      </w:r>
      <w:r w:rsidRPr="00F13321">
        <w:rPr>
          <w:rFonts w:ascii="Times New Roman" w:hAnsi="Times New Roman" w:cs="Times New Roman"/>
          <w:sz w:val="20"/>
          <w:szCs w:val="20"/>
        </w:rPr>
        <w:t xml:space="preserve"> These models include controls for various mental health measures collected during the initial assessment centre, family history of mental illness, month that the follow-up assessment centre was completed and a range of demographic background factors. </w:t>
      </w:r>
    </w:p>
  </w:footnote>
  <w:footnote w:id="21">
    <w:p w14:paraId="575DDCCA" w14:textId="78C97B4A" w:rsidR="004A78DF" w:rsidRPr="00B15EF5" w:rsidRDefault="004A78DF" w:rsidP="00440E80">
      <w:pPr>
        <w:pStyle w:val="FootnoteText"/>
        <w:jc w:val="both"/>
        <w:rPr>
          <w:rFonts w:ascii="Times New Roman" w:hAnsi="Times New Roman" w:cs="Times New Roman"/>
        </w:rPr>
      </w:pPr>
      <w:r w:rsidRPr="00B15EF5">
        <w:rPr>
          <w:rStyle w:val="FootnoteReference"/>
          <w:rFonts w:ascii="Times New Roman" w:hAnsi="Times New Roman" w:cs="Times New Roman"/>
        </w:rPr>
        <w:footnoteRef/>
      </w:r>
      <w:r w:rsidRPr="00B15EF5">
        <w:rPr>
          <w:rFonts w:ascii="Times New Roman" w:hAnsi="Times New Roman" w:cs="Times New Roman"/>
        </w:rPr>
        <w:t xml:space="preserve"> </w:t>
      </w:r>
      <w:r w:rsidRPr="00B15EF5">
        <w:rPr>
          <w:rFonts w:ascii="Times New Roman" w:hAnsi="Times New Roman" w:cs="Times New Roman"/>
          <w:color w:val="000000" w:themeColor="text1"/>
        </w:rPr>
        <w:t>We argue that an effect size of 0.1 would be substantively very small in this context. For instance, say that a person who left teaching scored an effect size 0.1 lower on the depression scale than those who remained in the profession</w:t>
      </w:r>
      <w:r>
        <w:rPr>
          <w:rFonts w:ascii="Times New Roman" w:hAnsi="Times New Roman" w:cs="Times New Roman"/>
          <w:color w:val="000000" w:themeColor="text1"/>
        </w:rPr>
        <w:t>:</w:t>
      </w:r>
      <w:r w:rsidRPr="00B15EF5">
        <w:rPr>
          <w:rFonts w:ascii="Times New Roman" w:hAnsi="Times New Roman" w:cs="Times New Roman"/>
          <w:color w:val="000000" w:themeColor="text1"/>
        </w:rPr>
        <w:t xml:space="preserve"> </w:t>
      </w:r>
      <w:r>
        <w:rPr>
          <w:rFonts w:ascii="Times New Roman" w:hAnsi="Times New Roman" w:cs="Times New Roman"/>
          <w:color w:val="000000" w:themeColor="text1"/>
        </w:rPr>
        <w:t>t</w:t>
      </w:r>
      <w:r w:rsidRPr="00B15EF5">
        <w:rPr>
          <w:rFonts w:ascii="Times New Roman" w:hAnsi="Times New Roman" w:cs="Times New Roman"/>
          <w:color w:val="000000" w:themeColor="text1"/>
        </w:rPr>
        <w:t xml:space="preserve">his would mean that there is only around a </w:t>
      </w:r>
      <w:bookmarkStart w:id="15" w:name="_Hlk37323672"/>
      <w:r w:rsidRPr="00B15EF5">
        <w:rPr>
          <w:rFonts w:ascii="Times New Roman" w:hAnsi="Times New Roman" w:cs="Times New Roman"/>
          <w:color w:val="000000" w:themeColor="text1"/>
        </w:rPr>
        <w:t xml:space="preserve">52.8% chance that a person picked at random from those who have continued to be teachers will have a higher score </w:t>
      </w:r>
      <w:bookmarkEnd w:id="15"/>
      <w:r w:rsidRPr="00B15EF5">
        <w:rPr>
          <w:rFonts w:ascii="Times New Roman" w:hAnsi="Times New Roman" w:cs="Times New Roman"/>
          <w:color w:val="000000" w:themeColor="text1"/>
        </w:rPr>
        <w:t>on the depression scale than a person picked at random from the group who quit teach</w:t>
      </w:r>
      <w:r>
        <w:rPr>
          <w:rFonts w:ascii="Times New Roman" w:hAnsi="Times New Roman" w:cs="Times New Roman"/>
          <w:color w:val="000000" w:themeColor="text1"/>
        </w:rPr>
        <w:t>ing</w:t>
      </w:r>
      <w:r w:rsidRPr="00B15EF5">
        <w:rPr>
          <w:rFonts w:ascii="Times New Roman" w:hAnsi="Times New Roman" w:cs="Times New Roman"/>
          <w:color w:val="000000" w:themeColor="text1"/>
        </w:rPr>
        <w:t xml:space="preserve"> for another job. In other words, the probability of suffering depression amongst members of these two groups would be little more than equal.</w:t>
      </w:r>
    </w:p>
  </w:footnote>
  <w:footnote w:id="22">
    <w:p w14:paraId="46EC22E6" w14:textId="7532EFC4" w:rsidR="004A78DF" w:rsidRPr="00B15EF5" w:rsidRDefault="004A78DF" w:rsidP="00440E80">
      <w:pPr>
        <w:pStyle w:val="FootnoteText"/>
        <w:jc w:val="both"/>
        <w:rPr>
          <w:rFonts w:ascii="Times New Roman" w:hAnsi="Times New Roman" w:cs="Times New Roman"/>
        </w:rPr>
      </w:pPr>
      <w:r w:rsidRPr="00B15EF5">
        <w:rPr>
          <w:rStyle w:val="FootnoteReference"/>
          <w:rFonts w:ascii="Times New Roman" w:hAnsi="Times New Roman" w:cs="Times New Roman"/>
        </w:rPr>
        <w:footnoteRef/>
      </w:r>
      <w:r w:rsidRPr="00B15EF5">
        <w:rPr>
          <w:rFonts w:ascii="Times New Roman" w:hAnsi="Times New Roman" w:cs="Times New Roman"/>
        </w:rPr>
        <w:t xml:space="preserve"> In Jerrim et al</w:t>
      </w:r>
      <w:r>
        <w:rPr>
          <w:rFonts w:ascii="Times New Roman" w:hAnsi="Times New Roman" w:cs="Times New Roman"/>
        </w:rPr>
        <w:t>.</w:t>
      </w:r>
      <w:r w:rsidRPr="00B15EF5">
        <w:rPr>
          <w:rFonts w:ascii="Times New Roman" w:hAnsi="Times New Roman" w:cs="Times New Roman"/>
        </w:rPr>
        <w:t xml:space="preserve"> (2020</w:t>
      </w:r>
      <w:r>
        <w:rPr>
          <w:rFonts w:ascii="Times New Roman" w:hAnsi="Times New Roman" w:cs="Times New Roman"/>
        </w:rPr>
        <w:t>c</w:t>
      </w:r>
      <w:r w:rsidRPr="00B15EF5">
        <w:rPr>
          <w:rFonts w:ascii="Times New Roman" w:hAnsi="Times New Roman" w:cs="Times New Roman"/>
        </w:rPr>
        <w:t>) results for categorical outcomes are reported as odds ratios. We convert this into a probability difference using the formula Pt = (OR * Pc) / (1+ (OR*Pc) – Pc), where Pt = Probability for the ‘treatment’ group, Pc = probability of the outcome for the control group and OR = the estimated odds ratio reported by Jerrim et al</w:t>
      </w:r>
      <w:r>
        <w:rPr>
          <w:rFonts w:ascii="Times New Roman" w:hAnsi="Times New Roman" w:cs="Times New Roman"/>
        </w:rPr>
        <w:t>.</w:t>
      </w:r>
      <w:r w:rsidRPr="00B15EF5">
        <w:rPr>
          <w:rFonts w:ascii="Times New Roman" w:hAnsi="Times New Roman" w:cs="Times New Roman"/>
        </w:rPr>
        <w:t xml:space="preserve"> (2020</w:t>
      </w:r>
      <w:r>
        <w:rPr>
          <w:rFonts w:ascii="Times New Roman" w:hAnsi="Times New Roman" w:cs="Times New Roman"/>
        </w:rPr>
        <w:t>c</w:t>
      </w:r>
      <w:r w:rsidRPr="00B15EF5">
        <w:rPr>
          <w:rFonts w:ascii="Times New Roman" w:hAnsi="Times New Roman" w:cs="Times New Roman"/>
        </w:rPr>
        <w:t xml:space="preserve">). </w:t>
      </w:r>
    </w:p>
  </w:footnote>
  <w:footnote w:id="23">
    <w:p w14:paraId="6BC8C94D" w14:textId="3F491D1B" w:rsidR="004A78DF" w:rsidRPr="00001359" w:rsidRDefault="004A78DF" w:rsidP="00803256">
      <w:pPr>
        <w:pStyle w:val="FootnoteText"/>
        <w:jc w:val="both"/>
        <w:rPr>
          <w:rFonts w:ascii="Times New Roman" w:hAnsi="Times New Roman"/>
        </w:rPr>
      </w:pPr>
      <w:r w:rsidRPr="0072027D">
        <w:rPr>
          <w:rStyle w:val="FootnoteReference"/>
          <w:rFonts w:ascii="Times New Roman" w:hAnsi="Times New Roman"/>
        </w:rPr>
        <w:footnoteRef/>
      </w:r>
      <w:r w:rsidRPr="0072027D">
        <w:rPr>
          <w:rFonts w:ascii="Times New Roman" w:hAnsi="Times New Roman"/>
        </w:rPr>
        <w:t xml:space="preserve"> The technical report to the 2016 workload survey notes that the school response rate was 24</w:t>
      </w:r>
      <w:r>
        <w:rPr>
          <w:rFonts w:ascii="Times New Roman" w:hAnsi="Times New Roman"/>
        </w:rPr>
        <w:t>%</w:t>
      </w:r>
      <w:r w:rsidRPr="0072027D">
        <w:rPr>
          <w:rFonts w:ascii="Times New Roman" w:hAnsi="Times New Roman"/>
          <w:color w:val="0B0C0C"/>
        </w:rPr>
        <w:t>. The teacher response rate within participating schools was then 34</w:t>
      </w:r>
      <w:r>
        <w:rPr>
          <w:rFonts w:ascii="Times New Roman" w:hAnsi="Times New Roman"/>
          <w:color w:val="0B0C0C"/>
        </w:rPr>
        <w:t>%</w:t>
      </w:r>
      <w:r w:rsidRPr="0072027D">
        <w:rPr>
          <w:rFonts w:ascii="Times New Roman" w:hAnsi="Times New Roman"/>
          <w:color w:val="0B0C0C"/>
        </w:rPr>
        <w:t>. Multiplying these two figures together gives an overall response rate of 8</w:t>
      </w:r>
      <w:r>
        <w:rPr>
          <w:rFonts w:ascii="Times New Roman" w:hAnsi="Times New Roman"/>
          <w:color w:val="0B0C0C"/>
        </w:rPr>
        <w:t>%</w:t>
      </w:r>
      <w:r w:rsidRPr="0072027D">
        <w:rPr>
          <w:rFonts w:ascii="Times New Roman" w:hAnsi="Times New Roman"/>
          <w:color w:val="0B0C0C"/>
        </w:rPr>
        <w:t>.</w:t>
      </w:r>
    </w:p>
  </w:footnote>
  <w:footnote w:id="24">
    <w:p w14:paraId="7141EA5B" w14:textId="36510FDE" w:rsidR="004A78DF" w:rsidRDefault="004A78DF" w:rsidP="00803256">
      <w:pPr>
        <w:pStyle w:val="FootnoteText"/>
      </w:pPr>
      <w:r>
        <w:rPr>
          <w:rStyle w:val="FootnoteReference"/>
        </w:rPr>
        <w:footnoteRef/>
      </w:r>
      <w:r>
        <w:t xml:space="preserve"> </w:t>
      </w:r>
      <w:r>
        <w:rPr>
          <w:rFonts w:ascii="Times New Roman" w:hAnsi="Times New Roman"/>
          <w:color w:val="000000"/>
          <w:szCs w:val="24"/>
        </w:rPr>
        <w:t>This result is not due to teachers being on holiday or leave, as we have excluded this group from the sample.</w:t>
      </w:r>
    </w:p>
  </w:footnote>
  <w:footnote w:id="25">
    <w:p w14:paraId="2EE99BB3" w14:textId="417C17F1" w:rsidR="004A78DF" w:rsidRPr="00752047" w:rsidRDefault="004A78DF" w:rsidP="00752047">
      <w:pPr>
        <w:pStyle w:val="FootnoteText"/>
        <w:rPr>
          <w:rFonts w:ascii="Times New Roman" w:hAnsi="Times New Roman" w:cs="Times New Roman"/>
        </w:rPr>
      </w:pPr>
      <w:r w:rsidRPr="00752047">
        <w:rPr>
          <w:rStyle w:val="FootnoteReference"/>
          <w:rFonts w:ascii="Times New Roman" w:hAnsi="Times New Roman" w:cs="Times New Roman"/>
        </w:rPr>
        <w:footnoteRef/>
      </w:r>
      <w:r w:rsidRPr="00752047">
        <w:rPr>
          <w:rFonts w:ascii="Times New Roman" w:hAnsi="Times New Roman" w:cs="Times New Roman"/>
        </w:rPr>
        <w:t xml:space="preserve"> Participants were asked: </w:t>
      </w:r>
      <w:r>
        <w:rPr>
          <w:rFonts w:ascii="Times New Roman" w:hAnsi="Times New Roman" w:cs="Times New Roman"/>
        </w:rPr>
        <w:t>‘</w:t>
      </w:r>
      <w:r w:rsidRPr="00752047">
        <w:rPr>
          <w:rFonts w:ascii="Times New Roman" w:hAnsi="Times New Roman" w:cs="Times New Roman"/>
        </w:rPr>
        <w:t>within your regular pattern of work is it usual for you to work (a) during the day; (b) during the evening; (c) at night</w:t>
      </w:r>
      <w:r>
        <w:rPr>
          <w:rFonts w:ascii="Times New Roman" w:hAnsi="Times New Roman" w:cs="Times New Roman"/>
        </w:rPr>
        <w:t>’</w:t>
      </w:r>
      <w:r w:rsidRPr="00752047">
        <w:rPr>
          <w:rFonts w:ascii="Times New Roman" w:hAnsi="Times New Roman" w:cs="Times New Roman"/>
        </w:rPr>
        <w:t xml:space="preserve"> – selecting all that apply.</w:t>
      </w:r>
    </w:p>
  </w:footnote>
  <w:footnote w:id="26">
    <w:p w14:paraId="0E0C7561" w14:textId="6F15ADB9" w:rsidR="004A78DF" w:rsidRDefault="004A78DF" w:rsidP="00697230">
      <w:pPr>
        <w:pStyle w:val="FootnoteText"/>
        <w:jc w:val="both"/>
      </w:pPr>
      <w:r>
        <w:rPr>
          <w:rStyle w:val="FootnoteReference"/>
        </w:rPr>
        <w:footnoteRef/>
      </w:r>
      <w:r>
        <w:t xml:space="preserve"> </w:t>
      </w:r>
      <w:r>
        <w:rPr>
          <w:rFonts w:ascii="Times New Roman" w:hAnsi="Times New Roman" w:cs="Times New Roman"/>
        </w:rPr>
        <w:t>To limit the impact of such outliers, we cap the top 5% of the distribution for each variable to the 95</w:t>
      </w:r>
      <w:r w:rsidRPr="000F6390">
        <w:rPr>
          <w:rFonts w:ascii="Times New Roman" w:hAnsi="Times New Roman" w:cs="Times New Roman"/>
          <w:vertAlign w:val="superscript"/>
        </w:rPr>
        <w:t>th</w:t>
      </w:r>
      <w:r>
        <w:rPr>
          <w:rFonts w:ascii="Times New Roman" w:hAnsi="Times New Roman" w:cs="Times New Roman"/>
        </w:rPr>
        <w:t xml:space="preserve"> percentile. Moreover, any teacher that reported a working week exceeding 84 hours (the equivalent of 12-hour days for seven days a week) has been excluded due to concerns over the reliability of the data they have provided.</w:t>
      </w:r>
    </w:p>
  </w:footnote>
  <w:footnote w:id="27">
    <w:p w14:paraId="0EFFD5EB" w14:textId="2DB693C2" w:rsidR="004A78DF" w:rsidRPr="00004141" w:rsidRDefault="004A78DF" w:rsidP="00697230">
      <w:pPr>
        <w:pStyle w:val="FootnoteText"/>
        <w:jc w:val="both"/>
        <w:rPr>
          <w:rFonts w:ascii="Times New Roman" w:hAnsi="Times New Roman" w:cs="Times New Roman"/>
        </w:rPr>
      </w:pPr>
      <w:r w:rsidRPr="00004141">
        <w:rPr>
          <w:rStyle w:val="FootnoteReference"/>
          <w:rFonts w:ascii="Times New Roman" w:hAnsi="Times New Roman" w:cs="Times New Roman"/>
        </w:rPr>
        <w:footnoteRef/>
      </w:r>
      <w:r w:rsidRPr="00004141">
        <w:rPr>
          <w:rFonts w:ascii="Times New Roman" w:hAnsi="Times New Roman" w:cs="Times New Roman"/>
        </w:rPr>
        <w:t xml:space="preserve"> These regression models are estimated separately by country, and include controls for teachers’ demographic background and </w:t>
      </w:r>
      <w:r w:rsidRPr="00017D94">
        <w:rPr>
          <w:rFonts w:ascii="Times New Roman" w:hAnsi="Times New Roman" w:cs="Times New Roman"/>
        </w:rPr>
        <w:t>qualifications, their motivations for joining the teaching profession and school fixed</w:t>
      </w:r>
      <w:r>
        <w:rPr>
          <w:rFonts w:ascii="Times New Roman" w:hAnsi="Times New Roman" w:cs="Times New Roman"/>
        </w:rPr>
        <w:t xml:space="preserve"> </w:t>
      </w:r>
      <w:r w:rsidRPr="00017D94">
        <w:rPr>
          <w:rFonts w:ascii="Times New Roman" w:hAnsi="Times New Roman" w:cs="Times New Roman"/>
        </w:rPr>
        <w:t>effects. See Jerrim and Sims (2020b) for further details.</w:t>
      </w:r>
      <w:r w:rsidRPr="00004141">
        <w:rPr>
          <w:rFonts w:ascii="Times New Roman" w:hAnsi="Times New Roman" w:cs="Times New Roman"/>
        </w:rPr>
        <w:t xml:space="preserve"> </w:t>
      </w:r>
    </w:p>
  </w:footnote>
  <w:footnote w:id="28">
    <w:p w14:paraId="07BE5D62" w14:textId="77777777" w:rsidR="004A78DF" w:rsidRPr="00AC56EE" w:rsidRDefault="004A78DF" w:rsidP="00697230">
      <w:pPr>
        <w:pStyle w:val="FootnoteText"/>
        <w:jc w:val="both"/>
        <w:rPr>
          <w:rFonts w:ascii="Times New Roman" w:hAnsi="Times New Roman" w:cs="Times New Roman"/>
        </w:rPr>
      </w:pPr>
      <w:r w:rsidRPr="00AC56EE">
        <w:rPr>
          <w:rStyle w:val="FootnoteReference"/>
          <w:rFonts w:ascii="Times New Roman" w:hAnsi="Times New Roman" w:cs="Times New Roman"/>
        </w:rPr>
        <w:footnoteRef/>
      </w:r>
      <w:r w:rsidRPr="00AC56EE">
        <w:rPr>
          <w:rFonts w:ascii="Times New Roman" w:hAnsi="Times New Roman" w:cs="Times New Roman"/>
        </w:rPr>
        <w:t xml:space="preserve"> </w:t>
      </w:r>
      <w:r>
        <w:rPr>
          <w:rFonts w:ascii="Times New Roman" w:hAnsi="Times New Roman" w:cs="Times New Roman"/>
        </w:rPr>
        <w:t>The school fixed effects are not included in the non-parametric regression models. Final teacher weights are also not applied</w:t>
      </w:r>
      <w:r w:rsidRPr="00AC56EE">
        <w:rPr>
          <w:rFonts w:ascii="Times New Roman" w:hAnsi="Times New Roman" w:cs="Times New Roman"/>
        </w:rPr>
        <w:t>.</w:t>
      </w:r>
    </w:p>
  </w:footnote>
  <w:footnote w:id="29">
    <w:p w14:paraId="2D11373E" w14:textId="77777777" w:rsidR="004A78DF" w:rsidRPr="009638B8" w:rsidRDefault="004A78DF" w:rsidP="00697230">
      <w:pPr>
        <w:pStyle w:val="FootnoteText"/>
        <w:rPr>
          <w:rFonts w:ascii="Times New Roman" w:hAnsi="Times New Roman" w:cs="Times New Roman"/>
        </w:rPr>
      </w:pPr>
      <w:r w:rsidRPr="009638B8">
        <w:rPr>
          <w:rStyle w:val="FootnoteReference"/>
          <w:rFonts w:ascii="Times New Roman" w:hAnsi="Times New Roman" w:cs="Times New Roman"/>
        </w:rPr>
        <w:footnoteRef/>
      </w:r>
      <w:r w:rsidRPr="009638B8">
        <w:rPr>
          <w:rFonts w:ascii="Times New Roman" w:hAnsi="Times New Roman" w:cs="Times New Roman"/>
        </w:rPr>
        <w:t xml:space="preserve"> Authors’ calculations based upon the TALIS 2018 sample used in this paper.</w:t>
      </w:r>
    </w:p>
  </w:footnote>
  <w:footnote w:id="30">
    <w:p w14:paraId="1637E0F9" w14:textId="0D1627E6" w:rsidR="004A78DF" w:rsidRDefault="004A78DF" w:rsidP="00C93B24">
      <w:pPr>
        <w:pStyle w:val="FootnoteText"/>
      </w:pPr>
      <w:r>
        <w:rPr>
          <w:rStyle w:val="FootnoteReference"/>
        </w:rPr>
        <w:footnoteRef/>
      </w:r>
      <w:r>
        <w:t xml:space="preserve"> </w:t>
      </w:r>
      <w:r>
        <w:rPr>
          <w:rFonts w:ascii="Times New Roman" w:hAnsi="Times New Roman" w:cs="Times New Roman"/>
          <w:szCs w:val="24"/>
        </w:rPr>
        <w:t xml:space="preserve">This is operationalised as (a) the </w:t>
      </w:r>
      <w:proofErr w:type="spellStart"/>
      <w:r>
        <w:rPr>
          <w:rFonts w:ascii="Times New Roman" w:hAnsi="Times New Roman" w:cs="Times New Roman"/>
          <w:szCs w:val="24"/>
        </w:rPr>
        <w:t>headteacher</w:t>
      </w:r>
      <w:proofErr w:type="spellEnd"/>
      <w:r>
        <w:rPr>
          <w:rFonts w:ascii="Times New Roman" w:hAnsi="Times New Roman" w:cs="Times New Roman"/>
          <w:szCs w:val="24"/>
        </w:rPr>
        <w:t>/SMT conducting an appraisal with teachers at least once per year and (b) test-score/achievement data being used as part of this appraisal.</w:t>
      </w:r>
    </w:p>
  </w:footnote>
  <w:footnote w:id="31">
    <w:p w14:paraId="78BE6B7F" w14:textId="26056A30" w:rsidR="004A78DF" w:rsidRDefault="004A78DF" w:rsidP="00C93B24">
      <w:pPr>
        <w:pStyle w:val="FootnoteText"/>
        <w:jc w:val="both"/>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 xml:space="preserve"> This estimate has been produced using a linear probability model based upon the second model specification. It is also worth noting that around 90% of teachers in England are evaluated at least annually by a member of senior school management, where student performance data is reviewed. </w:t>
      </w:r>
    </w:p>
  </w:footnote>
  <w:footnote w:id="32">
    <w:p w14:paraId="3C2EEC6F" w14:textId="7F46704C" w:rsidR="004A78DF" w:rsidRDefault="004A78DF" w:rsidP="00C93B24">
      <w:pPr>
        <w:pStyle w:val="FootnoteText"/>
        <w:jc w:val="both"/>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 xml:space="preserve"> The estimated odds ratio is of similar magnitude across the three model specifications, though the standard error is slightly inflated in specification two. This is part of the explanation as to why results from the second model are not ‘statistically significant’.  </w:t>
      </w:r>
    </w:p>
  </w:footnote>
  <w:footnote w:id="33">
    <w:p w14:paraId="04B48D7B" w14:textId="77777777" w:rsidR="004A78DF" w:rsidRPr="00016A5D" w:rsidRDefault="004A78DF" w:rsidP="000A5A11">
      <w:pPr>
        <w:spacing w:after="120" w:line="240" w:lineRule="auto"/>
        <w:jc w:val="both"/>
        <w:rPr>
          <w:rFonts w:ascii="Times New Roman" w:hAnsi="Times New Roman" w:cs="Times New Roman"/>
          <w:sz w:val="20"/>
          <w:szCs w:val="20"/>
        </w:rPr>
      </w:pPr>
      <w:r w:rsidRPr="00016A5D">
        <w:rPr>
          <w:rStyle w:val="FootnoteReference"/>
          <w:rFonts w:ascii="Times New Roman" w:hAnsi="Times New Roman" w:cs="Times New Roman"/>
          <w:sz w:val="20"/>
          <w:szCs w:val="20"/>
        </w:rPr>
        <w:footnoteRef/>
      </w:r>
      <w:r w:rsidRPr="00016A5D">
        <w:rPr>
          <w:rFonts w:ascii="Times New Roman" w:hAnsi="Times New Roman" w:cs="Times New Roman"/>
          <w:sz w:val="20"/>
          <w:szCs w:val="20"/>
        </w:rPr>
        <w:t xml:space="preserve"> These are a</w:t>
      </w:r>
      <w:r>
        <w:rPr>
          <w:rFonts w:ascii="Times New Roman" w:hAnsi="Times New Roman" w:cs="Times New Roman"/>
          <w:sz w:val="20"/>
          <w:szCs w:val="20"/>
        </w:rPr>
        <w:t xml:space="preserve"> primary/secondary</w:t>
      </w:r>
      <w:r w:rsidRPr="00016A5D">
        <w:rPr>
          <w:rFonts w:ascii="Times New Roman" w:hAnsi="Times New Roman" w:cs="Times New Roman"/>
          <w:sz w:val="20"/>
          <w:szCs w:val="20"/>
        </w:rPr>
        <w:t xml:space="preserve"> dummy, a teacher gender dummy, years of experience, and a categorical measure of the proportion of pupils in the school from disadvantaged backgrounds.</w:t>
      </w:r>
    </w:p>
    <w:p w14:paraId="1DA4686D" w14:textId="77777777" w:rsidR="004A78DF" w:rsidRDefault="004A78DF" w:rsidP="000A5A11">
      <w:pPr>
        <w:pStyle w:val="FootnoteText"/>
      </w:pPr>
    </w:p>
  </w:footnote>
  <w:footnote w:id="34">
    <w:p w14:paraId="3370409B" w14:textId="4C4F117D" w:rsidR="004A78DF" w:rsidRPr="002855D5" w:rsidRDefault="004A78DF" w:rsidP="007F32A3">
      <w:pPr>
        <w:spacing w:line="240" w:lineRule="auto"/>
        <w:jc w:val="both"/>
        <w:rPr>
          <w:rFonts w:ascii="Times New Roman" w:hAnsi="Times New Roman" w:cs="Times New Roman"/>
          <w:sz w:val="20"/>
          <w:szCs w:val="20"/>
        </w:rPr>
      </w:pPr>
      <w:r w:rsidRPr="002855D5">
        <w:rPr>
          <w:rStyle w:val="FootnoteReference"/>
          <w:rFonts w:ascii="Times New Roman" w:hAnsi="Times New Roman" w:cs="Times New Roman"/>
          <w:sz w:val="20"/>
          <w:szCs w:val="20"/>
        </w:rPr>
        <w:footnoteRef/>
      </w:r>
      <w:r w:rsidRPr="002855D5">
        <w:rPr>
          <w:rFonts w:ascii="Times New Roman" w:hAnsi="Times New Roman" w:cs="Times New Roman"/>
          <w:sz w:val="20"/>
          <w:szCs w:val="20"/>
        </w:rPr>
        <w:t xml:space="preserve"> This may explain why our sample reported fairly high anxiety levels relative to the Annual Population Survey (e.g. during term</w:t>
      </w:r>
      <w:r>
        <w:rPr>
          <w:rFonts w:ascii="Times New Roman" w:hAnsi="Times New Roman" w:cs="Times New Roman"/>
          <w:sz w:val="20"/>
          <w:szCs w:val="20"/>
        </w:rPr>
        <w:t xml:space="preserve"> </w:t>
      </w:r>
      <w:r w:rsidRPr="002855D5">
        <w:rPr>
          <w:rFonts w:ascii="Times New Roman" w:hAnsi="Times New Roman" w:cs="Times New Roman"/>
          <w:sz w:val="20"/>
          <w:szCs w:val="20"/>
        </w:rPr>
        <w:t>time 36% of teachers report an anxiety value of 6-10, ver</w:t>
      </w:r>
      <w:r>
        <w:rPr>
          <w:rFonts w:ascii="Times New Roman" w:hAnsi="Times New Roman" w:cs="Times New Roman"/>
          <w:sz w:val="20"/>
          <w:szCs w:val="20"/>
        </w:rPr>
        <w:t xml:space="preserve">sus just 20% in the population) – although there are also minor differences in the precise question asked.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73B37"/>
    <w:multiLevelType w:val="multilevel"/>
    <w:tmpl w:val="F44E17E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8BA6C1A"/>
    <w:multiLevelType w:val="hybridMultilevel"/>
    <w:tmpl w:val="7E9814A2"/>
    <w:lvl w:ilvl="0" w:tplc="377E62BE">
      <w:start w:val="1"/>
      <w:numFmt w:val="lowerLetter"/>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2" w15:restartNumberingAfterBreak="0">
    <w:nsid w:val="08CF1E4F"/>
    <w:multiLevelType w:val="multilevel"/>
    <w:tmpl w:val="00168A1A"/>
    <w:lvl w:ilvl="0">
      <w:start w:val="11"/>
      <w:numFmt w:val="decimal"/>
      <w:lvlText w:val="%1"/>
      <w:lvlJc w:val="left"/>
      <w:pPr>
        <w:ind w:left="420" w:hanging="420"/>
      </w:pPr>
    </w:lvl>
    <w:lvl w:ilvl="1">
      <w:start w:val="7"/>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0A580BFB"/>
    <w:multiLevelType w:val="hybridMultilevel"/>
    <w:tmpl w:val="4B5C8706"/>
    <w:lvl w:ilvl="0" w:tplc="5498E1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030806"/>
    <w:multiLevelType w:val="hybridMultilevel"/>
    <w:tmpl w:val="521EA656"/>
    <w:lvl w:ilvl="0" w:tplc="599ADBCA">
      <w:start w:val="1"/>
      <w:numFmt w:val="lowerLetter"/>
      <w:lvlText w:val="(%1)"/>
      <w:lvlJc w:val="left"/>
      <w:pPr>
        <w:ind w:left="3960" w:hanging="360"/>
      </w:pPr>
      <w:rPr>
        <w:rFonts w:hint="default"/>
      </w:rPr>
    </w:lvl>
    <w:lvl w:ilvl="1" w:tplc="08090019">
      <w:start w:val="1"/>
      <w:numFmt w:val="lowerLetter"/>
      <w:lvlText w:val="%2."/>
      <w:lvlJc w:val="left"/>
      <w:pPr>
        <w:ind w:left="4680" w:hanging="360"/>
      </w:pPr>
    </w:lvl>
    <w:lvl w:ilvl="2" w:tplc="0809001B">
      <w:start w:val="1"/>
      <w:numFmt w:val="lowerRoman"/>
      <w:lvlText w:val="%3."/>
      <w:lvlJc w:val="right"/>
      <w:pPr>
        <w:ind w:left="5400" w:hanging="180"/>
      </w:pPr>
    </w:lvl>
    <w:lvl w:ilvl="3" w:tplc="0809000F">
      <w:start w:val="1"/>
      <w:numFmt w:val="decimal"/>
      <w:lvlText w:val="%4."/>
      <w:lvlJc w:val="left"/>
      <w:pPr>
        <w:ind w:left="6120" w:hanging="360"/>
      </w:pPr>
    </w:lvl>
    <w:lvl w:ilvl="4" w:tplc="08090019">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5" w15:restartNumberingAfterBreak="0">
    <w:nsid w:val="1C482D36"/>
    <w:multiLevelType w:val="hybridMultilevel"/>
    <w:tmpl w:val="21DC41C2"/>
    <w:lvl w:ilvl="0" w:tplc="8D4AB8E0">
      <w:start w:val="12"/>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0A4E9B"/>
    <w:multiLevelType w:val="multilevel"/>
    <w:tmpl w:val="BC42E036"/>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D532451"/>
    <w:multiLevelType w:val="hybridMultilevel"/>
    <w:tmpl w:val="920C4E1C"/>
    <w:lvl w:ilvl="0" w:tplc="4C967B3E">
      <w:start w:val="1"/>
      <w:numFmt w:val="lowerLetter"/>
      <w:lvlText w:val="(%1)"/>
      <w:lvlJc w:val="left"/>
      <w:pPr>
        <w:ind w:left="3240" w:hanging="360"/>
      </w:pPr>
      <w:rPr>
        <w:rFonts w:hint="default"/>
        <w:b w:val="0"/>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8" w15:restartNumberingAfterBreak="0">
    <w:nsid w:val="247F4C2B"/>
    <w:multiLevelType w:val="multilevel"/>
    <w:tmpl w:val="888A9CCE"/>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5876C06"/>
    <w:multiLevelType w:val="hybridMultilevel"/>
    <w:tmpl w:val="718C670A"/>
    <w:lvl w:ilvl="0" w:tplc="A53ED210">
      <w:start w:val="1"/>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6856AA"/>
    <w:multiLevelType w:val="multilevel"/>
    <w:tmpl w:val="E8BAC18C"/>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89B0684"/>
    <w:multiLevelType w:val="hybridMultilevel"/>
    <w:tmpl w:val="8FA2E1A2"/>
    <w:lvl w:ilvl="0" w:tplc="F44E0456">
      <w:start w:val="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961BFE"/>
    <w:multiLevelType w:val="multilevel"/>
    <w:tmpl w:val="50DEADDE"/>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2F045FEC"/>
    <w:multiLevelType w:val="multilevel"/>
    <w:tmpl w:val="6A34CCD0"/>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0A61B02"/>
    <w:multiLevelType w:val="multilevel"/>
    <w:tmpl w:val="8B4EA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5BE78D9"/>
    <w:multiLevelType w:val="multilevel"/>
    <w:tmpl w:val="EE4A51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68D7A94"/>
    <w:multiLevelType w:val="multilevel"/>
    <w:tmpl w:val="B812261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75271A6"/>
    <w:multiLevelType w:val="multilevel"/>
    <w:tmpl w:val="5F5EEE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2A5F40"/>
    <w:multiLevelType w:val="hybridMultilevel"/>
    <w:tmpl w:val="629C7ED4"/>
    <w:lvl w:ilvl="0" w:tplc="9D845E48">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A658FA"/>
    <w:multiLevelType w:val="multilevel"/>
    <w:tmpl w:val="4FCCA1DE"/>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F6C593E"/>
    <w:multiLevelType w:val="multilevel"/>
    <w:tmpl w:val="DB8AEAD8"/>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676725D"/>
    <w:multiLevelType w:val="hybridMultilevel"/>
    <w:tmpl w:val="F84AD3D0"/>
    <w:lvl w:ilvl="0" w:tplc="11B2473A">
      <w:start w:val="1"/>
      <w:numFmt w:val="lowerLetter"/>
      <w:lvlText w:val="(%1)"/>
      <w:lvlJc w:val="left"/>
      <w:pPr>
        <w:ind w:left="3240" w:hanging="360"/>
      </w:pPr>
    </w:lvl>
    <w:lvl w:ilvl="1" w:tplc="08090019">
      <w:start w:val="1"/>
      <w:numFmt w:val="lowerLetter"/>
      <w:lvlText w:val="%2."/>
      <w:lvlJc w:val="left"/>
      <w:pPr>
        <w:ind w:left="3960" w:hanging="360"/>
      </w:pPr>
    </w:lvl>
    <w:lvl w:ilvl="2" w:tplc="0809001B">
      <w:start w:val="1"/>
      <w:numFmt w:val="lowerRoman"/>
      <w:lvlText w:val="%3."/>
      <w:lvlJc w:val="right"/>
      <w:pPr>
        <w:ind w:left="4680" w:hanging="180"/>
      </w:pPr>
    </w:lvl>
    <w:lvl w:ilvl="3" w:tplc="0809000F">
      <w:start w:val="1"/>
      <w:numFmt w:val="decimal"/>
      <w:lvlText w:val="%4."/>
      <w:lvlJc w:val="left"/>
      <w:pPr>
        <w:ind w:left="5400" w:hanging="360"/>
      </w:pPr>
    </w:lvl>
    <w:lvl w:ilvl="4" w:tplc="08090019">
      <w:start w:val="1"/>
      <w:numFmt w:val="lowerLetter"/>
      <w:lvlText w:val="%5."/>
      <w:lvlJc w:val="left"/>
      <w:pPr>
        <w:ind w:left="6120" w:hanging="360"/>
      </w:pPr>
    </w:lvl>
    <w:lvl w:ilvl="5" w:tplc="0809001B">
      <w:start w:val="1"/>
      <w:numFmt w:val="lowerRoman"/>
      <w:lvlText w:val="%6."/>
      <w:lvlJc w:val="right"/>
      <w:pPr>
        <w:ind w:left="6840" w:hanging="180"/>
      </w:pPr>
    </w:lvl>
    <w:lvl w:ilvl="6" w:tplc="0809000F">
      <w:start w:val="1"/>
      <w:numFmt w:val="decimal"/>
      <w:lvlText w:val="%7."/>
      <w:lvlJc w:val="left"/>
      <w:pPr>
        <w:ind w:left="7560" w:hanging="360"/>
      </w:pPr>
    </w:lvl>
    <w:lvl w:ilvl="7" w:tplc="08090019">
      <w:start w:val="1"/>
      <w:numFmt w:val="lowerLetter"/>
      <w:lvlText w:val="%8."/>
      <w:lvlJc w:val="left"/>
      <w:pPr>
        <w:ind w:left="8280" w:hanging="360"/>
      </w:pPr>
    </w:lvl>
    <w:lvl w:ilvl="8" w:tplc="0809001B">
      <w:start w:val="1"/>
      <w:numFmt w:val="lowerRoman"/>
      <w:lvlText w:val="%9."/>
      <w:lvlJc w:val="right"/>
      <w:pPr>
        <w:ind w:left="9000" w:hanging="180"/>
      </w:pPr>
    </w:lvl>
  </w:abstractNum>
  <w:abstractNum w:abstractNumId="22" w15:restartNumberingAfterBreak="0">
    <w:nsid w:val="4A9A2EA9"/>
    <w:multiLevelType w:val="hybridMultilevel"/>
    <w:tmpl w:val="E4B0CBA8"/>
    <w:lvl w:ilvl="0" w:tplc="A3A8F740">
      <w:start w:val="1"/>
      <w:numFmt w:val="lowerLetter"/>
      <w:lvlText w:val="(%1)"/>
      <w:lvlJc w:val="left"/>
      <w:pPr>
        <w:ind w:left="3240" w:hanging="360"/>
      </w:pPr>
      <w:rPr>
        <w:rFonts w:ascii="Times New Roman" w:hAnsi="Times New Roman" w:cs="Times New Roman" w:hint="default"/>
        <w:sz w:val="24"/>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23" w15:restartNumberingAfterBreak="0">
    <w:nsid w:val="4D615A60"/>
    <w:multiLevelType w:val="hybridMultilevel"/>
    <w:tmpl w:val="2FF88C0C"/>
    <w:lvl w:ilvl="0" w:tplc="8FAE8E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FD013FD"/>
    <w:multiLevelType w:val="multilevel"/>
    <w:tmpl w:val="12BC1BEC"/>
    <w:lvl w:ilvl="0">
      <w:start w:val="7"/>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5ED20B2"/>
    <w:multiLevelType w:val="multilevel"/>
    <w:tmpl w:val="FDBCD7A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99859C0"/>
    <w:multiLevelType w:val="hybridMultilevel"/>
    <w:tmpl w:val="3A6E1AE2"/>
    <w:lvl w:ilvl="0" w:tplc="C0EEFDC6">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7" w15:restartNumberingAfterBreak="0">
    <w:nsid w:val="5A1531D9"/>
    <w:multiLevelType w:val="hybridMultilevel"/>
    <w:tmpl w:val="2898931A"/>
    <w:lvl w:ilvl="0" w:tplc="CF78C8C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5708C9"/>
    <w:multiLevelType w:val="multilevel"/>
    <w:tmpl w:val="8300104C"/>
    <w:lvl w:ilvl="0">
      <w:start w:val="12"/>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5D467EC5"/>
    <w:multiLevelType w:val="hybridMultilevel"/>
    <w:tmpl w:val="D20A7D34"/>
    <w:lvl w:ilvl="0" w:tplc="78B2CB1E">
      <w:start w:val="11"/>
      <w:numFmt w:val="bullet"/>
      <w:lvlText w:val=""/>
      <w:lvlJc w:val="left"/>
      <w:pPr>
        <w:ind w:left="720" w:hanging="360"/>
      </w:pPr>
      <w:rPr>
        <w:rFonts w:ascii="Symbol" w:eastAsiaTheme="minorEastAsia" w:hAnsi="Symbo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614965C3"/>
    <w:multiLevelType w:val="hybridMultilevel"/>
    <w:tmpl w:val="952050EA"/>
    <w:lvl w:ilvl="0" w:tplc="03C60254">
      <w:start w:val="1"/>
      <w:numFmt w:val="lowerLetter"/>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31" w15:restartNumberingAfterBreak="0">
    <w:nsid w:val="62E64E7A"/>
    <w:multiLevelType w:val="multilevel"/>
    <w:tmpl w:val="AEDA6F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58568B2"/>
    <w:multiLevelType w:val="hybridMultilevel"/>
    <w:tmpl w:val="7E9814A2"/>
    <w:lvl w:ilvl="0" w:tplc="377E62BE">
      <w:start w:val="1"/>
      <w:numFmt w:val="lowerLetter"/>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33" w15:restartNumberingAfterBreak="0">
    <w:nsid w:val="65F4021D"/>
    <w:multiLevelType w:val="multilevel"/>
    <w:tmpl w:val="90A46FF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F1E2552"/>
    <w:multiLevelType w:val="hybridMultilevel"/>
    <w:tmpl w:val="8C7AA840"/>
    <w:lvl w:ilvl="0" w:tplc="93CA41A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08C0B3A"/>
    <w:multiLevelType w:val="hybridMultilevel"/>
    <w:tmpl w:val="9E76BFB0"/>
    <w:lvl w:ilvl="0" w:tplc="F74473F2">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6" w15:restartNumberingAfterBreak="0">
    <w:nsid w:val="70BC31CA"/>
    <w:multiLevelType w:val="hybridMultilevel"/>
    <w:tmpl w:val="45460806"/>
    <w:lvl w:ilvl="0" w:tplc="BFDAB334">
      <w:start w:val="1"/>
      <w:numFmt w:val="lowerLetter"/>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37" w15:restartNumberingAfterBreak="0">
    <w:nsid w:val="782C6F9B"/>
    <w:multiLevelType w:val="hybridMultilevel"/>
    <w:tmpl w:val="AF6A1268"/>
    <w:lvl w:ilvl="0" w:tplc="44827AF8">
      <w:start w:val="5"/>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A9E43DD"/>
    <w:multiLevelType w:val="hybridMultilevel"/>
    <w:tmpl w:val="4B5C8706"/>
    <w:lvl w:ilvl="0" w:tplc="5498E1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B617BE4"/>
    <w:multiLevelType w:val="multilevel"/>
    <w:tmpl w:val="598851A2"/>
    <w:lvl w:ilvl="0">
      <w:start w:val="1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1"/>
  </w:num>
  <w:num w:numId="2">
    <w:abstractNumId w:val="15"/>
  </w:num>
  <w:num w:numId="3">
    <w:abstractNumId w:val="4"/>
  </w:num>
  <w:num w:numId="4">
    <w:abstractNumId w:val="32"/>
  </w:num>
  <w:num w:numId="5">
    <w:abstractNumId w:val="1"/>
  </w:num>
  <w:num w:numId="6">
    <w:abstractNumId w:val="23"/>
  </w:num>
  <w:num w:numId="7">
    <w:abstractNumId w:val="9"/>
  </w:num>
  <w:num w:numId="8">
    <w:abstractNumId w:val="18"/>
  </w:num>
  <w:num w:numId="9">
    <w:abstractNumId w:val="33"/>
  </w:num>
  <w:num w:numId="10">
    <w:abstractNumId w:val="20"/>
  </w:num>
  <w:num w:numId="11">
    <w:abstractNumId w:val="26"/>
  </w:num>
  <w:num w:numId="12">
    <w:abstractNumId w:val="22"/>
  </w:num>
  <w:num w:numId="13">
    <w:abstractNumId w:val="30"/>
  </w:num>
  <w:num w:numId="14">
    <w:abstractNumId w:val="35"/>
  </w:num>
  <w:num w:numId="15">
    <w:abstractNumId w:val="25"/>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2"/>
  </w:num>
  <w:num w:numId="19">
    <w:abstractNumId w:val="3"/>
  </w:num>
  <w:num w:numId="20">
    <w:abstractNumId w:val="38"/>
  </w:num>
  <w:num w:numId="21">
    <w:abstractNumId w:val="34"/>
  </w:num>
  <w:num w:numId="22">
    <w:abstractNumId w:val="16"/>
  </w:num>
  <w:num w:numId="23">
    <w:abstractNumId w:val="37"/>
  </w:num>
  <w:num w:numId="24">
    <w:abstractNumId w:val="19"/>
  </w:num>
  <w:num w:numId="25">
    <w:abstractNumId w:val="13"/>
  </w:num>
  <w:num w:numId="26">
    <w:abstractNumId w:val="8"/>
  </w:num>
  <w:num w:numId="27">
    <w:abstractNumId w:val="24"/>
  </w:num>
  <w:num w:numId="28">
    <w:abstractNumId w:val="0"/>
  </w:num>
  <w:num w:numId="29">
    <w:abstractNumId w:val="27"/>
  </w:num>
  <w:num w:numId="30">
    <w:abstractNumId w:val="36"/>
  </w:num>
  <w:num w:numId="31">
    <w:abstractNumId w:val="10"/>
  </w:num>
  <w:num w:numId="32">
    <w:abstractNumId w:val="39"/>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num>
  <w:num w:numId="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startOverride w:val="1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
  </w:num>
  <w:num w:numId="37">
    <w:abstractNumId w:val="28"/>
  </w:num>
  <w:num w:numId="38">
    <w:abstractNumId w:val="31"/>
  </w:num>
  <w:num w:numId="39">
    <w:abstractNumId w:val="17"/>
  </w:num>
  <w:num w:numId="40">
    <w:abstractNumId w:val="1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8EC"/>
    <w:rsid w:val="0000498F"/>
    <w:rsid w:val="0001149C"/>
    <w:rsid w:val="000139FD"/>
    <w:rsid w:val="00014CD6"/>
    <w:rsid w:val="00015239"/>
    <w:rsid w:val="0001563D"/>
    <w:rsid w:val="000157AA"/>
    <w:rsid w:val="00022F4C"/>
    <w:rsid w:val="00023E2B"/>
    <w:rsid w:val="00024A87"/>
    <w:rsid w:val="00024AEA"/>
    <w:rsid w:val="00027270"/>
    <w:rsid w:val="0004106A"/>
    <w:rsid w:val="00042902"/>
    <w:rsid w:val="00043CFB"/>
    <w:rsid w:val="00062527"/>
    <w:rsid w:val="00063650"/>
    <w:rsid w:val="00066943"/>
    <w:rsid w:val="00070D7E"/>
    <w:rsid w:val="000729AF"/>
    <w:rsid w:val="00073654"/>
    <w:rsid w:val="000743E9"/>
    <w:rsid w:val="00085DFD"/>
    <w:rsid w:val="00094768"/>
    <w:rsid w:val="0009606E"/>
    <w:rsid w:val="000979DE"/>
    <w:rsid w:val="000A5A11"/>
    <w:rsid w:val="000A7543"/>
    <w:rsid w:val="000B1ABF"/>
    <w:rsid w:val="000B45D8"/>
    <w:rsid w:val="000B71D1"/>
    <w:rsid w:val="000B73FD"/>
    <w:rsid w:val="000C448D"/>
    <w:rsid w:val="000D03D9"/>
    <w:rsid w:val="000D1258"/>
    <w:rsid w:val="000D2BCF"/>
    <w:rsid w:val="000D68A9"/>
    <w:rsid w:val="000E0673"/>
    <w:rsid w:val="000E279B"/>
    <w:rsid w:val="000E42DF"/>
    <w:rsid w:val="000E487E"/>
    <w:rsid w:val="000E6736"/>
    <w:rsid w:val="000E6BC8"/>
    <w:rsid w:val="000F2E40"/>
    <w:rsid w:val="000F4864"/>
    <w:rsid w:val="000F68F7"/>
    <w:rsid w:val="000F7677"/>
    <w:rsid w:val="000F790C"/>
    <w:rsid w:val="000F7986"/>
    <w:rsid w:val="001019AD"/>
    <w:rsid w:val="00111A76"/>
    <w:rsid w:val="00111F3B"/>
    <w:rsid w:val="001158FE"/>
    <w:rsid w:val="0011773D"/>
    <w:rsid w:val="0012062E"/>
    <w:rsid w:val="00121C3D"/>
    <w:rsid w:val="00122877"/>
    <w:rsid w:val="00126552"/>
    <w:rsid w:val="001311FE"/>
    <w:rsid w:val="0013336D"/>
    <w:rsid w:val="0013595B"/>
    <w:rsid w:val="00141938"/>
    <w:rsid w:val="00141B6D"/>
    <w:rsid w:val="0014320A"/>
    <w:rsid w:val="00143231"/>
    <w:rsid w:val="00144F75"/>
    <w:rsid w:val="00147A87"/>
    <w:rsid w:val="0015487D"/>
    <w:rsid w:val="00157AEC"/>
    <w:rsid w:val="001603A0"/>
    <w:rsid w:val="00161C5E"/>
    <w:rsid w:val="00165D62"/>
    <w:rsid w:val="00166B11"/>
    <w:rsid w:val="001715C7"/>
    <w:rsid w:val="00172B04"/>
    <w:rsid w:val="001739E2"/>
    <w:rsid w:val="001812B6"/>
    <w:rsid w:val="00186956"/>
    <w:rsid w:val="00192807"/>
    <w:rsid w:val="00195AFA"/>
    <w:rsid w:val="00195ECB"/>
    <w:rsid w:val="0019654E"/>
    <w:rsid w:val="00197B5D"/>
    <w:rsid w:val="001A0920"/>
    <w:rsid w:val="001A0EC5"/>
    <w:rsid w:val="001A10E6"/>
    <w:rsid w:val="001A1F46"/>
    <w:rsid w:val="001A2D48"/>
    <w:rsid w:val="001A499D"/>
    <w:rsid w:val="001A5EBF"/>
    <w:rsid w:val="001B0410"/>
    <w:rsid w:val="001C04C6"/>
    <w:rsid w:val="001C0813"/>
    <w:rsid w:val="001C518F"/>
    <w:rsid w:val="001D09A2"/>
    <w:rsid w:val="001D4D2A"/>
    <w:rsid w:val="001E0132"/>
    <w:rsid w:val="001E5C4A"/>
    <w:rsid w:val="001E5DA9"/>
    <w:rsid w:val="001E666E"/>
    <w:rsid w:val="001F36F8"/>
    <w:rsid w:val="001F4F50"/>
    <w:rsid w:val="001F6E80"/>
    <w:rsid w:val="001F739A"/>
    <w:rsid w:val="0020696E"/>
    <w:rsid w:val="00211A40"/>
    <w:rsid w:val="00211C94"/>
    <w:rsid w:val="00213368"/>
    <w:rsid w:val="00214A9D"/>
    <w:rsid w:val="00216C38"/>
    <w:rsid w:val="002174CF"/>
    <w:rsid w:val="00221D8E"/>
    <w:rsid w:val="00221FC2"/>
    <w:rsid w:val="0022373F"/>
    <w:rsid w:val="002336E5"/>
    <w:rsid w:val="002351B0"/>
    <w:rsid w:val="00235BDF"/>
    <w:rsid w:val="0023649F"/>
    <w:rsid w:val="002422BE"/>
    <w:rsid w:val="0024284F"/>
    <w:rsid w:val="00245B00"/>
    <w:rsid w:val="0025223D"/>
    <w:rsid w:val="00252CDB"/>
    <w:rsid w:val="002542E1"/>
    <w:rsid w:val="00257815"/>
    <w:rsid w:val="00262E4F"/>
    <w:rsid w:val="00264673"/>
    <w:rsid w:val="00264CEB"/>
    <w:rsid w:val="00272C51"/>
    <w:rsid w:val="00275F01"/>
    <w:rsid w:val="002765D3"/>
    <w:rsid w:val="00284366"/>
    <w:rsid w:val="0028671A"/>
    <w:rsid w:val="00292B66"/>
    <w:rsid w:val="00294759"/>
    <w:rsid w:val="00297B15"/>
    <w:rsid w:val="002A2C2C"/>
    <w:rsid w:val="002A312A"/>
    <w:rsid w:val="002A655B"/>
    <w:rsid w:val="002B05DA"/>
    <w:rsid w:val="002B100D"/>
    <w:rsid w:val="002B27A6"/>
    <w:rsid w:val="002B4D95"/>
    <w:rsid w:val="002C1828"/>
    <w:rsid w:val="002C1B31"/>
    <w:rsid w:val="002C736E"/>
    <w:rsid w:val="002E4E3B"/>
    <w:rsid w:val="002E5639"/>
    <w:rsid w:val="002E6C61"/>
    <w:rsid w:val="002E72F8"/>
    <w:rsid w:val="002F0671"/>
    <w:rsid w:val="002F08B1"/>
    <w:rsid w:val="002F08EC"/>
    <w:rsid w:val="002F0D5E"/>
    <w:rsid w:val="002F14DF"/>
    <w:rsid w:val="002F2972"/>
    <w:rsid w:val="002F4196"/>
    <w:rsid w:val="002F5628"/>
    <w:rsid w:val="002F6979"/>
    <w:rsid w:val="002F6A9F"/>
    <w:rsid w:val="002F7612"/>
    <w:rsid w:val="003000FD"/>
    <w:rsid w:val="00300B3A"/>
    <w:rsid w:val="00301540"/>
    <w:rsid w:val="003041AE"/>
    <w:rsid w:val="00311C13"/>
    <w:rsid w:val="00311F5E"/>
    <w:rsid w:val="0031223D"/>
    <w:rsid w:val="003146E2"/>
    <w:rsid w:val="00316979"/>
    <w:rsid w:val="00320113"/>
    <w:rsid w:val="0032270C"/>
    <w:rsid w:val="00326D5A"/>
    <w:rsid w:val="00330B23"/>
    <w:rsid w:val="00333CD8"/>
    <w:rsid w:val="00333F84"/>
    <w:rsid w:val="00334AAB"/>
    <w:rsid w:val="0033549A"/>
    <w:rsid w:val="00335FEA"/>
    <w:rsid w:val="0034139B"/>
    <w:rsid w:val="00342012"/>
    <w:rsid w:val="00342E5C"/>
    <w:rsid w:val="003431FB"/>
    <w:rsid w:val="003511A5"/>
    <w:rsid w:val="00353FA5"/>
    <w:rsid w:val="00354504"/>
    <w:rsid w:val="003552C9"/>
    <w:rsid w:val="00355AEF"/>
    <w:rsid w:val="003563CE"/>
    <w:rsid w:val="00357448"/>
    <w:rsid w:val="003632B5"/>
    <w:rsid w:val="00365A66"/>
    <w:rsid w:val="003664F0"/>
    <w:rsid w:val="00370F88"/>
    <w:rsid w:val="00372D51"/>
    <w:rsid w:val="00373355"/>
    <w:rsid w:val="0037538C"/>
    <w:rsid w:val="00376D7C"/>
    <w:rsid w:val="00376FA0"/>
    <w:rsid w:val="00385CEE"/>
    <w:rsid w:val="003922AA"/>
    <w:rsid w:val="003951AC"/>
    <w:rsid w:val="00396A2D"/>
    <w:rsid w:val="003A40D8"/>
    <w:rsid w:val="003A6AC6"/>
    <w:rsid w:val="003A75CA"/>
    <w:rsid w:val="003B27D8"/>
    <w:rsid w:val="003B2B76"/>
    <w:rsid w:val="003B2E0F"/>
    <w:rsid w:val="003B4ADF"/>
    <w:rsid w:val="003B5276"/>
    <w:rsid w:val="003B5B1A"/>
    <w:rsid w:val="003B669D"/>
    <w:rsid w:val="003B77CD"/>
    <w:rsid w:val="003C44F5"/>
    <w:rsid w:val="003C46BB"/>
    <w:rsid w:val="003C71C7"/>
    <w:rsid w:val="003D0AC9"/>
    <w:rsid w:val="003E056E"/>
    <w:rsid w:val="003E159B"/>
    <w:rsid w:val="003E23E1"/>
    <w:rsid w:val="003E5019"/>
    <w:rsid w:val="003F3349"/>
    <w:rsid w:val="003F6964"/>
    <w:rsid w:val="003F6D6B"/>
    <w:rsid w:val="003F7743"/>
    <w:rsid w:val="0040181E"/>
    <w:rsid w:val="004040AF"/>
    <w:rsid w:val="00406184"/>
    <w:rsid w:val="00406A90"/>
    <w:rsid w:val="00407351"/>
    <w:rsid w:val="00411205"/>
    <w:rsid w:val="00414C0E"/>
    <w:rsid w:val="00415ADF"/>
    <w:rsid w:val="00415E26"/>
    <w:rsid w:val="00436669"/>
    <w:rsid w:val="00436B9F"/>
    <w:rsid w:val="00440E80"/>
    <w:rsid w:val="0044198D"/>
    <w:rsid w:val="00444E4B"/>
    <w:rsid w:val="00445234"/>
    <w:rsid w:val="004529CA"/>
    <w:rsid w:val="0045375E"/>
    <w:rsid w:val="0045505D"/>
    <w:rsid w:val="00460AD0"/>
    <w:rsid w:val="00463549"/>
    <w:rsid w:val="00472261"/>
    <w:rsid w:val="00472ECB"/>
    <w:rsid w:val="00477C89"/>
    <w:rsid w:val="004812D3"/>
    <w:rsid w:val="004822EF"/>
    <w:rsid w:val="00482491"/>
    <w:rsid w:val="0048304E"/>
    <w:rsid w:val="004841FD"/>
    <w:rsid w:val="0049147E"/>
    <w:rsid w:val="0049314F"/>
    <w:rsid w:val="004936E1"/>
    <w:rsid w:val="00496210"/>
    <w:rsid w:val="0049753D"/>
    <w:rsid w:val="004A545E"/>
    <w:rsid w:val="004A5D9E"/>
    <w:rsid w:val="004A702B"/>
    <w:rsid w:val="004A78DF"/>
    <w:rsid w:val="004B14FB"/>
    <w:rsid w:val="004B31EC"/>
    <w:rsid w:val="004B4075"/>
    <w:rsid w:val="004C208A"/>
    <w:rsid w:val="004D14C2"/>
    <w:rsid w:val="004D1DD9"/>
    <w:rsid w:val="004D2122"/>
    <w:rsid w:val="004D62E2"/>
    <w:rsid w:val="004E265B"/>
    <w:rsid w:val="004E5F20"/>
    <w:rsid w:val="004F2309"/>
    <w:rsid w:val="004F4302"/>
    <w:rsid w:val="004F4AD7"/>
    <w:rsid w:val="004F5BAC"/>
    <w:rsid w:val="004F6BBA"/>
    <w:rsid w:val="005007E9"/>
    <w:rsid w:val="00505F74"/>
    <w:rsid w:val="0051132E"/>
    <w:rsid w:val="00511D0F"/>
    <w:rsid w:val="00513CC2"/>
    <w:rsid w:val="00513D8B"/>
    <w:rsid w:val="005148D8"/>
    <w:rsid w:val="00522808"/>
    <w:rsid w:val="00523EAD"/>
    <w:rsid w:val="00524FEA"/>
    <w:rsid w:val="0052504A"/>
    <w:rsid w:val="005273EE"/>
    <w:rsid w:val="00527AAE"/>
    <w:rsid w:val="00531248"/>
    <w:rsid w:val="00531DCB"/>
    <w:rsid w:val="00533CE0"/>
    <w:rsid w:val="005410C9"/>
    <w:rsid w:val="00542206"/>
    <w:rsid w:val="0055096E"/>
    <w:rsid w:val="00551486"/>
    <w:rsid w:val="00551B17"/>
    <w:rsid w:val="00552BA9"/>
    <w:rsid w:val="005540D1"/>
    <w:rsid w:val="005562E3"/>
    <w:rsid w:val="00556F66"/>
    <w:rsid w:val="00560C5A"/>
    <w:rsid w:val="005614FB"/>
    <w:rsid w:val="00564C70"/>
    <w:rsid w:val="005655FA"/>
    <w:rsid w:val="00571FA8"/>
    <w:rsid w:val="005736C8"/>
    <w:rsid w:val="00577A69"/>
    <w:rsid w:val="00582B62"/>
    <w:rsid w:val="0058425B"/>
    <w:rsid w:val="00584FCB"/>
    <w:rsid w:val="0058560B"/>
    <w:rsid w:val="005910E5"/>
    <w:rsid w:val="00592DD9"/>
    <w:rsid w:val="00595C1A"/>
    <w:rsid w:val="005A08BA"/>
    <w:rsid w:val="005A160E"/>
    <w:rsid w:val="005A2588"/>
    <w:rsid w:val="005A26DD"/>
    <w:rsid w:val="005A4F93"/>
    <w:rsid w:val="005B1196"/>
    <w:rsid w:val="005B1D49"/>
    <w:rsid w:val="005B3F35"/>
    <w:rsid w:val="005B655B"/>
    <w:rsid w:val="005C738E"/>
    <w:rsid w:val="005D0431"/>
    <w:rsid w:val="005D2FE7"/>
    <w:rsid w:val="005D36D7"/>
    <w:rsid w:val="005D59A3"/>
    <w:rsid w:val="005D5FA3"/>
    <w:rsid w:val="005D71DE"/>
    <w:rsid w:val="005E0CC1"/>
    <w:rsid w:val="005E2A38"/>
    <w:rsid w:val="005E2E61"/>
    <w:rsid w:val="005F2120"/>
    <w:rsid w:val="005F3B5D"/>
    <w:rsid w:val="005F52D9"/>
    <w:rsid w:val="005F7105"/>
    <w:rsid w:val="005F7BBB"/>
    <w:rsid w:val="006000F9"/>
    <w:rsid w:val="00600607"/>
    <w:rsid w:val="00602E50"/>
    <w:rsid w:val="00606D04"/>
    <w:rsid w:val="006104A8"/>
    <w:rsid w:val="0061050E"/>
    <w:rsid w:val="00612838"/>
    <w:rsid w:val="006137C8"/>
    <w:rsid w:val="00614DBF"/>
    <w:rsid w:val="006156C5"/>
    <w:rsid w:val="00621771"/>
    <w:rsid w:val="00623C78"/>
    <w:rsid w:val="00624E65"/>
    <w:rsid w:val="00624FE4"/>
    <w:rsid w:val="006267F3"/>
    <w:rsid w:val="00634B3E"/>
    <w:rsid w:val="00635586"/>
    <w:rsid w:val="006357A4"/>
    <w:rsid w:val="00641A06"/>
    <w:rsid w:val="00646B13"/>
    <w:rsid w:val="006515DE"/>
    <w:rsid w:val="006524ED"/>
    <w:rsid w:val="0065702E"/>
    <w:rsid w:val="00665668"/>
    <w:rsid w:val="00665E16"/>
    <w:rsid w:val="00666477"/>
    <w:rsid w:val="00667958"/>
    <w:rsid w:val="00671BB5"/>
    <w:rsid w:val="00672A49"/>
    <w:rsid w:val="0067647D"/>
    <w:rsid w:val="00676788"/>
    <w:rsid w:val="00677580"/>
    <w:rsid w:val="00684AE6"/>
    <w:rsid w:val="00686E45"/>
    <w:rsid w:val="00687C0C"/>
    <w:rsid w:val="00690AC1"/>
    <w:rsid w:val="0069398A"/>
    <w:rsid w:val="00694CD1"/>
    <w:rsid w:val="00696E4D"/>
    <w:rsid w:val="00697230"/>
    <w:rsid w:val="006A2356"/>
    <w:rsid w:val="006B253D"/>
    <w:rsid w:val="006B2A3E"/>
    <w:rsid w:val="006C0599"/>
    <w:rsid w:val="006C0EF6"/>
    <w:rsid w:val="006C2C5E"/>
    <w:rsid w:val="006C3A8A"/>
    <w:rsid w:val="006C610D"/>
    <w:rsid w:val="006C62E0"/>
    <w:rsid w:val="006C64AE"/>
    <w:rsid w:val="006D01F7"/>
    <w:rsid w:val="006D117F"/>
    <w:rsid w:val="006D4358"/>
    <w:rsid w:val="006D6606"/>
    <w:rsid w:val="006E13F5"/>
    <w:rsid w:val="006E49EC"/>
    <w:rsid w:val="006E7360"/>
    <w:rsid w:val="006F3A31"/>
    <w:rsid w:val="006F3F3D"/>
    <w:rsid w:val="006F5A1C"/>
    <w:rsid w:val="00703A88"/>
    <w:rsid w:val="00711DB8"/>
    <w:rsid w:val="007162AE"/>
    <w:rsid w:val="00717584"/>
    <w:rsid w:val="007250C3"/>
    <w:rsid w:val="00725478"/>
    <w:rsid w:val="00726186"/>
    <w:rsid w:val="00731BFC"/>
    <w:rsid w:val="007356A8"/>
    <w:rsid w:val="00735D03"/>
    <w:rsid w:val="00735E03"/>
    <w:rsid w:val="00740050"/>
    <w:rsid w:val="00743FF8"/>
    <w:rsid w:val="0075080C"/>
    <w:rsid w:val="00752047"/>
    <w:rsid w:val="007540C4"/>
    <w:rsid w:val="00754755"/>
    <w:rsid w:val="0075549E"/>
    <w:rsid w:val="00760AD4"/>
    <w:rsid w:val="00765C62"/>
    <w:rsid w:val="00766055"/>
    <w:rsid w:val="00767F82"/>
    <w:rsid w:val="00771821"/>
    <w:rsid w:val="00780CFA"/>
    <w:rsid w:val="0078104D"/>
    <w:rsid w:val="00783004"/>
    <w:rsid w:val="00783174"/>
    <w:rsid w:val="00783B78"/>
    <w:rsid w:val="00783BB6"/>
    <w:rsid w:val="00784EE6"/>
    <w:rsid w:val="007929BB"/>
    <w:rsid w:val="007946DB"/>
    <w:rsid w:val="007A1FD4"/>
    <w:rsid w:val="007A5709"/>
    <w:rsid w:val="007A597E"/>
    <w:rsid w:val="007B6D27"/>
    <w:rsid w:val="007C3CEF"/>
    <w:rsid w:val="007C48DB"/>
    <w:rsid w:val="007C4C1B"/>
    <w:rsid w:val="007C75C5"/>
    <w:rsid w:val="007D1FF5"/>
    <w:rsid w:val="007D3FAF"/>
    <w:rsid w:val="007D61F5"/>
    <w:rsid w:val="007D65CD"/>
    <w:rsid w:val="007E46E5"/>
    <w:rsid w:val="007E485B"/>
    <w:rsid w:val="007E5384"/>
    <w:rsid w:val="007E689C"/>
    <w:rsid w:val="007F01C4"/>
    <w:rsid w:val="007F32A3"/>
    <w:rsid w:val="007F377C"/>
    <w:rsid w:val="0080071D"/>
    <w:rsid w:val="00800FE1"/>
    <w:rsid w:val="00803256"/>
    <w:rsid w:val="00807CDE"/>
    <w:rsid w:val="00807E5C"/>
    <w:rsid w:val="00810FEA"/>
    <w:rsid w:val="008124DA"/>
    <w:rsid w:val="00817BCE"/>
    <w:rsid w:val="00820D1A"/>
    <w:rsid w:val="008213E3"/>
    <w:rsid w:val="00823F43"/>
    <w:rsid w:val="0082406F"/>
    <w:rsid w:val="00825EFB"/>
    <w:rsid w:val="00826673"/>
    <w:rsid w:val="00833BF8"/>
    <w:rsid w:val="00835B9B"/>
    <w:rsid w:val="00840A85"/>
    <w:rsid w:val="00845DE7"/>
    <w:rsid w:val="00846B3E"/>
    <w:rsid w:val="00847EC8"/>
    <w:rsid w:val="0085212F"/>
    <w:rsid w:val="0085263A"/>
    <w:rsid w:val="00854D88"/>
    <w:rsid w:val="00857B78"/>
    <w:rsid w:val="00861E56"/>
    <w:rsid w:val="008640E0"/>
    <w:rsid w:val="00864174"/>
    <w:rsid w:val="008648AB"/>
    <w:rsid w:val="00867A6B"/>
    <w:rsid w:val="008753E7"/>
    <w:rsid w:val="00875EB6"/>
    <w:rsid w:val="00880D60"/>
    <w:rsid w:val="00881D4D"/>
    <w:rsid w:val="00882672"/>
    <w:rsid w:val="00885CF2"/>
    <w:rsid w:val="00891267"/>
    <w:rsid w:val="0089291C"/>
    <w:rsid w:val="00892E2A"/>
    <w:rsid w:val="008949CD"/>
    <w:rsid w:val="008960BE"/>
    <w:rsid w:val="0089785D"/>
    <w:rsid w:val="008A068F"/>
    <w:rsid w:val="008A2F1B"/>
    <w:rsid w:val="008A497C"/>
    <w:rsid w:val="008A4FE1"/>
    <w:rsid w:val="008A5FAD"/>
    <w:rsid w:val="008A693B"/>
    <w:rsid w:val="008A6951"/>
    <w:rsid w:val="008B0EA9"/>
    <w:rsid w:val="008B1488"/>
    <w:rsid w:val="008B1591"/>
    <w:rsid w:val="008B30DC"/>
    <w:rsid w:val="008B3C65"/>
    <w:rsid w:val="008B3EAF"/>
    <w:rsid w:val="008B4E20"/>
    <w:rsid w:val="008C4B8D"/>
    <w:rsid w:val="008C62EE"/>
    <w:rsid w:val="008C77FC"/>
    <w:rsid w:val="008D0F16"/>
    <w:rsid w:val="008D14FF"/>
    <w:rsid w:val="008D27C0"/>
    <w:rsid w:val="008D2F67"/>
    <w:rsid w:val="008D35A6"/>
    <w:rsid w:val="008D5A0C"/>
    <w:rsid w:val="008D5C24"/>
    <w:rsid w:val="008D695C"/>
    <w:rsid w:val="008D71EA"/>
    <w:rsid w:val="008E0BCE"/>
    <w:rsid w:val="008E0D16"/>
    <w:rsid w:val="008E430D"/>
    <w:rsid w:val="008E716B"/>
    <w:rsid w:val="008E7BBA"/>
    <w:rsid w:val="008E7C9D"/>
    <w:rsid w:val="008F303B"/>
    <w:rsid w:val="008F52A8"/>
    <w:rsid w:val="008F60E8"/>
    <w:rsid w:val="008F7B98"/>
    <w:rsid w:val="008F7C4D"/>
    <w:rsid w:val="00901A63"/>
    <w:rsid w:val="009025C2"/>
    <w:rsid w:val="009039C0"/>
    <w:rsid w:val="00903D74"/>
    <w:rsid w:val="00904E30"/>
    <w:rsid w:val="0091393E"/>
    <w:rsid w:val="009145EC"/>
    <w:rsid w:val="00923576"/>
    <w:rsid w:val="00925BF1"/>
    <w:rsid w:val="00926679"/>
    <w:rsid w:val="00927275"/>
    <w:rsid w:val="00932FFA"/>
    <w:rsid w:val="009347A5"/>
    <w:rsid w:val="0093796A"/>
    <w:rsid w:val="009420A3"/>
    <w:rsid w:val="00943470"/>
    <w:rsid w:val="00944C22"/>
    <w:rsid w:val="00944FAC"/>
    <w:rsid w:val="00953AA0"/>
    <w:rsid w:val="00955472"/>
    <w:rsid w:val="00956FD7"/>
    <w:rsid w:val="00971AA7"/>
    <w:rsid w:val="00974A29"/>
    <w:rsid w:val="00981AF0"/>
    <w:rsid w:val="00982DB9"/>
    <w:rsid w:val="00985352"/>
    <w:rsid w:val="00987C78"/>
    <w:rsid w:val="009907FE"/>
    <w:rsid w:val="0099089B"/>
    <w:rsid w:val="00997981"/>
    <w:rsid w:val="009A19C3"/>
    <w:rsid w:val="009A4D24"/>
    <w:rsid w:val="009A58C3"/>
    <w:rsid w:val="009A6E37"/>
    <w:rsid w:val="009A730F"/>
    <w:rsid w:val="009A76BD"/>
    <w:rsid w:val="009A781D"/>
    <w:rsid w:val="009B3987"/>
    <w:rsid w:val="009B4911"/>
    <w:rsid w:val="009C0668"/>
    <w:rsid w:val="009C0D9D"/>
    <w:rsid w:val="009C1024"/>
    <w:rsid w:val="009C15BD"/>
    <w:rsid w:val="009C162F"/>
    <w:rsid w:val="009C3714"/>
    <w:rsid w:val="009C5E7F"/>
    <w:rsid w:val="009D2FB7"/>
    <w:rsid w:val="009D3083"/>
    <w:rsid w:val="009D4D18"/>
    <w:rsid w:val="009D7E1E"/>
    <w:rsid w:val="009E0010"/>
    <w:rsid w:val="009E08DA"/>
    <w:rsid w:val="009E0C76"/>
    <w:rsid w:val="009E3583"/>
    <w:rsid w:val="009E5C68"/>
    <w:rsid w:val="009E6966"/>
    <w:rsid w:val="009F4D79"/>
    <w:rsid w:val="00A03FAF"/>
    <w:rsid w:val="00A046C4"/>
    <w:rsid w:val="00A048DB"/>
    <w:rsid w:val="00A1039F"/>
    <w:rsid w:val="00A11B75"/>
    <w:rsid w:val="00A15FAE"/>
    <w:rsid w:val="00A17550"/>
    <w:rsid w:val="00A2189B"/>
    <w:rsid w:val="00A3399D"/>
    <w:rsid w:val="00A41A2D"/>
    <w:rsid w:val="00A41ACB"/>
    <w:rsid w:val="00A420CB"/>
    <w:rsid w:val="00A42706"/>
    <w:rsid w:val="00A43F1A"/>
    <w:rsid w:val="00A4683C"/>
    <w:rsid w:val="00A507FD"/>
    <w:rsid w:val="00A51ACD"/>
    <w:rsid w:val="00A520EA"/>
    <w:rsid w:val="00A5385B"/>
    <w:rsid w:val="00A60926"/>
    <w:rsid w:val="00A617AB"/>
    <w:rsid w:val="00A706AC"/>
    <w:rsid w:val="00A712B1"/>
    <w:rsid w:val="00A73901"/>
    <w:rsid w:val="00A74565"/>
    <w:rsid w:val="00A77B0A"/>
    <w:rsid w:val="00A82ABA"/>
    <w:rsid w:val="00A833C2"/>
    <w:rsid w:val="00A84BDB"/>
    <w:rsid w:val="00A85515"/>
    <w:rsid w:val="00A8581C"/>
    <w:rsid w:val="00A86339"/>
    <w:rsid w:val="00A87CF9"/>
    <w:rsid w:val="00A91458"/>
    <w:rsid w:val="00AA1A2D"/>
    <w:rsid w:val="00AA46A4"/>
    <w:rsid w:val="00AA5643"/>
    <w:rsid w:val="00AA63DB"/>
    <w:rsid w:val="00AA6C67"/>
    <w:rsid w:val="00AB2526"/>
    <w:rsid w:val="00AB2B5A"/>
    <w:rsid w:val="00AB3AC5"/>
    <w:rsid w:val="00AB3E3D"/>
    <w:rsid w:val="00AB4E1D"/>
    <w:rsid w:val="00AC2C27"/>
    <w:rsid w:val="00AC4CBD"/>
    <w:rsid w:val="00AC5037"/>
    <w:rsid w:val="00AC553A"/>
    <w:rsid w:val="00AC69F3"/>
    <w:rsid w:val="00AD2656"/>
    <w:rsid w:val="00AD475A"/>
    <w:rsid w:val="00AE167D"/>
    <w:rsid w:val="00AE7AC2"/>
    <w:rsid w:val="00AF0FA7"/>
    <w:rsid w:val="00AF1C6A"/>
    <w:rsid w:val="00AF55BF"/>
    <w:rsid w:val="00AF59B8"/>
    <w:rsid w:val="00AF61F1"/>
    <w:rsid w:val="00B04B8E"/>
    <w:rsid w:val="00B1022F"/>
    <w:rsid w:val="00B10DF3"/>
    <w:rsid w:val="00B1246A"/>
    <w:rsid w:val="00B13352"/>
    <w:rsid w:val="00B146C9"/>
    <w:rsid w:val="00B1668C"/>
    <w:rsid w:val="00B17725"/>
    <w:rsid w:val="00B2045C"/>
    <w:rsid w:val="00B22156"/>
    <w:rsid w:val="00B23806"/>
    <w:rsid w:val="00B24B38"/>
    <w:rsid w:val="00B253AD"/>
    <w:rsid w:val="00B30F3B"/>
    <w:rsid w:val="00B40383"/>
    <w:rsid w:val="00B51555"/>
    <w:rsid w:val="00B51D8C"/>
    <w:rsid w:val="00B54CF1"/>
    <w:rsid w:val="00B554A2"/>
    <w:rsid w:val="00B60650"/>
    <w:rsid w:val="00B63C62"/>
    <w:rsid w:val="00B63D81"/>
    <w:rsid w:val="00B66978"/>
    <w:rsid w:val="00B67B16"/>
    <w:rsid w:val="00B763B2"/>
    <w:rsid w:val="00B81110"/>
    <w:rsid w:val="00B8187C"/>
    <w:rsid w:val="00B82F65"/>
    <w:rsid w:val="00B873A6"/>
    <w:rsid w:val="00B87450"/>
    <w:rsid w:val="00B9117E"/>
    <w:rsid w:val="00B91E9D"/>
    <w:rsid w:val="00B9494B"/>
    <w:rsid w:val="00B94D42"/>
    <w:rsid w:val="00BA1557"/>
    <w:rsid w:val="00BA6596"/>
    <w:rsid w:val="00BB1B07"/>
    <w:rsid w:val="00BB20A4"/>
    <w:rsid w:val="00BB32F0"/>
    <w:rsid w:val="00BB3662"/>
    <w:rsid w:val="00BB3C65"/>
    <w:rsid w:val="00BC0E9F"/>
    <w:rsid w:val="00BC1CC0"/>
    <w:rsid w:val="00BC21B2"/>
    <w:rsid w:val="00BD11B9"/>
    <w:rsid w:val="00BD1D23"/>
    <w:rsid w:val="00BD20DB"/>
    <w:rsid w:val="00BD29EA"/>
    <w:rsid w:val="00BD368A"/>
    <w:rsid w:val="00BD6E3E"/>
    <w:rsid w:val="00BD77C4"/>
    <w:rsid w:val="00BD780D"/>
    <w:rsid w:val="00BE09BD"/>
    <w:rsid w:val="00BE73AF"/>
    <w:rsid w:val="00BE7ADC"/>
    <w:rsid w:val="00BF320C"/>
    <w:rsid w:val="00BF5E33"/>
    <w:rsid w:val="00C02346"/>
    <w:rsid w:val="00C03D8A"/>
    <w:rsid w:val="00C10AEE"/>
    <w:rsid w:val="00C10DB2"/>
    <w:rsid w:val="00C1355F"/>
    <w:rsid w:val="00C15BFD"/>
    <w:rsid w:val="00C2047B"/>
    <w:rsid w:val="00C20583"/>
    <w:rsid w:val="00C20C88"/>
    <w:rsid w:val="00C2170A"/>
    <w:rsid w:val="00C26C83"/>
    <w:rsid w:val="00C274F8"/>
    <w:rsid w:val="00C27E24"/>
    <w:rsid w:val="00C31F02"/>
    <w:rsid w:val="00C35200"/>
    <w:rsid w:val="00C3536D"/>
    <w:rsid w:val="00C42DC5"/>
    <w:rsid w:val="00C476F9"/>
    <w:rsid w:val="00C53298"/>
    <w:rsid w:val="00C532E7"/>
    <w:rsid w:val="00C548E3"/>
    <w:rsid w:val="00C60AE1"/>
    <w:rsid w:val="00C622F0"/>
    <w:rsid w:val="00C623A4"/>
    <w:rsid w:val="00C63413"/>
    <w:rsid w:val="00C65056"/>
    <w:rsid w:val="00C65E7A"/>
    <w:rsid w:val="00C662F2"/>
    <w:rsid w:val="00C712B3"/>
    <w:rsid w:val="00C732DD"/>
    <w:rsid w:val="00C75D90"/>
    <w:rsid w:val="00C76F55"/>
    <w:rsid w:val="00C80FDD"/>
    <w:rsid w:val="00C81972"/>
    <w:rsid w:val="00C85FC2"/>
    <w:rsid w:val="00C91693"/>
    <w:rsid w:val="00C9196B"/>
    <w:rsid w:val="00C91AD0"/>
    <w:rsid w:val="00C91CE6"/>
    <w:rsid w:val="00C9281D"/>
    <w:rsid w:val="00C93B24"/>
    <w:rsid w:val="00C9614A"/>
    <w:rsid w:val="00C97C09"/>
    <w:rsid w:val="00CA0F4D"/>
    <w:rsid w:val="00CA22FD"/>
    <w:rsid w:val="00CA2721"/>
    <w:rsid w:val="00CA4067"/>
    <w:rsid w:val="00CA4992"/>
    <w:rsid w:val="00CA63E9"/>
    <w:rsid w:val="00CA7086"/>
    <w:rsid w:val="00CA7863"/>
    <w:rsid w:val="00CA7CAE"/>
    <w:rsid w:val="00CB1B8F"/>
    <w:rsid w:val="00CB2429"/>
    <w:rsid w:val="00CB2BB4"/>
    <w:rsid w:val="00CB3824"/>
    <w:rsid w:val="00CB3BA2"/>
    <w:rsid w:val="00CB574A"/>
    <w:rsid w:val="00CB669F"/>
    <w:rsid w:val="00CB6F13"/>
    <w:rsid w:val="00CC27FE"/>
    <w:rsid w:val="00CC35BD"/>
    <w:rsid w:val="00CC5EE8"/>
    <w:rsid w:val="00CC64BB"/>
    <w:rsid w:val="00CD4918"/>
    <w:rsid w:val="00CE1D2F"/>
    <w:rsid w:val="00CE27C3"/>
    <w:rsid w:val="00CE3F53"/>
    <w:rsid w:val="00CE40C4"/>
    <w:rsid w:val="00CE66F3"/>
    <w:rsid w:val="00CF03AB"/>
    <w:rsid w:val="00CF23BA"/>
    <w:rsid w:val="00CF2C31"/>
    <w:rsid w:val="00CF3C6A"/>
    <w:rsid w:val="00CF3D8D"/>
    <w:rsid w:val="00CF4EF0"/>
    <w:rsid w:val="00CF6AC7"/>
    <w:rsid w:val="00D02821"/>
    <w:rsid w:val="00D03C37"/>
    <w:rsid w:val="00D054F7"/>
    <w:rsid w:val="00D056F3"/>
    <w:rsid w:val="00D0695A"/>
    <w:rsid w:val="00D21A18"/>
    <w:rsid w:val="00D2543B"/>
    <w:rsid w:val="00D26AD9"/>
    <w:rsid w:val="00D27214"/>
    <w:rsid w:val="00D30CB6"/>
    <w:rsid w:val="00D336A4"/>
    <w:rsid w:val="00D339DA"/>
    <w:rsid w:val="00D33A61"/>
    <w:rsid w:val="00D35341"/>
    <w:rsid w:val="00D35C22"/>
    <w:rsid w:val="00D4484E"/>
    <w:rsid w:val="00D44C3A"/>
    <w:rsid w:val="00D45FAF"/>
    <w:rsid w:val="00D46251"/>
    <w:rsid w:val="00D5024D"/>
    <w:rsid w:val="00D53430"/>
    <w:rsid w:val="00D534B7"/>
    <w:rsid w:val="00D6042B"/>
    <w:rsid w:val="00D61C38"/>
    <w:rsid w:val="00D625C5"/>
    <w:rsid w:val="00D62E26"/>
    <w:rsid w:val="00D632A2"/>
    <w:rsid w:val="00D64480"/>
    <w:rsid w:val="00D64552"/>
    <w:rsid w:val="00D655F9"/>
    <w:rsid w:val="00D65C4B"/>
    <w:rsid w:val="00D6698C"/>
    <w:rsid w:val="00D72536"/>
    <w:rsid w:val="00D81D6F"/>
    <w:rsid w:val="00D826FE"/>
    <w:rsid w:val="00D83F9B"/>
    <w:rsid w:val="00D84962"/>
    <w:rsid w:val="00D859BC"/>
    <w:rsid w:val="00D874FA"/>
    <w:rsid w:val="00D923F3"/>
    <w:rsid w:val="00D9604F"/>
    <w:rsid w:val="00D967FC"/>
    <w:rsid w:val="00D96D54"/>
    <w:rsid w:val="00D96F0B"/>
    <w:rsid w:val="00D97894"/>
    <w:rsid w:val="00DA06FE"/>
    <w:rsid w:val="00DA0E61"/>
    <w:rsid w:val="00DA1019"/>
    <w:rsid w:val="00DA24E3"/>
    <w:rsid w:val="00DA4158"/>
    <w:rsid w:val="00DA47A8"/>
    <w:rsid w:val="00DB089C"/>
    <w:rsid w:val="00DB0A6B"/>
    <w:rsid w:val="00DB204F"/>
    <w:rsid w:val="00DB7284"/>
    <w:rsid w:val="00DB7402"/>
    <w:rsid w:val="00DB7C00"/>
    <w:rsid w:val="00DC055A"/>
    <w:rsid w:val="00DC5140"/>
    <w:rsid w:val="00DC6226"/>
    <w:rsid w:val="00DC73E8"/>
    <w:rsid w:val="00DD0012"/>
    <w:rsid w:val="00DD0FF9"/>
    <w:rsid w:val="00DD105A"/>
    <w:rsid w:val="00DD3896"/>
    <w:rsid w:val="00DE036C"/>
    <w:rsid w:val="00DE0B83"/>
    <w:rsid w:val="00DE0F33"/>
    <w:rsid w:val="00DE2393"/>
    <w:rsid w:val="00DE269B"/>
    <w:rsid w:val="00DE38D5"/>
    <w:rsid w:val="00DE4EC4"/>
    <w:rsid w:val="00DE6C50"/>
    <w:rsid w:val="00DF33D5"/>
    <w:rsid w:val="00DF4E6D"/>
    <w:rsid w:val="00DF721A"/>
    <w:rsid w:val="00E02AB3"/>
    <w:rsid w:val="00E04100"/>
    <w:rsid w:val="00E04802"/>
    <w:rsid w:val="00E05EAC"/>
    <w:rsid w:val="00E07EA2"/>
    <w:rsid w:val="00E17CA1"/>
    <w:rsid w:val="00E223D4"/>
    <w:rsid w:val="00E2529F"/>
    <w:rsid w:val="00E26551"/>
    <w:rsid w:val="00E27AF2"/>
    <w:rsid w:val="00E31E64"/>
    <w:rsid w:val="00E343CE"/>
    <w:rsid w:val="00E4146B"/>
    <w:rsid w:val="00E41E5F"/>
    <w:rsid w:val="00E43FEA"/>
    <w:rsid w:val="00E44982"/>
    <w:rsid w:val="00E465EA"/>
    <w:rsid w:val="00E46BDA"/>
    <w:rsid w:val="00E47AD8"/>
    <w:rsid w:val="00E502EF"/>
    <w:rsid w:val="00E50F1A"/>
    <w:rsid w:val="00E51F48"/>
    <w:rsid w:val="00E56284"/>
    <w:rsid w:val="00E56618"/>
    <w:rsid w:val="00E57C57"/>
    <w:rsid w:val="00E61267"/>
    <w:rsid w:val="00E67804"/>
    <w:rsid w:val="00E711DD"/>
    <w:rsid w:val="00E727AC"/>
    <w:rsid w:val="00E72EF1"/>
    <w:rsid w:val="00E73AC5"/>
    <w:rsid w:val="00E74243"/>
    <w:rsid w:val="00E83BAF"/>
    <w:rsid w:val="00E83F0B"/>
    <w:rsid w:val="00E93D3E"/>
    <w:rsid w:val="00E95E3B"/>
    <w:rsid w:val="00EA4D30"/>
    <w:rsid w:val="00EA54BF"/>
    <w:rsid w:val="00EA54E4"/>
    <w:rsid w:val="00EA6420"/>
    <w:rsid w:val="00EA7259"/>
    <w:rsid w:val="00EA76A6"/>
    <w:rsid w:val="00EA7B11"/>
    <w:rsid w:val="00EA7E7E"/>
    <w:rsid w:val="00EB27EB"/>
    <w:rsid w:val="00EB2FDC"/>
    <w:rsid w:val="00EB5C97"/>
    <w:rsid w:val="00EB61C1"/>
    <w:rsid w:val="00EC3994"/>
    <w:rsid w:val="00EC560D"/>
    <w:rsid w:val="00ED119D"/>
    <w:rsid w:val="00ED7440"/>
    <w:rsid w:val="00EE0B6F"/>
    <w:rsid w:val="00EF3C2A"/>
    <w:rsid w:val="00EF4E76"/>
    <w:rsid w:val="00F035DC"/>
    <w:rsid w:val="00F04C6A"/>
    <w:rsid w:val="00F14950"/>
    <w:rsid w:val="00F160EE"/>
    <w:rsid w:val="00F1698C"/>
    <w:rsid w:val="00F17ECA"/>
    <w:rsid w:val="00F21A80"/>
    <w:rsid w:val="00F23339"/>
    <w:rsid w:val="00F23A68"/>
    <w:rsid w:val="00F309E0"/>
    <w:rsid w:val="00F32F73"/>
    <w:rsid w:val="00F365BE"/>
    <w:rsid w:val="00F40D5E"/>
    <w:rsid w:val="00F41387"/>
    <w:rsid w:val="00F43674"/>
    <w:rsid w:val="00F44F0F"/>
    <w:rsid w:val="00F5143B"/>
    <w:rsid w:val="00F52544"/>
    <w:rsid w:val="00F54EEA"/>
    <w:rsid w:val="00F61A2B"/>
    <w:rsid w:val="00F67453"/>
    <w:rsid w:val="00F7015B"/>
    <w:rsid w:val="00F7201C"/>
    <w:rsid w:val="00F7316D"/>
    <w:rsid w:val="00F75ACC"/>
    <w:rsid w:val="00F81FE8"/>
    <w:rsid w:val="00F8411C"/>
    <w:rsid w:val="00F84E01"/>
    <w:rsid w:val="00F85FFA"/>
    <w:rsid w:val="00F867A9"/>
    <w:rsid w:val="00F90BDA"/>
    <w:rsid w:val="00F92A22"/>
    <w:rsid w:val="00F941D7"/>
    <w:rsid w:val="00F94E7B"/>
    <w:rsid w:val="00F97CE4"/>
    <w:rsid w:val="00FA42F3"/>
    <w:rsid w:val="00FA4A10"/>
    <w:rsid w:val="00FA7742"/>
    <w:rsid w:val="00FA7950"/>
    <w:rsid w:val="00FB252C"/>
    <w:rsid w:val="00FB30B5"/>
    <w:rsid w:val="00FB7B31"/>
    <w:rsid w:val="00FC04C0"/>
    <w:rsid w:val="00FC2909"/>
    <w:rsid w:val="00FC2FC0"/>
    <w:rsid w:val="00FC33C0"/>
    <w:rsid w:val="00FC74E0"/>
    <w:rsid w:val="00FC7E4A"/>
    <w:rsid w:val="00FD1E83"/>
    <w:rsid w:val="00FD2E84"/>
    <w:rsid w:val="00FD31BB"/>
    <w:rsid w:val="00FD6EDE"/>
    <w:rsid w:val="00FD6FDC"/>
    <w:rsid w:val="00FE11C9"/>
    <w:rsid w:val="00FE19F4"/>
    <w:rsid w:val="00FE25B1"/>
    <w:rsid w:val="00FE5BB3"/>
    <w:rsid w:val="00FE5D0E"/>
    <w:rsid w:val="00FF0BEE"/>
    <w:rsid w:val="00FF42A1"/>
    <w:rsid w:val="00FF79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F6833"/>
  <w15:chartTrackingRefBased/>
  <w15:docId w15:val="{EDA79C22-7488-4DFA-B4A0-AC1D2E113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08EC"/>
    <w:pPr>
      <w:spacing w:line="256" w:lineRule="auto"/>
    </w:pPr>
  </w:style>
  <w:style w:type="paragraph" w:styleId="Heading1">
    <w:name w:val="heading 1"/>
    <w:basedOn w:val="Normal"/>
    <w:next w:val="Normal"/>
    <w:link w:val="Heading1Char"/>
    <w:uiPriority w:val="9"/>
    <w:qFormat/>
    <w:rsid w:val="00141B6D"/>
    <w:pPr>
      <w:keepNext/>
      <w:keepLines/>
      <w:spacing w:before="240" w:after="0" w:line="36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032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08EC"/>
    <w:rPr>
      <w:color w:val="0000FF"/>
      <w:u w:val="single"/>
    </w:rPr>
  </w:style>
  <w:style w:type="paragraph" w:styleId="ListParagraph">
    <w:name w:val="List Paragraph"/>
    <w:aliases w:val="NumberedList,Colorful List - Accent 11,Dot pt,No Spacing1,List Paragraph Char Char Char,Indicator Text,Numbered Para 1,Bullet 1,List Paragraph1,F5 List Paragraph,Bullet Points,MAIN CONTENT,List Paragraph12,Bullet Style,Normal numbered,L"/>
    <w:basedOn w:val="Normal"/>
    <w:link w:val="ListParagraphChar"/>
    <w:uiPriority w:val="34"/>
    <w:qFormat/>
    <w:rsid w:val="002F08EC"/>
    <w:pPr>
      <w:ind w:left="720"/>
      <w:contextualSpacing/>
    </w:pPr>
  </w:style>
  <w:style w:type="character" w:customStyle="1" w:styleId="doilink">
    <w:name w:val="doi_link"/>
    <w:basedOn w:val="DefaultParagraphFont"/>
    <w:rsid w:val="002F08EC"/>
  </w:style>
  <w:style w:type="character" w:customStyle="1" w:styleId="arttitle">
    <w:name w:val="art_title"/>
    <w:basedOn w:val="DefaultParagraphFont"/>
    <w:rsid w:val="002F08EC"/>
  </w:style>
  <w:style w:type="character" w:customStyle="1" w:styleId="serialtitle">
    <w:name w:val="serial_title"/>
    <w:basedOn w:val="DefaultParagraphFont"/>
    <w:rsid w:val="002F08EC"/>
  </w:style>
  <w:style w:type="character" w:customStyle="1" w:styleId="volumeissue">
    <w:name w:val="volume_issue"/>
    <w:basedOn w:val="DefaultParagraphFont"/>
    <w:rsid w:val="002F08EC"/>
  </w:style>
  <w:style w:type="character" w:customStyle="1" w:styleId="pagerange">
    <w:name w:val="page_range"/>
    <w:basedOn w:val="DefaultParagraphFont"/>
    <w:rsid w:val="002F08EC"/>
  </w:style>
  <w:style w:type="paragraph" w:styleId="Title">
    <w:name w:val="Title"/>
    <w:basedOn w:val="Normal"/>
    <w:next w:val="Normal"/>
    <w:link w:val="TitleChar"/>
    <w:uiPriority w:val="10"/>
    <w:qFormat/>
    <w:rsid w:val="001E0132"/>
    <w:pPr>
      <w:spacing w:after="0" w:line="240" w:lineRule="auto"/>
      <w:contextualSpacing/>
      <w:jc w:val="both"/>
    </w:pPr>
    <w:rPr>
      <w:rFonts w:ascii="Times New Roman" w:eastAsiaTheme="majorEastAsia" w:hAnsi="Times New Roman" w:cstheme="majorBidi"/>
      <w:b/>
      <w:color w:val="262626" w:themeColor="text1" w:themeTint="D9"/>
      <w:spacing w:val="-15"/>
      <w:sz w:val="40"/>
      <w:szCs w:val="96"/>
    </w:rPr>
  </w:style>
  <w:style w:type="character" w:customStyle="1" w:styleId="TitleChar">
    <w:name w:val="Title Char"/>
    <w:basedOn w:val="DefaultParagraphFont"/>
    <w:link w:val="Title"/>
    <w:uiPriority w:val="10"/>
    <w:rsid w:val="001E0132"/>
    <w:rPr>
      <w:rFonts w:ascii="Times New Roman" w:eastAsiaTheme="majorEastAsia" w:hAnsi="Times New Roman" w:cstheme="majorBidi"/>
      <w:b/>
      <w:color w:val="262626" w:themeColor="text1" w:themeTint="D9"/>
      <w:spacing w:val="-15"/>
      <w:sz w:val="40"/>
      <w:szCs w:val="96"/>
    </w:rPr>
  </w:style>
  <w:style w:type="paragraph" w:styleId="NoSpacing">
    <w:name w:val="No Spacing"/>
    <w:uiPriority w:val="1"/>
    <w:qFormat/>
    <w:rsid w:val="006B253D"/>
    <w:pPr>
      <w:spacing w:after="0" w:line="240" w:lineRule="auto"/>
    </w:pPr>
    <w:rPr>
      <w:rFonts w:eastAsiaTheme="minorEastAsia"/>
      <w:sz w:val="24"/>
      <w:szCs w:val="21"/>
    </w:rPr>
  </w:style>
  <w:style w:type="paragraph" w:customStyle="1" w:styleId="Default">
    <w:name w:val="Default"/>
    <w:rsid w:val="000729AF"/>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9025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5C2"/>
  </w:style>
  <w:style w:type="paragraph" w:styleId="Footer">
    <w:name w:val="footer"/>
    <w:basedOn w:val="Normal"/>
    <w:link w:val="FooterChar"/>
    <w:uiPriority w:val="99"/>
    <w:unhideWhenUsed/>
    <w:rsid w:val="009025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5C2"/>
  </w:style>
  <w:style w:type="paragraph" w:styleId="BalloonText">
    <w:name w:val="Balloon Text"/>
    <w:basedOn w:val="Normal"/>
    <w:link w:val="BalloonTextChar"/>
    <w:uiPriority w:val="99"/>
    <w:semiHidden/>
    <w:unhideWhenUsed/>
    <w:rsid w:val="009B39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987"/>
    <w:rPr>
      <w:rFonts w:ascii="Segoe UI" w:hAnsi="Segoe UI" w:cs="Segoe UI"/>
      <w:sz w:val="18"/>
      <w:szCs w:val="18"/>
    </w:rPr>
  </w:style>
  <w:style w:type="character" w:styleId="CommentReference">
    <w:name w:val="annotation reference"/>
    <w:basedOn w:val="DefaultParagraphFont"/>
    <w:uiPriority w:val="99"/>
    <w:semiHidden/>
    <w:unhideWhenUsed/>
    <w:rsid w:val="009B3987"/>
    <w:rPr>
      <w:sz w:val="16"/>
      <w:szCs w:val="16"/>
    </w:rPr>
  </w:style>
  <w:style w:type="paragraph" w:styleId="CommentText">
    <w:name w:val="annotation text"/>
    <w:basedOn w:val="Normal"/>
    <w:link w:val="CommentTextChar"/>
    <w:uiPriority w:val="99"/>
    <w:semiHidden/>
    <w:unhideWhenUsed/>
    <w:rsid w:val="009B3987"/>
    <w:pPr>
      <w:spacing w:line="240" w:lineRule="auto"/>
    </w:pPr>
    <w:rPr>
      <w:sz w:val="20"/>
      <w:szCs w:val="20"/>
    </w:rPr>
  </w:style>
  <w:style w:type="character" w:customStyle="1" w:styleId="CommentTextChar">
    <w:name w:val="Comment Text Char"/>
    <w:basedOn w:val="DefaultParagraphFont"/>
    <w:link w:val="CommentText"/>
    <w:uiPriority w:val="99"/>
    <w:semiHidden/>
    <w:rsid w:val="009B3987"/>
    <w:rPr>
      <w:sz w:val="20"/>
      <w:szCs w:val="20"/>
    </w:rPr>
  </w:style>
  <w:style w:type="paragraph" w:styleId="CommentSubject">
    <w:name w:val="annotation subject"/>
    <w:basedOn w:val="CommentText"/>
    <w:next w:val="CommentText"/>
    <w:link w:val="CommentSubjectChar"/>
    <w:uiPriority w:val="99"/>
    <w:semiHidden/>
    <w:unhideWhenUsed/>
    <w:rsid w:val="009B3987"/>
    <w:rPr>
      <w:b/>
      <w:bCs/>
    </w:rPr>
  </w:style>
  <w:style w:type="character" w:customStyle="1" w:styleId="CommentSubjectChar">
    <w:name w:val="Comment Subject Char"/>
    <w:basedOn w:val="CommentTextChar"/>
    <w:link w:val="CommentSubject"/>
    <w:uiPriority w:val="99"/>
    <w:semiHidden/>
    <w:rsid w:val="009B3987"/>
    <w:rPr>
      <w:b/>
      <w:bCs/>
      <w:sz w:val="20"/>
      <w:szCs w:val="20"/>
    </w:rPr>
  </w:style>
  <w:style w:type="paragraph" w:styleId="FootnoteText">
    <w:name w:val="footnote text"/>
    <w:basedOn w:val="Normal"/>
    <w:link w:val="FootnoteTextChar"/>
    <w:uiPriority w:val="99"/>
    <w:semiHidden/>
    <w:unhideWhenUsed/>
    <w:rsid w:val="009B398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B3987"/>
    <w:rPr>
      <w:sz w:val="20"/>
      <w:szCs w:val="20"/>
    </w:rPr>
  </w:style>
  <w:style w:type="character" w:styleId="FootnoteReference">
    <w:name w:val="footnote reference"/>
    <w:basedOn w:val="DefaultParagraphFont"/>
    <w:uiPriority w:val="99"/>
    <w:semiHidden/>
    <w:unhideWhenUsed/>
    <w:rsid w:val="009B3987"/>
    <w:rPr>
      <w:vertAlign w:val="superscript"/>
    </w:rPr>
  </w:style>
  <w:style w:type="character" w:customStyle="1" w:styleId="UnresolvedMention1">
    <w:name w:val="Unresolved Mention1"/>
    <w:basedOn w:val="DefaultParagraphFont"/>
    <w:uiPriority w:val="99"/>
    <w:semiHidden/>
    <w:unhideWhenUsed/>
    <w:rsid w:val="009B3987"/>
    <w:rPr>
      <w:color w:val="605E5C"/>
      <w:shd w:val="clear" w:color="auto" w:fill="E1DFDD"/>
    </w:rPr>
  </w:style>
  <w:style w:type="character" w:styleId="PlaceholderText">
    <w:name w:val="Placeholder Text"/>
    <w:basedOn w:val="DefaultParagraphFont"/>
    <w:uiPriority w:val="99"/>
    <w:semiHidden/>
    <w:rsid w:val="009B3987"/>
    <w:rPr>
      <w:color w:val="808080"/>
    </w:rPr>
  </w:style>
  <w:style w:type="paragraph" w:customStyle="1" w:styleId="textbox">
    <w:name w:val="textbox"/>
    <w:basedOn w:val="Normal"/>
    <w:rsid w:val="009B398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uthors">
    <w:name w:val="authors"/>
    <w:basedOn w:val="DefaultParagraphFont"/>
    <w:rsid w:val="009B3987"/>
  </w:style>
  <w:style w:type="character" w:customStyle="1" w:styleId="Date1">
    <w:name w:val="Date1"/>
    <w:basedOn w:val="DefaultParagraphFont"/>
    <w:rsid w:val="009B3987"/>
  </w:style>
  <w:style w:type="paragraph" w:styleId="Revision">
    <w:name w:val="Revision"/>
    <w:hidden/>
    <w:uiPriority w:val="99"/>
    <w:semiHidden/>
    <w:rsid w:val="009B3987"/>
    <w:pPr>
      <w:spacing w:after="0" w:line="240" w:lineRule="auto"/>
    </w:pPr>
  </w:style>
  <w:style w:type="character" w:customStyle="1" w:styleId="Heading1Char">
    <w:name w:val="Heading 1 Char"/>
    <w:basedOn w:val="DefaultParagraphFont"/>
    <w:link w:val="Heading1"/>
    <w:uiPriority w:val="9"/>
    <w:rsid w:val="00141B6D"/>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141B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577A69"/>
    <w:rPr>
      <w:i/>
      <w:iCs/>
    </w:rPr>
  </w:style>
  <w:style w:type="character" w:customStyle="1" w:styleId="ref-journal">
    <w:name w:val="ref-journal"/>
    <w:basedOn w:val="DefaultParagraphFont"/>
    <w:rsid w:val="00577A69"/>
  </w:style>
  <w:style w:type="character" w:customStyle="1" w:styleId="ref-vol">
    <w:name w:val="ref-vol"/>
    <w:basedOn w:val="DefaultParagraphFont"/>
    <w:rsid w:val="00577A69"/>
  </w:style>
  <w:style w:type="character" w:customStyle="1" w:styleId="highwire-citation-authors">
    <w:name w:val="highwire-citation-authors"/>
    <w:basedOn w:val="DefaultParagraphFont"/>
    <w:rsid w:val="00577A69"/>
  </w:style>
  <w:style w:type="character" w:customStyle="1" w:styleId="highwire-citation-author">
    <w:name w:val="highwire-citation-author"/>
    <w:basedOn w:val="DefaultParagraphFont"/>
    <w:rsid w:val="00577A69"/>
  </w:style>
  <w:style w:type="character" w:customStyle="1" w:styleId="nlm-surname">
    <w:name w:val="nlm-surname"/>
    <w:basedOn w:val="DefaultParagraphFont"/>
    <w:rsid w:val="00577A69"/>
  </w:style>
  <w:style w:type="character" w:customStyle="1" w:styleId="highwire-cite-metadata-journal">
    <w:name w:val="highwire-cite-metadata-journal"/>
    <w:basedOn w:val="DefaultParagraphFont"/>
    <w:rsid w:val="00577A69"/>
  </w:style>
  <w:style w:type="character" w:customStyle="1" w:styleId="highwire-cite-metadata-year">
    <w:name w:val="highwire-cite-metadata-year"/>
    <w:basedOn w:val="DefaultParagraphFont"/>
    <w:rsid w:val="00577A69"/>
  </w:style>
  <w:style w:type="character" w:customStyle="1" w:styleId="highwire-cite-metadata-volume">
    <w:name w:val="highwire-cite-metadata-volume"/>
    <w:basedOn w:val="DefaultParagraphFont"/>
    <w:rsid w:val="00577A69"/>
  </w:style>
  <w:style w:type="character" w:customStyle="1" w:styleId="highwire-cite-metadata-elocation-id">
    <w:name w:val="highwire-cite-metadata-elocation-id"/>
    <w:basedOn w:val="DefaultParagraphFont"/>
    <w:rsid w:val="00577A69"/>
  </w:style>
  <w:style w:type="character" w:customStyle="1" w:styleId="highwire-cite-metadata-doi">
    <w:name w:val="highwire-cite-metadata-doi"/>
    <w:basedOn w:val="DefaultParagraphFont"/>
    <w:rsid w:val="00577A69"/>
  </w:style>
  <w:style w:type="character" w:customStyle="1" w:styleId="label">
    <w:name w:val="label"/>
    <w:basedOn w:val="DefaultParagraphFont"/>
    <w:rsid w:val="00577A69"/>
  </w:style>
  <w:style w:type="character" w:customStyle="1" w:styleId="Heading2Char">
    <w:name w:val="Heading 2 Char"/>
    <w:basedOn w:val="DefaultParagraphFont"/>
    <w:link w:val="Heading2"/>
    <w:uiPriority w:val="9"/>
    <w:rsid w:val="00803256"/>
    <w:rPr>
      <w:rFonts w:asciiTheme="majorHAnsi" w:eastAsiaTheme="majorEastAsia" w:hAnsiTheme="majorHAnsi" w:cstheme="majorBidi"/>
      <w:color w:val="2F5496" w:themeColor="accent1" w:themeShade="BF"/>
      <w:sz w:val="26"/>
      <w:szCs w:val="26"/>
    </w:rPr>
  </w:style>
  <w:style w:type="character" w:customStyle="1" w:styleId="ListParagraphChar">
    <w:name w:val="List Paragraph Char"/>
    <w:aliases w:val="NumberedList Char,Colorful List - Accent 11 Char,Dot pt Char,No Spacing1 Char,List Paragraph Char Char Char Char,Indicator Text Char,Numbered Para 1 Char,Bullet 1 Char,List Paragraph1 Char,F5 List Paragraph Char,Bullet Points Char"/>
    <w:link w:val="ListParagraph"/>
    <w:uiPriority w:val="34"/>
    <w:qFormat/>
    <w:locked/>
    <w:rsid w:val="000A5A11"/>
  </w:style>
  <w:style w:type="character" w:customStyle="1" w:styleId="highwire-cite-authors">
    <w:name w:val="highwire-cite-authors"/>
    <w:basedOn w:val="DefaultParagraphFont"/>
    <w:rsid w:val="005E2E61"/>
  </w:style>
  <w:style w:type="character" w:customStyle="1" w:styleId="nlm-given-names">
    <w:name w:val="nlm-given-names"/>
    <w:basedOn w:val="DefaultParagraphFont"/>
    <w:rsid w:val="005E2E61"/>
  </w:style>
  <w:style w:type="character" w:customStyle="1" w:styleId="highwire-cite-title">
    <w:name w:val="highwire-cite-title"/>
    <w:basedOn w:val="DefaultParagraphFont"/>
    <w:rsid w:val="005E2E61"/>
  </w:style>
  <w:style w:type="character" w:customStyle="1" w:styleId="highwire-cite-metadata-date">
    <w:name w:val="highwire-cite-metadata-date"/>
    <w:basedOn w:val="DefaultParagraphFont"/>
    <w:rsid w:val="005E2E61"/>
  </w:style>
  <w:style w:type="character" w:styleId="Strong">
    <w:name w:val="Strong"/>
    <w:basedOn w:val="DefaultParagraphFont"/>
    <w:uiPriority w:val="22"/>
    <w:qFormat/>
    <w:rsid w:val="005E2E61"/>
    <w:rPr>
      <w:b/>
      <w:bCs/>
    </w:rPr>
  </w:style>
  <w:style w:type="character" w:customStyle="1" w:styleId="Date2">
    <w:name w:val="Date2"/>
    <w:basedOn w:val="DefaultParagraphFont"/>
    <w:rsid w:val="005E2E61"/>
  </w:style>
  <w:style w:type="character" w:customStyle="1" w:styleId="article-headerdoi1">
    <w:name w:val="article-header__doi1"/>
    <w:basedOn w:val="DefaultParagraphFont"/>
    <w:rsid w:val="007F32A3"/>
  </w:style>
  <w:style w:type="character" w:customStyle="1" w:styleId="Date3">
    <w:name w:val="Date3"/>
    <w:basedOn w:val="DefaultParagraphFont"/>
    <w:rsid w:val="007F32A3"/>
  </w:style>
  <w:style w:type="character" w:styleId="FollowedHyperlink">
    <w:name w:val="FollowedHyperlink"/>
    <w:basedOn w:val="DefaultParagraphFont"/>
    <w:uiPriority w:val="99"/>
    <w:semiHidden/>
    <w:unhideWhenUsed/>
    <w:rsid w:val="00807CDE"/>
    <w:rPr>
      <w:color w:val="954F72" w:themeColor="followedHyperlink"/>
      <w:u w:val="single"/>
    </w:rPr>
  </w:style>
  <w:style w:type="paragraph" w:customStyle="1" w:styleId="Heading1UCL">
    <w:name w:val="Heading 1 UCL"/>
    <w:basedOn w:val="Heading1"/>
    <w:qFormat/>
    <w:rsid w:val="00221FC2"/>
    <w:pPr>
      <w:spacing w:before="0" w:line="240" w:lineRule="auto"/>
      <w:jc w:val="both"/>
    </w:pPr>
    <w:rPr>
      <w:rFonts w:ascii="Times New Roman" w:hAnsi="Times New Roman"/>
      <w:b/>
      <w:color w:val="auto"/>
      <w:sz w:val="40"/>
    </w:rPr>
  </w:style>
  <w:style w:type="paragraph" w:styleId="TOCHeading">
    <w:name w:val="TOC Heading"/>
    <w:basedOn w:val="Heading1"/>
    <w:next w:val="Normal"/>
    <w:uiPriority w:val="39"/>
    <w:unhideWhenUsed/>
    <w:qFormat/>
    <w:rsid w:val="005540D1"/>
    <w:pPr>
      <w:spacing w:line="259" w:lineRule="auto"/>
      <w:outlineLvl w:val="9"/>
    </w:pPr>
    <w:rPr>
      <w:rFonts w:ascii="Times New Roman" w:hAnsi="Times New Roman"/>
      <w:b/>
      <w:color w:val="000000" w:themeColor="text1"/>
      <w:sz w:val="40"/>
      <w:lang w:val="en-US"/>
    </w:rPr>
  </w:style>
  <w:style w:type="paragraph" w:styleId="TOC1">
    <w:name w:val="toc 1"/>
    <w:basedOn w:val="Normal"/>
    <w:next w:val="Normal"/>
    <w:autoRedefine/>
    <w:uiPriority w:val="39"/>
    <w:unhideWhenUsed/>
    <w:rsid w:val="0040181E"/>
    <w:pPr>
      <w:tabs>
        <w:tab w:val="right" w:leader="dot" w:pos="9016"/>
      </w:tabs>
      <w:spacing w:after="100"/>
    </w:pPr>
    <w:rPr>
      <w:rFonts w:ascii="Times New Roman" w:hAnsi="Times New Roman" w:cs="Times New Roman"/>
      <w:noProof/>
      <w:sz w:val="24"/>
      <w:szCs w:val="24"/>
    </w:rPr>
  </w:style>
  <w:style w:type="paragraph" w:styleId="TOC2">
    <w:name w:val="toc 2"/>
    <w:basedOn w:val="Normal"/>
    <w:next w:val="Normal"/>
    <w:autoRedefine/>
    <w:uiPriority w:val="39"/>
    <w:unhideWhenUsed/>
    <w:rsid w:val="00AF59B8"/>
    <w:pPr>
      <w:spacing w:after="100"/>
      <w:ind w:left="220"/>
    </w:pPr>
  </w:style>
  <w:style w:type="character" w:customStyle="1" w:styleId="hlfld-contribauthor">
    <w:name w:val="hlfld-contribauthor"/>
    <w:basedOn w:val="DefaultParagraphFont"/>
    <w:rsid w:val="000979DE"/>
  </w:style>
  <w:style w:type="character" w:customStyle="1" w:styleId="nlmgiven-names">
    <w:name w:val="nlm_given-names"/>
    <w:basedOn w:val="DefaultParagraphFont"/>
    <w:rsid w:val="000979DE"/>
  </w:style>
  <w:style w:type="character" w:customStyle="1" w:styleId="nlmyear">
    <w:name w:val="nlm_year"/>
    <w:basedOn w:val="DefaultParagraphFont"/>
    <w:rsid w:val="000979DE"/>
  </w:style>
  <w:style w:type="character" w:customStyle="1" w:styleId="nlmarticle-title">
    <w:name w:val="nlm_article-title"/>
    <w:basedOn w:val="DefaultParagraphFont"/>
    <w:rsid w:val="000979DE"/>
  </w:style>
  <w:style w:type="character" w:customStyle="1" w:styleId="nlmpublisher-loc">
    <w:name w:val="nlm_publisher-loc"/>
    <w:basedOn w:val="DefaultParagraphFont"/>
    <w:rsid w:val="000979DE"/>
  </w:style>
  <w:style w:type="character" w:customStyle="1" w:styleId="nlmpublisher-name">
    <w:name w:val="nlm_publisher-name"/>
    <w:basedOn w:val="DefaultParagraphFont"/>
    <w:rsid w:val="000979DE"/>
  </w:style>
  <w:style w:type="character" w:customStyle="1" w:styleId="nlmdate-in-citation">
    <w:name w:val="nlm_date-in-citation"/>
    <w:basedOn w:val="DefaultParagraphFont"/>
    <w:rsid w:val="000979DE"/>
  </w:style>
  <w:style w:type="character" w:customStyle="1" w:styleId="nlmday">
    <w:name w:val="nlm_day"/>
    <w:basedOn w:val="DefaultParagraphFont"/>
    <w:rsid w:val="000979DE"/>
  </w:style>
  <w:style w:type="character" w:customStyle="1" w:styleId="nlmmonth">
    <w:name w:val="nlm_month"/>
    <w:basedOn w:val="DefaultParagraphFont"/>
    <w:rsid w:val="000979DE"/>
  </w:style>
  <w:style w:type="character" w:customStyle="1" w:styleId="googlescholar-container">
    <w:name w:val="googlescholar-container"/>
    <w:basedOn w:val="DefaultParagraphFont"/>
    <w:rsid w:val="000979DE"/>
  </w:style>
  <w:style w:type="character" w:customStyle="1" w:styleId="nlmfpage">
    <w:name w:val="nlm_fpage"/>
    <w:basedOn w:val="DefaultParagraphFont"/>
    <w:rsid w:val="00531DCB"/>
  </w:style>
  <w:style w:type="character" w:customStyle="1" w:styleId="nlmlpage">
    <w:name w:val="nlm_lpage"/>
    <w:basedOn w:val="DefaultParagraphFont"/>
    <w:rsid w:val="00531D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21173">
      <w:bodyDiv w:val="1"/>
      <w:marLeft w:val="0"/>
      <w:marRight w:val="0"/>
      <w:marTop w:val="0"/>
      <w:marBottom w:val="0"/>
      <w:divBdr>
        <w:top w:val="none" w:sz="0" w:space="0" w:color="auto"/>
        <w:left w:val="none" w:sz="0" w:space="0" w:color="auto"/>
        <w:bottom w:val="none" w:sz="0" w:space="0" w:color="auto"/>
        <w:right w:val="none" w:sz="0" w:space="0" w:color="auto"/>
      </w:divBdr>
    </w:div>
    <w:div w:id="66726975">
      <w:bodyDiv w:val="1"/>
      <w:marLeft w:val="0"/>
      <w:marRight w:val="0"/>
      <w:marTop w:val="0"/>
      <w:marBottom w:val="0"/>
      <w:divBdr>
        <w:top w:val="none" w:sz="0" w:space="0" w:color="auto"/>
        <w:left w:val="none" w:sz="0" w:space="0" w:color="auto"/>
        <w:bottom w:val="none" w:sz="0" w:space="0" w:color="auto"/>
        <w:right w:val="none" w:sz="0" w:space="0" w:color="auto"/>
      </w:divBdr>
    </w:div>
    <w:div w:id="69624862">
      <w:bodyDiv w:val="1"/>
      <w:marLeft w:val="0"/>
      <w:marRight w:val="0"/>
      <w:marTop w:val="0"/>
      <w:marBottom w:val="0"/>
      <w:divBdr>
        <w:top w:val="none" w:sz="0" w:space="0" w:color="auto"/>
        <w:left w:val="none" w:sz="0" w:space="0" w:color="auto"/>
        <w:bottom w:val="none" w:sz="0" w:space="0" w:color="auto"/>
        <w:right w:val="none" w:sz="0" w:space="0" w:color="auto"/>
      </w:divBdr>
    </w:div>
    <w:div w:id="77332810">
      <w:bodyDiv w:val="1"/>
      <w:marLeft w:val="0"/>
      <w:marRight w:val="0"/>
      <w:marTop w:val="0"/>
      <w:marBottom w:val="0"/>
      <w:divBdr>
        <w:top w:val="none" w:sz="0" w:space="0" w:color="auto"/>
        <w:left w:val="none" w:sz="0" w:space="0" w:color="auto"/>
        <w:bottom w:val="none" w:sz="0" w:space="0" w:color="auto"/>
        <w:right w:val="none" w:sz="0" w:space="0" w:color="auto"/>
      </w:divBdr>
    </w:div>
    <w:div w:id="202905830">
      <w:bodyDiv w:val="1"/>
      <w:marLeft w:val="0"/>
      <w:marRight w:val="0"/>
      <w:marTop w:val="0"/>
      <w:marBottom w:val="0"/>
      <w:divBdr>
        <w:top w:val="none" w:sz="0" w:space="0" w:color="auto"/>
        <w:left w:val="none" w:sz="0" w:space="0" w:color="auto"/>
        <w:bottom w:val="none" w:sz="0" w:space="0" w:color="auto"/>
        <w:right w:val="none" w:sz="0" w:space="0" w:color="auto"/>
      </w:divBdr>
    </w:div>
    <w:div w:id="234171573">
      <w:bodyDiv w:val="1"/>
      <w:marLeft w:val="0"/>
      <w:marRight w:val="0"/>
      <w:marTop w:val="0"/>
      <w:marBottom w:val="0"/>
      <w:divBdr>
        <w:top w:val="none" w:sz="0" w:space="0" w:color="auto"/>
        <w:left w:val="none" w:sz="0" w:space="0" w:color="auto"/>
        <w:bottom w:val="none" w:sz="0" w:space="0" w:color="auto"/>
        <w:right w:val="none" w:sz="0" w:space="0" w:color="auto"/>
      </w:divBdr>
    </w:div>
    <w:div w:id="261574450">
      <w:bodyDiv w:val="1"/>
      <w:marLeft w:val="0"/>
      <w:marRight w:val="0"/>
      <w:marTop w:val="0"/>
      <w:marBottom w:val="0"/>
      <w:divBdr>
        <w:top w:val="none" w:sz="0" w:space="0" w:color="auto"/>
        <w:left w:val="none" w:sz="0" w:space="0" w:color="auto"/>
        <w:bottom w:val="none" w:sz="0" w:space="0" w:color="auto"/>
        <w:right w:val="none" w:sz="0" w:space="0" w:color="auto"/>
      </w:divBdr>
    </w:div>
    <w:div w:id="319621961">
      <w:bodyDiv w:val="1"/>
      <w:marLeft w:val="0"/>
      <w:marRight w:val="0"/>
      <w:marTop w:val="0"/>
      <w:marBottom w:val="0"/>
      <w:divBdr>
        <w:top w:val="none" w:sz="0" w:space="0" w:color="auto"/>
        <w:left w:val="none" w:sz="0" w:space="0" w:color="auto"/>
        <w:bottom w:val="none" w:sz="0" w:space="0" w:color="auto"/>
        <w:right w:val="none" w:sz="0" w:space="0" w:color="auto"/>
      </w:divBdr>
    </w:div>
    <w:div w:id="342981212">
      <w:bodyDiv w:val="1"/>
      <w:marLeft w:val="0"/>
      <w:marRight w:val="0"/>
      <w:marTop w:val="0"/>
      <w:marBottom w:val="0"/>
      <w:divBdr>
        <w:top w:val="none" w:sz="0" w:space="0" w:color="auto"/>
        <w:left w:val="none" w:sz="0" w:space="0" w:color="auto"/>
        <w:bottom w:val="none" w:sz="0" w:space="0" w:color="auto"/>
        <w:right w:val="none" w:sz="0" w:space="0" w:color="auto"/>
      </w:divBdr>
    </w:div>
    <w:div w:id="396589339">
      <w:bodyDiv w:val="1"/>
      <w:marLeft w:val="0"/>
      <w:marRight w:val="0"/>
      <w:marTop w:val="0"/>
      <w:marBottom w:val="0"/>
      <w:divBdr>
        <w:top w:val="none" w:sz="0" w:space="0" w:color="auto"/>
        <w:left w:val="none" w:sz="0" w:space="0" w:color="auto"/>
        <w:bottom w:val="none" w:sz="0" w:space="0" w:color="auto"/>
        <w:right w:val="none" w:sz="0" w:space="0" w:color="auto"/>
      </w:divBdr>
    </w:div>
    <w:div w:id="436486345">
      <w:bodyDiv w:val="1"/>
      <w:marLeft w:val="0"/>
      <w:marRight w:val="0"/>
      <w:marTop w:val="0"/>
      <w:marBottom w:val="0"/>
      <w:divBdr>
        <w:top w:val="none" w:sz="0" w:space="0" w:color="auto"/>
        <w:left w:val="none" w:sz="0" w:space="0" w:color="auto"/>
        <w:bottom w:val="none" w:sz="0" w:space="0" w:color="auto"/>
        <w:right w:val="none" w:sz="0" w:space="0" w:color="auto"/>
      </w:divBdr>
    </w:div>
    <w:div w:id="628046552">
      <w:bodyDiv w:val="1"/>
      <w:marLeft w:val="0"/>
      <w:marRight w:val="0"/>
      <w:marTop w:val="0"/>
      <w:marBottom w:val="0"/>
      <w:divBdr>
        <w:top w:val="none" w:sz="0" w:space="0" w:color="auto"/>
        <w:left w:val="none" w:sz="0" w:space="0" w:color="auto"/>
        <w:bottom w:val="none" w:sz="0" w:space="0" w:color="auto"/>
        <w:right w:val="none" w:sz="0" w:space="0" w:color="auto"/>
      </w:divBdr>
    </w:div>
    <w:div w:id="828407605">
      <w:bodyDiv w:val="1"/>
      <w:marLeft w:val="0"/>
      <w:marRight w:val="0"/>
      <w:marTop w:val="0"/>
      <w:marBottom w:val="0"/>
      <w:divBdr>
        <w:top w:val="none" w:sz="0" w:space="0" w:color="auto"/>
        <w:left w:val="none" w:sz="0" w:space="0" w:color="auto"/>
        <w:bottom w:val="none" w:sz="0" w:space="0" w:color="auto"/>
        <w:right w:val="none" w:sz="0" w:space="0" w:color="auto"/>
      </w:divBdr>
    </w:div>
    <w:div w:id="1109274539">
      <w:bodyDiv w:val="1"/>
      <w:marLeft w:val="0"/>
      <w:marRight w:val="0"/>
      <w:marTop w:val="0"/>
      <w:marBottom w:val="0"/>
      <w:divBdr>
        <w:top w:val="none" w:sz="0" w:space="0" w:color="auto"/>
        <w:left w:val="none" w:sz="0" w:space="0" w:color="auto"/>
        <w:bottom w:val="none" w:sz="0" w:space="0" w:color="auto"/>
        <w:right w:val="none" w:sz="0" w:space="0" w:color="auto"/>
      </w:divBdr>
    </w:div>
    <w:div w:id="1253050249">
      <w:bodyDiv w:val="1"/>
      <w:marLeft w:val="0"/>
      <w:marRight w:val="0"/>
      <w:marTop w:val="0"/>
      <w:marBottom w:val="0"/>
      <w:divBdr>
        <w:top w:val="none" w:sz="0" w:space="0" w:color="auto"/>
        <w:left w:val="none" w:sz="0" w:space="0" w:color="auto"/>
        <w:bottom w:val="none" w:sz="0" w:space="0" w:color="auto"/>
        <w:right w:val="none" w:sz="0" w:space="0" w:color="auto"/>
      </w:divBdr>
    </w:div>
    <w:div w:id="1366760301">
      <w:bodyDiv w:val="1"/>
      <w:marLeft w:val="0"/>
      <w:marRight w:val="0"/>
      <w:marTop w:val="0"/>
      <w:marBottom w:val="0"/>
      <w:divBdr>
        <w:top w:val="none" w:sz="0" w:space="0" w:color="auto"/>
        <w:left w:val="none" w:sz="0" w:space="0" w:color="auto"/>
        <w:bottom w:val="none" w:sz="0" w:space="0" w:color="auto"/>
        <w:right w:val="none" w:sz="0" w:space="0" w:color="auto"/>
      </w:divBdr>
    </w:div>
    <w:div w:id="1372607480">
      <w:bodyDiv w:val="1"/>
      <w:marLeft w:val="0"/>
      <w:marRight w:val="0"/>
      <w:marTop w:val="0"/>
      <w:marBottom w:val="0"/>
      <w:divBdr>
        <w:top w:val="none" w:sz="0" w:space="0" w:color="auto"/>
        <w:left w:val="none" w:sz="0" w:space="0" w:color="auto"/>
        <w:bottom w:val="none" w:sz="0" w:space="0" w:color="auto"/>
        <w:right w:val="none" w:sz="0" w:space="0" w:color="auto"/>
      </w:divBdr>
    </w:div>
    <w:div w:id="1415664907">
      <w:bodyDiv w:val="1"/>
      <w:marLeft w:val="0"/>
      <w:marRight w:val="0"/>
      <w:marTop w:val="0"/>
      <w:marBottom w:val="0"/>
      <w:divBdr>
        <w:top w:val="none" w:sz="0" w:space="0" w:color="auto"/>
        <w:left w:val="none" w:sz="0" w:space="0" w:color="auto"/>
        <w:bottom w:val="none" w:sz="0" w:space="0" w:color="auto"/>
        <w:right w:val="none" w:sz="0" w:space="0" w:color="auto"/>
      </w:divBdr>
    </w:div>
    <w:div w:id="1539245110">
      <w:bodyDiv w:val="1"/>
      <w:marLeft w:val="0"/>
      <w:marRight w:val="0"/>
      <w:marTop w:val="0"/>
      <w:marBottom w:val="0"/>
      <w:divBdr>
        <w:top w:val="none" w:sz="0" w:space="0" w:color="auto"/>
        <w:left w:val="none" w:sz="0" w:space="0" w:color="auto"/>
        <w:bottom w:val="none" w:sz="0" w:space="0" w:color="auto"/>
        <w:right w:val="none" w:sz="0" w:space="0" w:color="auto"/>
      </w:divBdr>
    </w:div>
    <w:div w:id="1638946122">
      <w:bodyDiv w:val="1"/>
      <w:marLeft w:val="0"/>
      <w:marRight w:val="0"/>
      <w:marTop w:val="0"/>
      <w:marBottom w:val="0"/>
      <w:divBdr>
        <w:top w:val="none" w:sz="0" w:space="0" w:color="auto"/>
        <w:left w:val="none" w:sz="0" w:space="0" w:color="auto"/>
        <w:bottom w:val="none" w:sz="0" w:space="0" w:color="auto"/>
        <w:right w:val="none" w:sz="0" w:space="0" w:color="auto"/>
      </w:divBdr>
    </w:div>
    <w:div w:id="1644388634">
      <w:bodyDiv w:val="1"/>
      <w:marLeft w:val="0"/>
      <w:marRight w:val="0"/>
      <w:marTop w:val="0"/>
      <w:marBottom w:val="0"/>
      <w:divBdr>
        <w:top w:val="none" w:sz="0" w:space="0" w:color="auto"/>
        <w:left w:val="none" w:sz="0" w:space="0" w:color="auto"/>
        <w:bottom w:val="none" w:sz="0" w:space="0" w:color="auto"/>
        <w:right w:val="none" w:sz="0" w:space="0" w:color="auto"/>
      </w:divBdr>
    </w:div>
    <w:div w:id="1722513177">
      <w:bodyDiv w:val="1"/>
      <w:marLeft w:val="0"/>
      <w:marRight w:val="0"/>
      <w:marTop w:val="0"/>
      <w:marBottom w:val="0"/>
      <w:divBdr>
        <w:top w:val="none" w:sz="0" w:space="0" w:color="auto"/>
        <w:left w:val="none" w:sz="0" w:space="0" w:color="auto"/>
        <w:bottom w:val="none" w:sz="0" w:space="0" w:color="auto"/>
        <w:right w:val="none" w:sz="0" w:space="0" w:color="auto"/>
      </w:divBdr>
    </w:div>
    <w:div w:id="1748767462">
      <w:bodyDiv w:val="1"/>
      <w:marLeft w:val="0"/>
      <w:marRight w:val="0"/>
      <w:marTop w:val="0"/>
      <w:marBottom w:val="0"/>
      <w:divBdr>
        <w:top w:val="none" w:sz="0" w:space="0" w:color="auto"/>
        <w:left w:val="none" w:sz="0" w:space="0" w:color="auto"/>
        <w:bottom w:val="none" w:sz="0" w:space="0" w:color="auto"/>
        <w:right w:val="none" w:sz="0" w:space="0" w:color="auto"/>
      </w:divBdr>
    </w:div>
    <w:div w:id="1895923009">
      <w:bodyDiv w:val="1"/>
      <w:marLeft w:val="0"/>
      <w:marRight w:val="0"/>
      <w:marTop w:val="0"/>
      <w:marBottom w:val="0"/>
      <w:divBdr>
        <w:top w:val="none" w:sz="0" w:space="0" w:color="auto"/>
        <w:left w:val="none" w:sz="0" w:space="0" w:color="auto"/>
        <w:bottom w:val="none" w:sz="0" w:space="0" w:color="auto"/>
        <w:right w:val="none" w:sz="0" w:space="0" w:color="auto"/>
      </w:divBdr>
    </w:div>
    <w:div w:id="2045403457">
      <w:bodyDiv w:val="1"/>
      <w:marLeft w:val="0"/>
      <w:marRight w:val="0"/>
      <w:marTop w:val="0"/>
      <w:marBottom w:val="0"/>
      <w:divBdr>
        <w:top w:val="none" w:sz="0" w:space="0" w:color="auto"/>
        <w:left w:val="none" w:sz="0" w:space="0" w:color="auto"/>
        <w:bottom w:val="none" w:sz="0" w:space="0" w:color="auto"/>
        <w:right w:val="none" w:sz="0" w:space="0" w:color="auto"/>
      </w:divBdr>
    </w:div>
    <w:div w:id="208964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emf"/><Relationship Id="rId21" Type="http://schemas.openxmlformats.org/officeDocument/2006/relationships/image" Target="media/image10.emf"/><Relationship Id="rId42" Type="http://schemas.openxmlformats.org/officeDocument/2006/relationships/chart" Target="charts/chart9.xml"/><Relationship Id="rId47" Type="http://schemas.openxmlformats.org/officeDocument/2006/relationships/chart" Target="charts/chart14.xml"/><Relationship Id="rId63" Type="http://schemas.openxmlformats.org/officeDocument/2006/relationships/image" Target="media/image35.png"/><Relationship Id="rId68" Type="http://schemas.openxmlformats.org/officeDocument/2006/relationships/chart" Target="charts/chart19.xml"/><Relationship Id="rId84" Type="http://schemas.openxmlformats.org/officeDocument/2006/relationships/hyperlink" Target="https://www.gov.uk/government/news/extra-mental-health-support-for-pupils-and-teachers" TargetMode="External"/><Relationship Id="rId89" Type="http://schemas.openxmlformats.org/officeDocument/2006/relationships/hyperlink" Target="https://dera.ioe.ac.uk/14919/1/towards-a-self-improving-system-school-accountability-thinkpiece%5B1%5D.pdf" TargetMode="External"/><Relationship Id="rId16" Type="http://schemas.openxmlformats.org/officeDocument/2006/relationships/footer" Target="footer1.xml"/><Relationship Id="rId107" Type="http://schemas.openxmlformats.org/officeDocument/2006/relationships/hyperlink" Target="https://warwick.ac.uk/fac/sci/med/research/platform/wemwbs/using/faq/" TargetMode="External"/><Relationship Id="rId11" Type="http://schemas.openxmlformats.org/officeDocument/2006/relationships/image" Target="media/image4.png"/><Relationship Id="rId32" Type="http://schemas.openxmlformats.org/officeDocument/2006/relationships/image" Target="media/image20.emf"/><Relationship Id="rId37" Type="http://schemas.openxmlformats.org/officeDocument/2006/relationships/chart" Target="charts/chart4.xml"/><Relationship Id="rId53" Type="http://schemas.openxmlformats.org/officeDocument/2006/relationships/image" Target="media/image25.emf"/><Relationship Id="rId58" Type="http://schemas.openxmlformats.org/officeDocument/2006/relationships/image" Target="media/image30.png"/><Relationship Id="rId74" Type="http://schemas.openxmlformats.org/officeDocument/2006/relationships/hyperlink" Target="https://doi.org/10.1080/09645292.2019.1623178" TargetMode="External"/><Relationship Id="rId79" Type="http://schemas.openxmlformats.org/officeDocument/2006/relationships/hyperlink" Target="https://assets.publishing.service.gov.uk/government/uploads/system/uploads/attachment_data/file/686947/Factors_affecting_teacher_retention_-_qualitative_investigation.pdf" TargetMode="External"/><Relationship Id="rId102" Type="http://schemas.openxmlformats.org/officeDocument/2006/relationships/hyperlink" Target="https://doi.org/10.1016/S2215-0366(20)30308-4" TargetMode="External"/><Relationship Id="rId5" Type="http://schemas.openxmlformats.org/officeDocument/2006/relationships/webSettings" Target="webSettings.xml"/><Relationship Id="rId90" Type="http://schemas.openxmlformats.org/officeDocument/2006/relationships/hyperlink" Target="http://www.hse.gov.uk/statistics/causdis/stress.pdf" TargetMode="External"/><Relationship Id="rId95" Type="http://schemas.openxmlformats.org/officeDocument/2006/relationships/hyperlink" Target="http://healthsurvey.hscic.gov.uk/media/63763/HSE2016-Adult-wel-bei.pdf" TargetMode="External"/><Relationship Id="rId22" Type="http://schemas.openxmlformats.org/officeDocument/2006/relationships/image" Target="media/image11.emf"/><Relationship Id="rId27" Type="http://schemas.openxmlformats.org/officeDocument/2006/relationships/image" Target="media/image15.emf"/><Relationship Id="rId43" Type="http://schemas.openxmlformats.org/officeDocument/2006/relationships/chart" Target="charts/chart10.xml"/><Relationship Id="rId48" Type="http://schemas.openxmlformats.org/officeDocument/2006/relationships/chart" Target="charts/chart15.xml"/><Relationship Id="rId64" Type="http://schemas.openxmlformats.org/officeDocument/2006/relationships/image" Target="media/image36.png"/><Relationship Id="rId69" Type="http://schemas.openxmlformats.org/officeDocument/2006/relationships/hyperlink" Target="https://schoolsweek.co.uk/new-flagship-study-to-solve-why-teachers-leave/" TargetMode="External"/><Relationship Id="rId113" Type="http://schemas.microsoft.com/office/2016/09/relationships/commentsIds" Target="commentsIds.xml"/><Relationship Id="rId80" Type="http://schemas.openxmlformats.org/officeDocument/2006/relationships/hyperlink" Target="https://doi.org/10.1080/13540602.2017.1360860" TargetMode="External"/><Relationship Id="rId85" Type="http://schemas.openxmlformats.org/officeDocument/2006/relationships/hyperlink" Target="https://educationendowmentfoundation.org.uk/public/files/Presentations/Publications/EEF_Marking_Review_April_2016.pdf" TargetMode="External"/><Relationship Id="rId12" Type="http://schemas.openxmlformats.org/officeDocument/2006/relationships/image" Target="media/image5.jpeg"/><Relationship Id="rId17" Type="http://schemas.openxmlformats.org/officeDocument/2006/relationships/image" Target="media/image6.emf"/><Relationship Id="rId33" Type="http://schemas.openxmlformats.org/officeDocument/2006/relationships/image" Target="media/image21.emf"/><Relationship Id="rId38" Type="http://schemas.openxmlformats.org/officeDocument/2006/relationships/chart" Target="charts/chart5.xml"/><Relationship Id="rId59" Type="http://schemas.openxmlformats.org/officeDocument/2006/relationships/image" Target="media/image31.png"/><Relationship Id="rId103" Type="http://schemas.openxmlformats.org/officeDocument/2006/relationships/hyperlink" Target="https://doi.org/10.1080/15487733.2020.1776561" TargetMode="External"/><Relationship Id="rId108" Type="http://schemas.openxmlformats.org/officeDocument/2006/relationships/hyperlink" Target="https://files.eric.ed.gov/fulltext/ED594396.pdf" TargetMode="External"/><Relationship Id="rId54" Type="http://schemas.openxmlformats.org/officeDocument/2006/relationships/image" Target="media/image26.emf"/><Relationship Id="rId70" Type="http://schemas.openxmlformats.org/officeDocument/2006/relationships/hyperlink" Target="https://www.drinkaware.co.uk/media/1852/drinking-to-cope-jan-2018.pdf" TargetMode="External"/><Relationship Id="rId75" Type="http://schemas.openxmlformats.org/officeDocument/2006/relationships/hyperlink" Target="https://www.independent.co.uk/news/uk/home-news/uk-teachers-mental-health-diagnose-issues-targets-education-school-pupils-exams-a8174101.html" TargetMode="External"/><Relationship Id="rId91" Type="http://schemas.openxmlformats.org/officeDocument/2006/relationships/hyperlink" Target="https://publications.parliament.uk/pa/cm201719/cmselect/cmpubacc/460/460.pdf" TargetMode="External"/><Relationship Id="rId96" Type="http://schemas.openxmlformats.org/officeDocument/2006/relationships/hyperlink" Target="https://www.oecd.org/pisa/pisaproducts/pisainfocus/48910490.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doi.org/10.5255/UKDA-SN-7961-1" TargetMode="External"/><Relationship Id="rId23" Type="http://schemas.openxmlformats.org/officeDocument/2006/relationships/footer" Target="footer2.xml"/><Relationship Id="rId28" Type="http://schemas.openxmlformats.org/officeDocument/2006/relationships/image" Target="media/image16.emf"/><Relationship Id="rId36" Type="http://schemas.openxmlformats.org/officeDocument/2006/relationships/chart" Target="charts/chart3.xml"/><Relationship Id="rId49" Type="http://schemas.openxmlformats.org/officeDocument/2006/relationships/footer" Target="footer3.xml"/><Relationship Id="rId57" Type="http://schemas.openxmlformats.org/officeDocument/2006/relationships/image" Target="media/image29.png"/><Relationship Id="rId106" Type="http://schemas.openxmlformats.org/officeDocument/2006/relationships/hyperlink" Target="https://doi.org/10.1080/00131881.2019.1625716" TargetMode="External"/><Relationship Id="rId114" Type="http://schemas.microsoft.com/office/2018/08/relationships/commentsExtensible" Target="commentsExtensible.xml"/><Relationship Id="rId10" Type="http://schemas.openxmlformats.org/officeDocument/2006/relationships/image" Target="media/image3.png"/><Relationship Id="rId31" Type="http://schemas.openxmlformats.org/officeDocument/2006/relationships/image" Target="media/image19.emf"/><Relationship Id="rId44" Type="http://schemas.openxmlformats.org/officeDocument/2006/relationships/chart" Target="charts/chart11.xml"/><Relationship Id="rId52" Type="http://schemas.openxmlformats.org/officeDocument/2006/relationships/image" Target="media/image24.emf"/><Relationship Id="rId60" Type="http://schemas.openxmlformats.org/officeDocument/2006/relationships/image" Target="media/image32.png"/><Relationship Id="rId65" Type="http://schemas.openxmlformats.org/officeDocument/2006/relationships/chart" Target="charts/chart16.xml"/><Relationship Id="rId73" Type="http://schemas.openxmlformats.org/officeDocument/2006/relationships/hyperlink" Target="https://www.nfer.ac.uk/media/3032/nfer_accountability_literature_review_2018.pdf" TargetMode="External"/><Relationship Id="rId78" Type="http://schemas.openxmlformats.org/officeDocument/2006/relationships/hyperlink" Target="https://www.gov.uk/government/speeches/pm-speech-on-wellbeing" TargetMode="External"/><Relationship Id="rId81" Type="http://schemas.openxmlformats.org/officeDocument/2006/relationships/hyperlink" Target="https://assets.publishing.service.gov.uk/government/uploads/system/uploads/attachment_data/file/686947/Factors_affecting_teacher_retention_-_qualitative_investigation.pdf" TargetMode="External"/><Relationship Id="rId86" Type="http://schemas.openxmlformats.org/officeDocument/2006/relationships/hyperlink" Target="https://mk0nuffieldfounpg9ee.kinstacdn.com/wp-content/uploads/2020/04/COVID-19-social-study-results-9-June-2020.pdf" TargetMode="External"/><Relationship Id="rId94" Type="http://schemas.openxmlformats.org/officeDocument/2006/relationships/hyperlink" Target="https://neu.org.uk/policy/teachers-workload" TargetMode="External"/><Relationship Id="rId99" Type="http://schemas.openxmlformats.org/officeDocument/2006/relationships/hyperlink" Target="https://assets.publishing.service.gov.uk/government/uploads/system/uploads/attachment_data/file/819314/Teacher_well-being_report_110719F.pdf" TargetMode="External"/><Relationship Id="rId101" Type="http://schemas.openxmlformats.org/officeDocument/2006/relationships/hyperlink" Target="https://doi.org/10.1093/occmed/kqn112"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schoolsweek.co.uk/new-flagship-study-to-solve-why-teachers-leave/" TargetMode="External"/><Relationship Id="rId18" Type="http://schemas.openxmlformats.org/officeDocument/2006/relationships/image" Target="media/image7.emf"/><Relationship Id="rId39" Type="http://schemas.openxmlformats.org/officeDocument/2006/relationships/chart" Target="charts/chart6.xml"/><Relationship Id="rId109" Type="http://schemas.openxmlformats.org/officeDocument/2006/relationships/footer" Target="footer4.xml"/><Relationship Id="rId34" Type="http://schemas.openxmlformats.org/officeDocument/2006/relationships/chart" Target="charts/chart1.xml"/><Relationship Id="rId50" Type="http://schemas.openxmlformats.org/officeDocument/2006/relationships/image" Target="media/image22.emf"/><Relationship Id="rId55" Type="http://schemas.openxmlformats.org/officeDocument/2006/relationships/image" Target="media/image27.emf"/><Relationship Id="rId76" Type="http://schemas.openxmlformats.org/officeDocument/2006/relationships/hyperlink" Target="http://scholar.google.com/scholar_lookup?hl=en&amp;publication_year=2018&amp;author=M.+Bulman&amp;title=More+than+half+of+teachers+have+been+diagnosed+with+mental+health+issues%2C+study+shows" TargetMode="External"/><Relationship Id="rId97" Type="http://schemas.openxmlformats.org/officeDocument/2006/relationships/hyperlink" Target="http://www.oecd.org/education/talis-2018-results-volume-i-1d0bc92a-en.htm" TargetMode="External"/><Relationship Id="rId104" Type="http://schemas.openxmlformats.org/officeDocument/2006/relationships/hyperlink" Target="https://www.gov.uk/government/news/pm-launches-new-mission-to-put-prevention-at-the-top-of-the-mental-health-agenda" TargetMode="External"/><Relationship Id="rId7" Type="http://schemas.openxmlformats.org/officeDocument/2006/relationships/endnotes" Target="endnotes.xml"/><Relationship Id="rId71" Type="http://schemas.openxmlformats.org/officeDocument/2006/relationships/hyperlink" Target="https://www.nuffieldfoundation.org/sites/default/files/files/Baines%2042402%20BreaktimeSurvey%20-%20Main%20public%20report%20(May19)-Final(1).pdf" TargetMode="External"/><Relationship Id="rId92" Type="http://schemas.openxmlformats.org/officeDocument/2006/relationships/hyperlink" Target="https://www.libdems.org.uk/3750-teachers-england-on-long-term-stress-leave" TargetMode="External"/><Relationship Id="rId2" Type="http://schemas.openxmlformats.org/officeDocument/2006/relationships/numbering" Target="numbering.xml"/><Relationship Id="rId29" Type="http://schemas.openxmlformats.org/officeDocument/2006/relationships/image" Target="media/image17.emf"/><Relationship Id="rId24" Type="http://schemas.openxmlformats.org/officeDocument/2006/relationships/image" Target="media/image12.emf"/><Relationship Id="rId40" Type="http://schemas.openxmlformats.org/officeDocument/2006/relationships/chart" Target="charts/chart7.xml"/><Relationship Id="rId45" Type="http://schemas.openxmlformats.org/officeDocument/2006/relationships/chart" Target="charts/chart12.xml"/><Relationship Id="rId66" Type="http://schemas.openxmlformats.org/officeDocument/2006/relationships/chart" Target="charts/chart17.xml"/><Relationship Id="rId87" Type="http://schemas.openxmlformats.org/officeDocument/2006/relationships/hyperlink" Target="https://researchbriefings.files.parliament.uk/documents/CBP-7222/CBP-7222.pdf" TargetMode="External"/><Relationship Id="rId110" Type="http://schemas.openxmlformats.org/officeDocument/2006/relationships/fontTable" Target="fontTable.xml"/><Relationship Id="rId61" Type="http://schemas.openxmlformats.org/officeDocument/2006/relationships/image" Target="media/image33.png"/><Relationship Id="rId82" Type="http://schemas.openxmlformats.org/officeDocument/2006/relationships/hyperlink" Target="https://www.gov.uk/government/collections/reducing-school-workload" TargetMode="External"/><Relationship Id="rId19" Type="http://schemas.openxmlformats.org/officeDocument/2006/relationships/image" Target="media/image8.emf"/><Relationship Id="rId14" Type="http://schemas.openxmlformats.org/officeDocument/2006/relationships/hyperlink" Target="http://doi.org/10.5255/UKDA-SN-6721-13" TargetMode="External"/><Relationship Id="rId30" Type="http://schemas.openxmlformats.org/officeDocument/2006/relationships/image" Target="media/image18.emf"/><Relationship Id="rId35" Type="http://schemas.openxmlformats.org/officeDocument/2006/relationships/chart" Target="charts/chart2.xml"/><Relationship Id="rId56" Type="http://schemas.openxmlformats.org/officeDocument/2006/relationships/image" Target="media/image28.emf"/><Relationship Id="rId77" Type="http://schemas.openxmlformats.org/officeDocument/2006/relationships/hyperlink" Target="https://www.independent.co.uk/news/education/education-news/teachers-mental-health-anxiety-panic-attacks-insomnia-education-a8592551.html" TargetMode="External"/><Relationship Id="rId100" Type="http://schemas.openxmlformats.org/officeDocument/2006/relationships/hyperlink" Target="https://www.independent.co.uk/news/uk/home-news/coronavirus-childcare-homeschooling-women-lockdown-gender-a9512866.html" TargetMode="External"/><Relationship Id="rId105" Type="http://schemas.openxmlformats.org/officeDocument/2006/relationships/hyperlink" Target="https://www.bbc.com/worklife/article/20200630-how-covid-19-is-changing-womens-lives" TargetMode="External"/><Relationship Id="rId8" Type="http://schemas.openxmlformats.org/officeDocument/2006/relationships/image" Target="media/image1.png"/><Relationship Id="rId51" Type="http://schemas.openxmlformats.org/officeDocument/2006/relationships/image" Target="media/image23.emf"/><Relationship Id="rId72" Type="http://schemas.openxmlformats.org/officeDocument/2006/relationships/hyperlink" Target="https://www.nfer.ac.uk/teacher-retention-and-turnover-research-research-update-3-is-the-grass-greener-beyond-teaching" TargetMode="External"/><Relationship Id="rId93" Type="http://schemas.openxmlformats.org/officeDocument/2006/relationships/hyperlink" Target="https://www.tes.com/news/englands-heads-most-data-driven" TargetMode="External"/><Relationship Id="rId98" Type="http://schemas.openxmlformats.org/officeDocument/2006/relationships/hyperlink" Target="http://www.oecd.org/education/talis/" TargetMode="External"/><Relationship Id="rId3" Type="http://schemas.openxmlformats.org/officeDocument/2006/relationships/styles" Target="styles.xml"/><Relationship Id="rId25" Type="http://schemas.openxmlformats.org/officeDocument/2006/relationships/image" Target="media/image13.emf"/><Relationship Id="rId46" Type="http://schemas.openxmlformats.org/officeDocument/2006/relationships/chart" Target="charts/chart13.xml"/><Relationship Id="rId67" Type="http://schemas.openxmlformats.org/officeDocument/2006/relationships/chart" Target="charts/chart18.xml"/><Relationship Id="rId20" Type="http://schemas.openxmlformats.org/officeDocument/2006/relationships/image" Target="media/image9.emf"/><Relationship Id="rId41" Type="http://schemas.openxmlformats.org/officeDocument/2006/relationships/chart" Target="charts/chart8.xml"/><Relationship Id="rId62" Type="http://schemas.openxmlformats.org/officeDocument/2006/relationships/image" Target="media/image34.png"/><Relationship Id="rId83" Type="http://schemas.openxmlformats.org/officeDocument/2006/relationships/hyperlink" Target="https://www.gov.uk/government/publications/teacher-recruitment-and-retention-strategy" TargetMode="External"/><Relationship Id="rId88" Type="http://schemas.openxmlformats.org/officeDocument/2006/relationships/hyperlink" Target="https://assets.publishing.service.gov.uk/government/uploads/system/uploads/attachment_data/file/890547/Nick_Gibb_letter_to_EAG.pdf" TargetMode="External"/><Relationship Id="rId111"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Trends_Over_Time/Wellbeing_Over_Time/LFS_Code/_Results_LFS.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Trends_Over_Time/Wellbeing_Over_Time/LFS_Code/_Results_LFS.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Trends_Over_Time/Wellbeing_Over_Time/LFS_Code/_Results_LFS.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Trends_Over_Time/Wellbeing_Over_Time/LFS_Code/_Results_LFS.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Trends_Over_Time/Wellbeing_Over_Time/LFS_Code/_Results_LFS.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Trends_Over_Time/Wellbeing_Over_Time/LFS_Code/_Results_LFS.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APS_Analysis/Results_From_Secure_Area/_Results_APS.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j_jer\OneDrive\Documents\Bids\Nuffield\Teacher_Health\Trends_Over_Time\Wellbeing_Over_Time\HSE_Code\_Results_HSE_V3.xls"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j_jer\OneDrive\Documents\Bids\Nuffield\Teacher_Health\Trends_Over_Time\Wellbeing_Over_Time\HSE_Code\_Results_HSE_V3.xls" TargetMode="External"/></Relationships>
</file>

<file path=word/charts/_rels/chart10.xml.rels><?xml version="1.0" encoding="UTF-8" standalone="yes"?>
<Relationships xmlns="http://schemas.openxmlformats.org/package/2006/relationships"><Relationship Id="rId3" Type="http://schemas.openxmlformats.org/officeDocument/2006/relationships/oleObject" Target="https://d.docs.live.net/1b28e8d57c04f340/Documents/Bids/Nuffield/Teacher_Health/Variation_Over_School_Year/Draft_Results_Tables_OFSTED_Presentation.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j_jer\OneDrive\Documents\Bids\Nuffield\Teacher_Health\Next_Steps_Analysis\Submission\Revision_Results.xlsx" TargetMode="External"/><Relationship Id="rId2" Type="http://schemas.microsoft.com/office/2011/relationships/chartColorStyle" Target="colors2.xml"/><Relationship Id="rId1" Type="http://schemas.microsoft.com/office/2011/relationships/chartStyle" Target="style2.xm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https://d.docs.live.net/1b28e8d57c04f340/Documents/Bids/Nuffield/Teacher_Health/Trends_Over_Time/LFS_Trends.xls"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https://d.docs.live.net/1b28e8d57c04f340/Documents/Bids/Nuffield/Teacher_Health/Trends_Over_Time/LFS_Trends.xls"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Trends_Over_Time/Nuffield_Teacher_working_hours_latest/LFS_Trends_Nuffield.xls"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https://d.docs.live.net/1b28e8d57c04f340/Documents/Bids/Nuffield/Teacher_Health/TUDs/TUD_Results.xls"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Users\Rallen\Dropbox\Teacher%20Longitudinal%20Study\Final%20blogs%20to%20go%20to%20Philip\Results_Gender_Blog.xls"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Rallen\Dropbox\Teacher%20Longitudinal%20Study\Final%20blogs%20to%20go%20to%20Philip\Results_Gender_Blog.xls"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Users\Rallen\Dropbox\Teacher%20Longitudinal%20Study\Final%20blogs%20to%20go%20to%20Philip\Results_Gender_Blog.xls"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Users\Rallen\Dropbox\Teacher%20Longitudinal%20Study\Final%20blogs%20to%20go%20to%20Philip\Results_Gender_Blog.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442756275183912E-2"/>
          <c:y val="5.4512604529085025E-2"/>
          <c:w val="0.91526243022439091"/>
          <c:h val="0.87165449280080309"/>
        </c:manualLayout>
      </c:layout>
      <c:lineChart>
        <c:grouping val="standard"/>
        <c:varyColors val="0"/>
        <c:ser>
          <c:idx val="1"/>
          <c:order val="0"/>
          <c:tx>
            <c:strRef>
              <c:f>Prim_Sec_Lasting!$A$3</c:f>
              <c:strCache>
                <c:ptCount val="1"/>
                <c:pt idx="0">
                  <c:v>Primary teachers</c:v>
                </c:pt>
              </c:strCache>
            </c:strRef>
          </c:tx>
          <c:spPr>
            <a:ln w="28575" cap="rnd">
              <a:solidFill>
                <a:schemeClr val="bg1">
                  <a:lumMod val="75000"/>
                </a:schemeClr>
              </a:solidFill>
              <a:prstDash val="dash"/>
              <a:round/>
            </a:ln>
            <a:effectLst/>
          </c:spPr>
          <c:marker>
            <c:symbol val="circle"/>
            <c:size val="8"/>
            <c:spPr>
              <a:noFill/>
              <a:ln w="15875">
                <a:solidFill>
                  <a:schemeClr val="bg1">
                    <a:lumMod val="75000"/>
                  </a:schemeClr>
                </a:solidFill>
                <a:prstDash val="solid"/>
              </a:ln>
              <a:effectLst/>
            </c:spPr>
          </c:marker>
          <c:cat>
            <c:strRef>
              <c:f>Prim_Sec_Lasting!$B$1:$W$1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Prim_Sec_Lasting!$B$3:$W$3</c:f>
              <c:numCache>
                <c:formatCode>0%</c:formatCode>
                <c:ptCount val="22"/>
                <c:pt idx="0">
                  <c:v>0.139229416847229</c:v>
                </c:pt>
                <c:pt idx="1">
                  <c:v>0.15956678986549377</c:v>
                </c:pt>
                <c:pt idx="2">
                  <c:v>0.1773381233215332</c:v>
                </c:pt>
                <c:pt idx="3">
                  <c:v>0.18266025185585022</c:v>
                </c:pt>
                <c:pt idx="4">
                  <c:v>0.18358291685581207</c:v>
                </c:pt>
                <c:pt idx="5">
                  <c:v>0.2042405903339386</c:v>
                </c:pt>
                <c:pt idx="6">
                  <c:v>0.18794474005699158</c:v>
                </c:pt>
                <c:pt idx="7">
                  <c:v>0.18243512511253357</c:v>
                </c:pt>
                <c:pt idx="8">
                  <c:v>0.19917184114456177</c:v>
                </c:pt>
                <c:pt idx="9">
                  <c:v>0.19240614771842957</c:v>
                </c:pt>
                <c:pt idx="10">
                  <c:v>0.2189716249704361</c:v>
                </c:pt>
                <c:pt idx="11">
                  <c:v>0.19350533187389374</c:v>
                </c:pt>
                <c:pt idx="12">
                  <c:v>0.19425126910209656</c:v>
                </c:pt>
                <c:pt idx="13">
                  <c:v>0.26214027404785156</c:v>
                </c:pt>
                <c:pt idx="14">
                  <c:v>0.26850983500480652</c:v>
                </c:pt>
                <c:pt idx="15">
                  <c:v>0.22497785091400146</c:v>
                </c:pt>
                <c:pt idx="16">
                  <c:v>0.21613191068172455</c:v>
                </c:pt>
                <c:pt idx="17">
                  <c:v>0.19144144654273987</c:v>
                </c:pt>
                <c:pt idx="18">
                  <c:v>0.1940009742975235</c:v>
                </c:pt>
                <c:pt idx="19">
                  <c:v>0.21469466388225555</c:v>
                </c:pt>
                <c:pt idx="20">
                  <c:v>0.23823675513267517</c:v>
                </c:pt>
                <c:pt idx="21">
                  <c:v>0.23632611334323883</c:v>
                </c:pt>
              </c:numCache>
            </c:numRef>
          </c:val>
          <c:smooth val="0"/>
          <c:extLst>
            <c:ext xmlns:c16="http://schemas.microsoft.com/office/drawing/2014/chart" uri="{C3380CC4-5D6E-409C-BE32-E72D297353CC}">
              <c16:uniqueId val="{00000000-55FE-4A38-99B5-90F46AE4C6D1}"/>
            </c:ext>
          </c:extLst>
        </c:ser>
        <c:ser>
          <c:idx val="3"/>
          <c:order val="1"/>
          <c:tx>
            <c:strRef>
              <c:f>Prim_Sec_Lasting!$A$2</c:f>
              <c:strCache>
                <c:ptCount val="1"/>
                <c:pt idx="0">
                  <c:v>All teachers</c:v>
                </c:pt>
              </c:strCache>
            </c:strRef>
          </c:tx>
          <c:spPr>
            <a:ln w="15875" cap="rnd">
              <a:solidFill>
                <a:schemeClr val="tx1"/>
              </a:solidFill>
              <a:prstDash val="solid"/>
              <a:round/>
            </a:ln>
            <a:effectLst/>
          </c:spPr>
          <c:marker>
            <c:symbol val="square"/>
            <c:size val="8"/>
            <c:spPr>
              <a:noFill/>
              <a:ln w="15875">
                <a:solidFill>
                  <a:schemeClr val="tx1"/>
                </a:solidFill>
                <a:prstDash val="solid"/>
              </a:ln>
              <a:effectLst/>
            </c:spPr>
          </c:marker>
          <c:cat>
            <c:strRef>
              <c:f>Prim_Sec_Lasting!$B$1:$W$1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Prim_Sec_Lasting!$B$2:$W$2</c:f>
              <c:numCache>
                <c:formatCode>0%</c:formatCode>
                <c:ptCount val="22"/>
                <c:pt idx="0">
                  <c:v>0.1397344172000885</c:v>
                </c:pt>
                <c:pt idx="1">
                  <c:v>0.15074938535690308</c:v>
                </c:pt>
                <c:pt idx="2">
                  <c:v>0.17277310788631439</c:v>
                </c:pt>
                <c:pt idx="3">
                  <c:v>0.20105819404125214</c:v>
                </c:pt>
                <c:pt idx="4">
                  <c:v>0.18403318524360657</c:v>
                </c:pt>
                <c:pt idx="5">
                  <c:v>0.20222708582878113</c:v>
                </c:pt>
                <c:pt idx="6">
                  <c:v>0.1867188960313797</c:v>
                </c:pt>
                <c:pt idx="7">
                  <c:v>0.18612334132194519</c:v>
                </c:pt>
                <c:pt idx="8">
                  <c:v>0.20685820281505585</c:v>
                </c:pt>
                <c:pt idx="9">
                  <c:v>0.19393593072891235</c:v>
                </c:pt>
                <c:pt idx="10">
                  <c:v>0.22095394134521484</c:v>
                </c:pt>
                <c:pt idx="11">
                  <c:v>0.19670729339122772</c:v>
                </c:pt>
                <c:pt idx="12">
                  <c:v>0.20782753825187683</c:v>
                </c:pt>
                <c:pt idx="13">
                  <c:v>0.24668325483798981</c:v>
                </c:pt>
                <c:pt idx="14">
                  <c:v>0.24783284962177277</c:v>
                </c:pt>
                <c:pt idx="15">
                  <c:v>0.23223753273487091</c:v>
                </c:pt>
                <c:pt idx="16">
                  <c:v>0.22694413363933563</c:v>
                </c:pt>
                <c:pt idx="17">
                  <c:v>0.21173913776874542</c:v>
                </c:pt>
                <c:pt idx="18">
                  <c:v>0.21396797895431519</c:v>
                </c:pt>
                <c:pt idx="19">
                  <c:v>0.23055554926395416</c:v>
                </c:pt>
                <c:pt idx="20">
                  <c:v>0.24574622511863708</c:v>
                </c:pt>
                <c:pt idx="21">
                  <c:v>0.24182508885860443</c:v>
                </c:pt>
              </c:numCache>
            </c:numRef>
          </c:val>
          <c:smooth val="0"/>
          <c:extLst>
            <c:ext xmlns:c16="http://schemas.microsoft.com/office/drawing/2014/chart" uri="{C3380CC4-5D6E-409C-BE32-E72D297353CC}">
              <c16:uniqueId val="{00000001-55FE-4A38-99B5-90F46AE4C6D1}"/>
            </c:ext>
          </c:extLst>
        </c:ser>
        <c:ser>
          <c:idx val="0"/>
          <c:order val="2"/>
          <c:tx>
            <c:strRef>
              <c:f>Prim_Sec_Lasting!$A$4</c:f>
              <c:strCache>
                <c:ptCount val="1"/>
                <c:pt idx="0">
                  <c:v>Secondary teachers</c:v>
                </c:pt>
              </c:strCache>
            </c:strRef>
          </c:tx>
          <c:spPr>
            <a:ln>
              <a:solidFill>
                <a:schemeClr val="bg1">
                  <a:lumMod val="50000"/>
                </a:schemeClr>
              </a:solidFill>
              <a:prstDash val="dash"/>
            </a:ln>
          </c:spPr>
          <c:marker>
            <c:symbol val="x"/>
            <c:size val="8"/>
            <c:spPr>
              <a:ln w="15875">
                <a:solidFill>
                  <a:schemeClr val="bg1">
                    <a:lumMod val="50000"/>
                  </a:schemeClr>
                </a:solidFill>
              </a:ln>
            </c:spPr>
          </c:marker>
          <c:cat>
            <c:strRef>
              <c:f>Prim_Sec_Lasting!$B$1:$W$1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Prim_Sec_Lasting!$B$4:$W$4</c:f>
              <c:numCache>
                <c:formatCode>0%</c:formatCode>
                <c:ptCount val="22"/>
                <c:pt idx="0">
                  <c:v>0.13082954287528992</c:v>
                </c:pt>
                <c:pt idx="1">
                  <c:v>0.14042089879512787</c:v>
                </c:pt>
                <c:pt idx="2">
                  <c:v>0.16175462305545807</c:v>
                </c:pt>
                <c:pt idx="3">
                  <c:v>0.20144927501678467</c:v>
                </c:pt>
                <c:pt idx="4">
                  <c:v>0.17886178195476532</c:v>
                </c:pt>
                <c:pt idx="5">
                  <c:v>0.19598829746246338</c:v>
                </c:pt>
                <c:pt idx="6">
                  <c:v>0.18411000072956085</c:v>
                </c:pt>
                <c:pt idx="7">
                  <c:v>0.18053434789180756</c:v>
                </c:pt>
                <c:pt idx="8">
                  <c:v>0.20631255209445953</c:v>
                </c:pt>
                <c:pt idx="9">
                  <c:v>0.19270633161067963</c:v>
                </c:pt>
                <c:pt idx="10">
                  <c:v>0.21944096684455872</c:v>
                </c:pt>
                <c:pt idx="11">
                  <c:v>0.18892362713813782</c:v>
                </c:pt>
                <c:pt idx="12">
                  <c:v>0.20791666209697723</c:v>
                </c:pt>
                <c:pt idx="13">
                  <c:v>0.22904318571090698</c:v>
                </c:pt>
                <c:pt idx="14">
                  <c:v>0.21577726304531097</c:v>
                </c:pt>
                <c:pt idx="15">
                  <c:v>0.22978347539901733</c:v>
                </c:pt>
                <c:pt idx="16">
                  <c:v>0.22436206042766571</c:v>
                </c:pt>
                <c:pt idx="17">
                  <c:v>0.21905200183391571</c:v>
                </c:pt>
                <c:pt idx="18">
                  <c:v>0.22158336639404297</c:v>
                </c:pt>
                <c:pt idx="19">
                  <c:v>0.24385541677474976</c:v>
                </c:pt>
                <c:pt idx="20">
                  <c:v>0.24568739533424377</c:v>
                </c:pt>
                <c:pt idx="21">
                  <c:v>0.23379501700401306</c:v>
                </c:pt>
              </c:numCache>
            </c:numRef>
          </c:val>
          <c:smooth val="0"/>
          <c:extLst>
            <c:ext xmlns:c16="http://schemas.microsoft.com/office/drawing/2014/chart" uri="{C3380CC4-5D6E-409C-BE32-E72D297353CC}">
              <c16:uniqueId val="{00000002-55FE-4A38-99B5-90F46AE4C6D1}"/>
            </c:ext>
          </c:extLst>
        </c:ser>
        <c:dLbls>
          <c:showLegendKey val="0"/>
          <c:showVal val="0"/>
          <c:showCatName val="0"/>
          <c:showSerName val="0"/>
          <c:showPercent val="0"/>
          <c:showBubbleSize val="0"/>
        </c:dLbls>
        <c:marker val="1"/>
        <c:smooth val="0"/>
        <c:axId val="931566768"/>
        <c:axId val="1"/>
      </c:lineChart>
      <c:catAx>
        <c:axId val="931566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sz="1100" b="0" i="0" u="none" strike="noStrike" baseline="0">
                <a:solidFill>
                  <a:srgbClr val="333333"/>
                </a:solidFill>
                <a:latin typeface="Arial"/>
                <a:ea typeface="Arial"/>
                <a:cs typeface="Arial"/>
              </a:defRPr>
            </a:pPr>
            <a:endParaRPr lang="en-US"/>
          </a:p>
        </c:txPr>
        <c:crossAx val="1"/>
        <c:crosses val="autoZero"/>
        <c:auto val="1"/>
        <c:lblAlgn val="ctr"/>
        <c:lblOffset val="100"/>
        <c:noMultiLvlLbl val="0"/>
      </c:catAx>
      <c:valAx>
        <c:axId val="1"/>
        <c:scaling>
          <c:orientation val="minMax"/>
          <c:max val="0.30000000000000004"/>
        </c:scaling>
        <c:delete val="0"/>
        <c:axPos val="l"/>
        <c:numFmt formatCode="0%" sourceLinked="1"/>
        <c:majorTickMark val="none"/>
        <c:minorTickMark val="none"/>
        <c:tickLblPos val="nextTo"/>
        <c:spPr>
          <a:ln w="6350">
            <a:noFill/>
          </a:ln>
        </c:spPr>
        <c:txPr>
          <a:bodyPr rot="0" vert="horz"/>
          <a:lstStyle/>
          <a:p>
            <a:pPr>
              <a:defRPr sz="1100" b="0" i="0" u="none" strike="noStrike" baseline="0">
                <a:solidFill>
                  <a:srgbClr val="333333"/>
                </a:solidFill>
                <a:latin typeface="Arial"/>
                <a:ea typeface="Arial"/>
                <a:cs typeface="Arial"/>
              </a:defRPr>
            </a:pPr>
            <a:endParaRPr lang="en-US"/>
          </a:p>
        </c:txPr>
        <c:crossAx val="931566768"/>
        <c:crosses val="autoZero"/>
        <c:crossBetween val="between"/>
        <c:majorUnit val="5.000000000000001E-2"/>
      </c:valAx>
      <c:spPr>
        <a:noFill/>
        <a:ln w="25400">
          <a:noFill/>
        </a:ln>
      </c:spPr>
    </c:plotArea>
    <c:legend>
      <c:legendPos val="b"/>
      <c:layout>
        <c:manualLayout>
          <c:xMode val="edge"/>
          <c:yMode val="edge"/>
          <c:x val="0.68919847695094449"/>
          <c:y val="0.74533086464967069"/>
          <c:w val="0.2882663117814499"/>
          <c:h val="0.13495995171146247"/>
        </c:manualLayout>
      </c:layout>
      <c:overlay val="0"/>
      <c:spPr>
        <a:noFill/>
        <a:ln w="25400">
          <a:noFill/>
        </a:ln>
      </c:spPr>
      <c:txPr>
        <a:bodyPr/>
        <a:lstStyle/>
        <a:p>
          <a:pPr>
            <a:defRPr sz="1010" b="0" i="0" u="none" strike="noStrike" baseline="0">
              <a:solidFill>
                <a:srgbClr val="333333"/>
              </a:solidFill>
              <a:latin typeface="Arial"/>
              <a:ea typeface="Arial"/>
              <a:cs typeface="Arial"/>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4416154833437692E-2"/>
          <c:y val="2.6003703647982067E-2"/>
          <c:w val="0.90303689196210879"/>
          <c:h val="0.85614181404894485"/>
        </c:manualLayout>
      </c:layout>
      <c:lineChart>
        <c:grouping val="standard"/>
        <c:varyColors val="0"/>
        <c:ser>
          <c:idx val="2"/>
          <c:order val="0"/>
          <c:tx>
            <c:strRef>
              <c:f>Trend_Any_Teacher!$C$1</c:f>
              <c:strCache>
                <c:ptCount val="1"/>
                <c:pt idx="0">
                  <c:v>Mental health</c:v>
                </c:pt>
              </c:strCache>
            </c:strRef>
          </c:tx>
          <c:spPr>
            <a:ln w="28575" cap="rnd">
              <a:solidFill>
                <a:schemeClr val="tx1"/>
              </a:solidFill>
              <a:round/>
            </a:ln>
            <a:effectLst/>
          </c:spPr>
          <c:marker>
            <c:symbol val="diamond"/>
            <c:size val="8"/>
            <c:spPr>
              <a:noFill/>
              <a:ln w="15875">
                <a:solidFill>
                  <a:schemeClr val="tx1"/>
                </a:solidFill>
              </a:ln>
              <a:effectLst/>
            </c:spPr>
          </c:marker>
          <c:cat>
            <c:numRef>
              <c:f>Trend_Any_Teacher!$A$2:$A$23</c:f>
              <c:numCache>
                <c:formatCode>0</c:formatCod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numCache>
            </c:numRef>
          </c:cat>
          <c:val>
            <c:numRef>
              <c:f>Trend_Any_Teacher!$C$2:$C$23</c:f>
              <c:numCache>
                <c:formatCode>0%</c:formatCode>
                <c:ptCount val="22"/>
                <c:pt idx="0">
                  <c:v>0</c:v>
                </c:pt>
                <c:pt idx="1">
                  <c:v>6.2739630229771137E-3</c:v>
                </c:pt>
                <c:pt idx="2">
                  <c:v>8.235294371843338E-3</c:v>
                </c:pt>
                <c:pt idx="3">
                  <c:v>1.1287477798759937E-2</c:v>
                </c:pt>
                <c:pt idx="4">
                  <c:v>1.3286538422107697E-2</c:v>
                </c:pt>
                <c:pt idx="5">
                  <c:v>1.3183404691517353E-2</c:v>
                </c:pt>
                <c:pt idx="6">
                  <c:v>1.275975164026022E-2</c:v>
                </c:pt>
                <c:pt idx="7">
                  <c:v>1.4498072676360607E-2</c:v>
                </c:pt>
                <c:pt idx="8">
                  <c:v>1.2233549728989601E-2</c:v>
                </c:pt>
                <c:pt idx="9">
                  <c:v>1.604178361594677E-2</c:v>
                </c:pt>
                <c:pt idx="10">
                  <c:v>2.2727273404598236E-2</c:v>
                </c:pt>
                <c:pt idx="11">
                  <c:v>1.6677357256412506E-2</c:v>
                </c:pt>
                <c:pt idx="12">
                  <c:v>1.9882796332240105E-2</c:v>
                </c:pt>
                <c:pt idx="13">
                  <c:v>2.0522387698292732E-2</c:v>
                </c:pt>
                <c:pt idx="14">
                  <c:v>2.1545158699154854E-2</c:v>
                </c:pt>
                <c:pt idx="15">
                  <c:v>2.5348015129566193E-2</c:v>
                </c:pt>
                <c:pt idx="16">
                  <c:v>2.2343920543789864E-2</c:v>
                </c:pt>
                <c:pt idx="17">
                  <c:v>2.9565216973423958E-2</c:v>
                </c:pt>
                <c:pt idx="18">
                  <c:v>3.513876348733902E-2</c:v>
                </c:pt>
                <c:pt idx="19">
                  <c:v>4.3827444314956665E-2</c:v>
                </c:pt>
                <c:pt idx="20">
                  <c:v>5.3833212703466415E-2</c:v>
                </c:pt>
                <c:pt idx="21">
                  <c:v>5.2054096013307571E-2</c:v>
                </c:pt>
              </c:numCache>
            </c:numRef>
          </c:val>
          <c:smooth val="0"/>
          <c:extLst>
            <c:ext xmlns:c16="http://schemas.microsoft.com/office/drawing/2014/chart" uri="{C3380CC4-5D6E-409C-BE32-E72D297353CC}">
              <c16:uniqueId val="{00000000-69B3-4B00-B625-B7EC7E81BFD6}"/>
            </c:ext>
          </c:extLst>
        </c:ser>
        <c:ser>
          <c:idx val="3"/>
          <c:order val="1"/>
          <c:tx>
            <c:strRef>
              <c:f>Trend_Any_Teacher!$D$1</c:f>
              <c:strCache>
                <c:ptCount val="1"/>
                <c:pt idx="0">
                  <c:v>Chest &amp; Breathing</c:v>
                </c:pt>
              </c:strCache>
            </c:strRef>
          </c:tx>
          <c:spPr>
            <a:ln w="19050" cap="rnd">
              <a:solidFill>
                <a:schemeClr val="bg1">
                  <a:lumMod val="50000"/>
                </a:schemeClr>
              </a:solidFill>
              <a:prstDash val="sysDot"/>
              <a:round/>
            </a:ln>
            <a:effectLst/>
          </c:spPr>
          <c:marker>
            <c:symbol val="square"/>
            <c:size val="6"/>
            <c:spPr>
              <a:noFill/>
              <a:ln w="15875">
                <a:solidFill>
                  <a:schemeClr val="bg1">
                    <a:lumMod val="50000"/>
                  </a:schemeClr>
                </a:solidFill>
              </a:ln>
              <a:effectLst/>
            </c:spPr>
          </c:marker>
          <c:cat>
            <c:numRef>
              <c:f>Trend_Any_Teacher!$A$2:$A$23</c:f>
              <c:numCache>
                <c:formatCode>0</c:formatCod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numCache>
            </c:numRef>
          </c:cat>
          <c:val>
            <c:numRef>
              <c:f>Trend_Any_Teacher!$D$2:$D$23</c:f>
              <c:numCache>
                <c:formatCode>0%</c:formatCode>
                <c:ptCount val="22"/>
                <c:pt idx="0">
                  <c:v>4.0245149284601212E-2</c:v>
                </c:pt>
                <c:pt idx="1">
                  <c:v>4.2349249124526978E-2</c:v>
                </c:pt>
                <c:pt idx="2">
                  <c:v>4.8235293477773666E-2</c:v>
                </c:pt>
                <c:pt idx="3">
                  <c:v>4.9735449254512787E-2</c:v>
                </c:pt>
                <c:pt idx="4">
                  <c:v>3.9107546210289001E-2</c:v>
                </c:pt>
                <c:pt idx="5">
                  <c:v>5.8743700385093689E-2</c:v>
                </c:pt>
                <c:pt idx="6">
                  <c:v>5.9263311326503754E-2</c:v>
                </c:pt>
                <c:pt idx="7">
                  <c:v>5.4698973894119263E-2</c:v>
                </c:pt>
                <c:pt idx="8">
                  <c:v>6.2835961580276489E-2</c:v>
                </c:pt>
                <c:pt idx="9">
                  <c:v>4.7761194407939911E-2</c:v>
                </c:pt>
                <c:pt idx="10">
                  <c:v>5.4425835609436035E-2</c:v>
                </c:pt>
                <c:pt idx="11">
                  <c:v>4.6183452010154724E-2</c:v>
                </c:pt>
                <c:pt idx="12">
                  <c:v>5.504395067691803E-2</c:v>
                </c:pt>
                <c:pt idx="13">
                  <c:v>7.2139300405979156E-2</c:v>
                </c:pt>
                <c:pt idx="14">
                  <c:v>6.9423288106918335E-2</c:v>
                </c:pt>
                <c:pt idx="15">
                  <c:v>6.6902138292789459E-2</c:v>
                </c:pt>
                <c:pt idx="16">
                  <c:v>5.4983571171760559E-2</c:v>
                </c:pt>
                <c:pt idx="17">
                  <c:v>4.8478260636329651E-2</c:v>
                </c:pt>
                <c:pt idx="18">
                  <c:v>4.9015220254659653E-2</c:v>
                </c:pt>
                <c:pt idx="19">
                  <c:v>5.5759523063898087E-2</c:v>
                </c:pt>
                <c:pt idx="20">
                  <c:v>5.6957460939884186E-2</c:v>
                </c:pt>
                <c:pt idx="21">
                  <c:v>5.2564430981874466E-2</c:v>
                </c:pt>
              </c:numCache>
            </c:numRef>
          </c:val>
          <c:smooth val="0"/>
          <c:extLst>
            <c:ext xmlns:c16="http://schemas.microsoft.com/office/drawing/2014/chart" uri="{C3380CC4-5D6E-409C-BE32-E72D297353CC}">
              <c16:uniqueId val="{00000001-69B3-4B00-B625-B7EC7E81BFD6}"/>
            </c:ext>
          </c:extLst>
        </c:ser>
        <c:ser>
          <c:idx val="0"/>
          <c:order val="2"/>
          <c:tx>
            <c:strRef>
              <c:f>Trend_Any_Teacher!$E$1</c:f>
              <c:strCache>
                <c:ptCount val="1"/>
                <c:pt idx="0">
                  <c:v>Heart &amp; blood pressure</c:v>
                </c:pt>
              </c:strCache>
            </c:strRef>
          </c:tx>
          <c:spPr>
            <a:ln w="28575" cap="rnd">
              <a:solidFill>
                <a:schemeClr val="bg1">
                  <a:lumMod val="50000"/>
                </a:schemeClr>
              </a:solidFill>
              <a:prstDash val="lgDash"/>
              <a:round/>
            </a:ln>
            <a:effectLst/>
          </c:spPr>
          <c:marker>
            <c:symbol val="x"/>
            <c:size val="7"/>
            <c:spPr>
              <a:noFill/>
              <a:ln w="15875">
                <a:solidFill>
                  <a:schemeClr val="bg1">
                    <a:lumMod val="50000"/>
                  </a:schemeClr>
                </a:solidFill>
              </a:ln>
              <a:effectLst/>
            </c:spPr>
          </c:marker>
          <c:cat>
            <c:numRef>
              <c:f>Trend_Any_Teacher!$A$2:$A$23</c:f>
              <c:numCache>
                <c:formatCode>0</c:formatCod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numCache>
            </c:numRef>
          </c:cat>
          <c:val>
            <c:numRef>
              <c:f>Trend_Any_Teacher!$E$2:$E$23</c:f>
              <c:numCache>
                <c:formatCode>0%</c:formatCode>
                <c:ptCount val="22"/>
                <c:pt idx="0">
                  <c:v>1.7364658415317535E-2</c:v>
                </c:pt>
                <c:pt idx="1">
                  <c:v>2.3527361452579498E-2</c:v>
                </c:pt>
                <c:pt idx="2">
                  <c:v>3.0924370512366295E-2</c:v>
                </c:pt>
                <c:pt idx="3">
                  <c:v>3.9506174623966217E-2</c:v>
                </c:pt>
                <c:pt idx="4">
                  <c:v>4.0110304951667786E-2</c:v>
                </c:pt>
                <c:pt idx="5">
                  <c:v>4.4784799218177795E-2</c:v>
                </c:pt>
                <c:pt idx="6">
                  <c:v>4.1393142193555832E-2</c:v>
                </c:pt>
                <c:pt idx="7">
                  <c:v>4.386930912733078E-2</c:v>
                </c:pt>
                <c:pt idx="8">
                  <c:v>5.5421687662601471E-2</c:v>
                </c:pt>
                <c:pt idx="9">
                  <c:v>5.4104477167129517E-2</c:v>
                </c:pt>
                <c:pt idx="10">
                  <c:v>6.8381182849407196E-2</c:v>
                </c:pt>
                <c:pt idx="11">
                  <c:v>5.708787590265274E-2</c:v>
                </c:pt>
                <c:pt idx="12">
                  <c:v>4.8555880784988403E-2</c:v>
                </c:pt>
                <c:pt idx="13">
                  <c:v>5.4311774671077728E-2</c:v>
                </c:pt>
                <c:pt idx="14">
                  <c:v>5.549510195851326E-2</c:v>
                </c:pt>
                <c:pt idx="15">
                  <c:v>5.5878687649965286E-2</c:v>
                </c:pt>
                <c:pt idx="16">
                  <c:v>4.0963854640722275E-2</c:v>
                </c:pt>
                <c:pt idx="17">
                  <c:v>4.1086956858634949E-2</c:v>
                </c:pt>
                <c:pt idx="18">
                  <c:v>3.7600714713335037E-2</c:v>
                </c:pt>
                <c:pt idx="19">
                  <c:v>4.1762277483940125E-2</c:v>
                </c:pt>
                <c:pt idx="20">
                  <c:v>3.7010334432125092E-2</c:v>
                </c:pt>
                <c:pt idx="21">
                  <c:v>4.3123245239257813E-2</c:v>
                </c:pt>
              </c:numCache>
            </c:numRef>
          </c:val>
          <c:smooth val="0"/>
          <c:extLst>
            <c:ext xmlns:c16="http://schemas.microsoft.com/office/drawing/2014/chart" uri="{C3380CC4-5D6E-409C-BE32-E72D297353CC}">
              <c16:uniqueId val="{00000002-69B3-4B00-B625-B7EC7E81BFD6}"/>
            </c:ext>
          </c:extLst>
        </c:ser>
        <c:ser>
          <c:idx val="1"/>
          <c:order val="3"/>
          <c:tx>
            <c:strRef>
              <c:f>Trend_Any_Teacher!$F$1</c:f>
              <c:strCache>
                <c:ptCount val="1"/>
                <c:pt idx="0">
                  <c:v>Stomach &amp; liver problems</c:v>
                </c:pt>
              </c:strCache>
            </c:strRef>
          </c:tx>
          <c:spPr>
            <a:ln w="22225" cap="rnd">
              <a:solidFill>
                <a:schemeClr val="bg1">
                  <a:lumMod val="50000"/>
                </a:schemeClr>
              </a:solidFill>
              <a:prstDash val="dash"/>
              <a:round/>
            </a:ln>
            <a:effectLst/>
          </c:spPr>
          <c:marker>
            <c:symbol val="triangle"/>
            <c:size val="6"/>
            <c:spPr>
              <a:noFill/>
              <a:ln w="19050">
                <a:solidFill>
                  <a:schemeClr val="bg1">
                    <a:lumMod val="50000"/>
                  </a:schemeClr>
                </a:solidFill>
              </a:ln>
              <a:effectLst/>
            </c:spPr>
          </c:marker>
          <c:cat>
            <c:numRef>
              <c:f>Trend_Any_Teacher!$A$2:$A$23</c:f>
              <c:numCache>
                <c:formatCode>0</c:formatCod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numCache>
            </c:numRef>
          </c:cat>
          <c:val>
            <c:numRef>
              <c:f>Trend_Any_Teacher!$F$2:$F$23</c:f>
              <c:numCache>
                <c:formatCode>0%</c:formatCode>
                <c:ptCount val="22"/>
                <c:pt idx="0">
                  <c:v>1.3074565678834915E-2</c:v>
                </c:pt>
                <c:pt idx="1">
                  <c:v>1.3593586161732674E-2</c:v>
                </c:pt>
                <c:pt idx="2">
                  <c:v>2.06722691655159E-2</c:v>
                </c:pt>
                <c:pt idx="3">
                  <c:v>1.8694885075092316E-2</c:v>
                </c:pt>
                <c:pt idx="4">
                  <c:v>1.5542742796242237E-2</c:v>
                </c:pt>
                <c:pt idx="5">
                  <c:v>2.0356727764010429E-2</c:v>
                </c:pt>
                <c:pt idx="6">
                  <c:v>1.3129102997481823E-2</c:v>
                </c:pt>
                <c:pt idx="7">
                  <c:v>1.8538912758231163E-2</c:v>
                </c:pt>
                <c:pt idx="8">
                  <c:v>2.4281742051243782E-2</c:v>
                </c:pt>
                <c:pt idx="9">
                  <c:v>1.8656715750694275E-2</c:v>
                </c:pt>
                <c:pt idx="10">
                  <c:v>2.6111220940947533E-2</c:v>
                </c:pt>
                <c:pt idx="11">
                  <c:v>2.3305537179112434E-2</c:v>
                </c:pt>
                <c:pt idx="12">
                  <c:v>2.6789451017975807E-2</c:v>
                </c:pt>
                <c:pt idx="13">
                  <c:v>3.1923715025186539E-2</c:v>
                </c:pt>
                <c:pt idx="14">
                  <c:v>3.3717643469572067E-2</c:v>
                </c:pt>
                <c:pt idx="15">
                  <c:v>3.345106914639473E-2</c:v>
                </c:pt>
                <c:pt idx="16">
                  <c:v>3.0449068173766136E-2</c:v>
                </c:pt>
                <c:pt idx="17">
                  <c:v>2.1956522017717361E-2</c:v>
                </c:pt>
                <c:pt idx="18">
                  <c:v>2.797672338783741E-2</c:v>
                </c:pt>
                <c:pt idx="19">
                  <c:v>3.0059659853577614E-2</c:v>
                </c:pt>
                <c:pt idx="20">
                  <c:v>2.6676280423998833E-2</c:v>
                </c:pt>
                <c:pt idx="21">
                  <c:v>2.6792548596858978E-2</c:v>
                </c:pt>
              </c:numCache>
            </c:numRef>
          </c:val>
          <c:smooth val="0"/>
          <c:extLst>
            <c:ext xmlns:c16="http://schemas.microsoft.com/office/drawing/2014/chart" uri="{C3380CC4-5D6E-409C-BE32-E72D297353CC}">
              <c16:uniqueId val="{00000003-69B3-4B00-B625-B7EC7E81BFD6}"/>
            </c:ext>
          </c:extLst>
        </c:ser>
        <c:ser>
          <c:idx val="4"/>
          <c:order val="4"/>
          <c:tx>
            <c:strRef>
              <c:f>Trend_Any_Teacher!$G$1</c:f>
              <c:strCache>
                <c:ptCount val="1"/>
                <c:pt idx="0">
                  <c:v>Diabetes</c:v>
                </c:pt>
              </c:strCache>
            </c:strRef>
          </c:tx>
          <c:spPr>
            <a:ln w="28575" cap="rnd">
              <a:solidFill>
                <a:schemeClr val="bg1">
                  <a:lumMod val="50000"/>
                </a:schemeClr>
              </a:solidFill>
              <a:round/>
            </a:ln>
            <a:effectLst/>
          </c:spPr>
          <c:marker>
            <c:symbol val="circle"/>
            <c:size val="6"/>
            <c:spPr>
              <a:noFill/>
              <a:ln w="15875">
                <a:solidFill>
                  <a:schemeClr val="bg1">
                    <a:lumMod val="50000"/>
                  </a:schemeClr>
                </a:solidFill>
              </a:ln>
              <a:effectLst/>
            </c:spPr>
          </c:marker>
          <c:cat>
            <c:numRef>
              <c:f>Trend_Any_Teacher!$A$2:$A$23</c:f>
              <c:numCache>
                <c:formatCode>0</c:formatCod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numCache>
            </c:numRef>
          </c:cat>
          <c:val>
            <c:numRef>
              <c:f>Trend_Any_Teacher!$G$2:$G$23</c:f>
              <c:numCache>
                <c:formatCode>0%</c:formatCode>
                <c:ptCount val="22"/>
                <c:pt idx="0">
                  <c:v>8.1716040149331093E-3</c:v>
                </c:pt>
                <c:pt idx="1">
                  <c:v>6.2739630229771137E-3</c:v>
                </c:pt>
                <c:pt idx="2">
                  <c:v>5.8823530562222004E-3</c:v>
                </c:pt>
                <c:pt idx="3">
                  <c:v>7.7601410448551178E-3</c:v>
                </c:pt>
                <c:pt idx="4">
                  <c:v>9.5261968672275543E-3</c:v>
                </c:pt>
                <c:pt idx="5">
                  <c:v>7.7549437992274761E-3</c:v>
                </c:pt>
                <c:pt idx="6">
                  <c:v>8.3880377933382988E-3</c:v>
                </c:pt>
                <c:pt idx="7">
                  <c:v>1.0095448233187199E-2</c:v>
                </c:pt>
                <c:pt idx="8">
                  <c:v>1.2789620086550713E-2</c:v>
                </c:pt>
                <c:pt idx="9">
                  <c:v>1.4365671202540398E-2</c:v>
                </c:pt>
                <c:pt idx="10">
                  <c:v>1.3955342583358288E-2</c:v>
                </c:pt>
                <c:pt idx="11">
                  <c:v>1.0049176402390003E-2</c:v>
                </c:pt>
                <c:pt idx="12">
                  <c:v>1.1929677799344063E-2</c:v>
                </c:pt>
                <c:pt idx="13">
                  <c:v>1.0779435746371746E-2</c:v>
                </c:pt>
                <c:pt idx="14">
                  <c:v>1.2622416019439697E-2</c:v>
                </c:pt>
                <c:pt idx="15">
                  <c:v>1.3297319412231445E-2</c:v>
                </c:pt>
                <c:pt idx="16">
                  <c:v>1.4457831159234047E-2</c:v>
                </c:pt>
                <c:pt idx="17">
                  <c:v>1.1956521309912205E-2</c:v>
                </c:pt>
                <c:pt idx="18">
                  <c:v>1.2757386080920696E-2</c:v>
                </c:pt>
                <c:pt idx="19">
                  <c:v>1.4915098436176777E-2</c:v>
                </c:pt>
                <c:pt idx="20">
                  <c:v>1.1535688303411007E-2</c:v>
                </c:pt>
                <c:pt idx="21">
                  <c:v>1.3013524003326893E-2</c:v>
                </c:pt>
              </c:numCache>
            </c:numRef>
          </c:val>
          <c:smooth val="0"/>
          <c:extLst>
            <c:ext xmlns:c16="http://schemas.microsoft.com/office/drawing/2014/chart" uri="{C3380CC4-5D6E-409C-BE32-E72D297353CC}">
              <c16:uniqueId val="{00000004-69B3-4B00-B625-B7EC7E81BFD6}"/>
            </c:ext>
          </c:extLst>
        </c:ser>
        <c:dLbls>
          <c:showLegendKey val="0"/>
          <c:showVal val="0"/>
          <c:showCatName val="0"/>
          <c:showSerName val="0"/>
          <c:showPercent val="0"/>
          <c:showBubbleSize val="0"/>
        </c:dLbls>
        <c:marker val="1"/>
        <c:smooth val="0"/>
        <c:axId val="2025254752"/>
        <c:axId val="1"/>
      </c:lineChart>
      <c:catAx>
        <c:axId val="2025254752"/>
        <c:scaling>
          <c:orientation val="minMax"/>
        </c:scaling>
        <c:delete val="0"/>
        <c:axPos val="b"/>
        <c:numFmt formatCode="0"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sz="1100" b="0" i="0" u="none" strike="noStrike" baseline="0">
                <a:solidFill>
                  <a:srgbClr val="333333"/>
                </a:solidFill>
                <a:latin typeface="Arial"/>
                <a:ea typeface="Arial"/>
                <a:cs typeface="Arial"/>
              </a:defRPr>
            </a:pPr>
            <a:endParaRPr lang="en-US"/>
          </a:p>
        </c:txPr>
        <c:crossAx val="1"/>
        <c:crosses val="autoZero"/>
        <c:auto val="1"/>
        <c:lblAlgn val="ctr"/>
        <c:lblOffset val="100"/>
        <c:noMultiLvlLbl val="0"/>
      </c:catAx>
      <c:valAx>
        <c:axId val="1"/>
        <c:scaling>
          <c:orientation val="minMax"/>
          <c:max val="0.15000000000000002"/>
          <c:min val="0"/>
        </c:scaling>
        <c:delete val="0"/>
        <c:axPos val="l"/>
        <c:numFmt formatCode="0%" sourceLinked="1"/>
        <c:majorTickMark val="none"/>
        <c:minorTickMark val="none"/>
        <c:tickLblPos val="nextTo"/>
        <c:spPr>
          <a:ln w="6350">
            <a:noFill/>
          </a:ln>
        </c:spPr>
        <c:txPr>
          <a:bodyPr rot="0" vert="horz"/>
          <a:lstStyle/>
          <a:p>
            <a:pPr>
              <a:defRPr sz="1100" b="0" i="0" u="none" strike="noStrike" baseline="0">
                <a:solidFill>
                  <a:srgbClr val="333333"/>
                </a:solidFill>
                <a:latin typeface="Arial"/>
                <a:ea typeface="Arial"/>
                <a:cs typeface="Arial"/>
              </a:defRPr>
            </a:pPr>
            <a:endParaRPr lang="en-US"/>
          </a:p>
        </c:txPr>
        <c:crossAx val="2025254752"/>
        <c:crosses val="autoZero"/>
        <c:crossBetween val="between"/>
        <c:majorUnit val="5.000000000000001E-2"/>
      </c:valAx>
      <c:spPr>
        <a:noFill/>
        <a:ln w="25400">
          <a:noFill/>
        </a:ln>
      </c:spPr>
    </c:plotArea>
    <c:legend>
      <c:legendPos val="b"/>
      <c:layout>
        <c:manualLayout>
          <c:xMode val="edge"/>
          <c:yMode val="edge"/>
          <c:x val="0.59850211616948901"/>
          <c:y val="1.8707614819175641E-2"/>
          <c:w val="0.40149788383051099"/>
          <c:h val="0.26584018119230424"/>
        </c:manualLayout>
      </c:layout>
      <c:overlay val="0"/>
      <c:spPr>
        <a:noFill/>
        <a:ln w="25400">
          <a:noFill/>
        </a:ln>
      </c:spPr>
      <c:txPr>
        <a:bodyPr/>
        <a:lstStyle/>
        <a:p>
          <a:pPr>
            <a:defRPr sz="1010" b="0" i="0" u="none" strike="noStrike" baseline="0">
              <a:solidFill>
                <a:srgbClr val="333333"/>
              </a:solidFill>
              <a:latin typeface="Arial"/>
              <a:ea typeface="Arial"/>
              <a:cs typeface="Arial"/>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7564829396325465E-2"/>
          <c:y val="4.4176706827309238E-2"/>
          <c:w val="0.91738035562456099"/>
          <c:h val="0.88543571588435166"/>
        </c:manualLayout>
      </c:layout>
      <c:lineChart>
        <c:grouping val="standard"/>
        <c:varyColors val="0"/>
        <c:ser>
          <c:idx val="0"/>
          <c:order val="0"/>
          <c:tx>
            <c:strRef>
              <c:f>Trend_OCC_Lasting!$A$2</c:f>
              <c:strCache>
                <c:ptCount val="1"/>
                <c:pt idx="0">
                  <c:v>Accountant</c:v>
                </c:pt>
              </c:strCache>
            </c:strRef>
          </c:tx>
          <c:spPr>
            <a:ln w="19050" cap="rnd">
              <a:solidFill>
                <a:schemeClr val="bg1">
                  <a:lumMod val="85000"/>
                </a:schemeClr>
              </a:solidFill>
              <a:round/>
            </a:ln>
            <a:effectLst/>
          </c:spPr>
          <c:marker>
            <c:symbol val="triangle"/>
            <c:size val="5"/>
            <c:spPr>
              <a:noFill/>
              <a:ln w="15875">
                <a:solidFill>
                  <a:schemeClr val="bg1">
                    <a:lumMod val="65000"/>
                  </a:schemeClr>
                </a:solidFill>
              </a:ln>
              <a:effectLst/>
            </c:spPr>
          </c:marker>
          <c:cat>
            <c:strRef>
              <c:f>Trend_OCC_Lasting!$B$1:$W$1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Trend_OCC_Lasting!$B$2:$W$2</c:f>
              <c:numCache>
                <c:formatCode>0%</c:formatCode>
                <c:ptCount val="22"/>
                <c:pt idx="0">
                  <c:v>0.11884816735982895</c:v>
                </c:pt>
                <c:pt idx="1">
                  <c:v>0.13517665863037109</c:v>
                </c:pt>
                <c:pt idx="2">
                  <c:v>0.13576158881187439</c:v>
                </c:pt>
                <c:pt idx="3">
                  <c:v>0.15411356091499329</c:v>
                </c:pt>
                <c:pt idx="4">
                  <c:v>0.18435092270374298</c:v>
                </c:pt>
                <c:pt idx="5">
                  <c:v>0.19055944681167603</c:v>
                </c:pt>
                <c:pt idx="6">
                  <c:v>0.17637059092521667</c:v>
                </c:pt>
                <c:pt idx="7">
                  <c:v>0.16398434340953827</c:v>
                </c:pt>
                <c:pt idx="8">
                  <c:v>0.17226341366767883</c:v>
                </c:pt>
                <c:pt idx="9">
                  <c:v>0.18891988694667816</c:v>
                </c:pt>
                <c:pt idx="10">
                  <c:v>0.16594912111759186</c:v>
                </c:pt>
                <c:pt idx="11">
                  <c:v>0.1761612594127655</c:v>
                </c:pt>
                <c:pt idx="12">
                  <c:v>0.17788255214691162</c:v>
                </c:pt>
                <c:pt idx="13">
                  <c:v>0.22346119582653046</c:v>
                </c:pt>
                <c:pt idx="14">
                  <c:v>0.24587403237819672</c:v>
                </c:pt>
                <c:pt idx="15">
                  <c:v>0.21779859066009521</c:v>
                </c:pt>
                <c:pt idx="16">
                  <c:v>0.2277851402759552</c:v>
                </c:pt>
                <c:pt idx="17">
                  <c:v>0.22044415771961212</c:v>
                </c:pt>
                <c:pt idx="18">
                  <c:v>0.22272726893424988</c:v>
                </c:pt>
                <c:pt idx="19">
                  <c:v>0.20856404304504395</c:v>
                </c:pt>
                <c:pt idx="20">
                  <c:v>0.23341789841651917</c:v>
                </c:pt>
                <c:pt idx="21">
                  <c:v>0.22468793392181396</c:v>
                </c:pt>
              </c:numCache>
            </c:numRef>
          </c:val>
          <c:smooth val="0"/>
          <c:extLst>
            <c:ext xmlns:c16="http://schemas.microsoft.com/office/drawing/2014/chart" uri="{C3380CC4-5D6E-409C-BE32-E72D297353CC}">
              <c16:uniqueId val="{00000000-D95D-4C80-99CE-27779E3A83AF}"/>
            </c:ext>
          </c:extLst>
        </c:ser>
        <c:ser>
          <c:idx val="1"/>
          <c:order val="1"/>
          <c:tx>
            <c:strRef>
              <c:f>Trend_OCC_Lasting!$A$3</c:f>
              <c:strCache>
                <c:ptCount val="1"/>
                <c:pt idx="0">
                  <c:v>Teachers</c:v>
                </c:pt>
              </c:strCache>
            </c:strRef>
          </c:tx>
          <c:spPr>
            <a:ln w="28575" cap="rnd">
              <a:solidFill>
                <a:schemeClr val="tx1"/>
              </a:solidFill>
              <a:round/>
            </a:ln>
            <a:effectLst/>
          </c:spPr>
          <c:marker>
            <c:symbol val="square"/>
            <c:size val="8"/>
            <c:spPr>
              <a:noFill/>
              <a:ln w="15875">
                <a:solidFill>
                  <a:schemeClr val="tx1"/>
                </a:solidFill>
              </a:ln>
              <a:effectLst/>
            </c:spPr>
          </c:marker>
          <c:cat>
            <c:strRef>
              <c:f>Trend_OCC_Lasting!$B$1:$W$1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Trend_OCC_Lasting!$B$3:$W$3</c:f>
              <c:numCache>
                <c:formatCode>0%</c:formatCode>
                <c:ptCount val="22"/>
                <c:pt idx="0">
                  <c:v>0.1397344172000885</c:v>
                </c:pt>
                <c:pt idx="1">
                  <c:v>0.15074938535690308</c:v>
                </c:pt>
                <c:pt idx="2">
                  <c:v>0.17277310788631439</c:v>
                </c:pt>
                <c:pt idx="3">
                  <c:v>0.20105819404125214</c:v>
                </c:pt>
                <c:pt idx="4">
                  <c:v>0.18403318524360657</c:v>
                </c:pt>
                <c:pt idx="5">
                  <c:v>0.20222708582878113</c:v>
                </c:pt>
                <c:pt idx="6">
                  <c:v>0.1867188960313797</c:v>
                </c:pt>
                <c:pt idx="7">
                  <c:v>0.18612334132194519</c:v>
                </c:pt>
                <c:pt idx="8">
                  <c:v>0.20685820281505585</c:v>
                </c:pt>
                <c:pt idx="9">
                  <c:v>0.19393593072891235</c:v>
                </c:pt>
                <c:pt idx="10">
                  <c:v>0.22095394134521484</c:v>
                </c:pt>
                <c:pt idx="11">
                  <c:v>0.19670729339122772</c:v>
                </c:pt>
                <c:pt idx="12">
                  <c:v>0.20782753825187683</c:v>
                </c:pt>
                <c:pt idx="13">
                  <c:v>0.24668325483798981</c:v>
                </c:pt>
                <c:pt idx="14">
                  <c:v>0.24783284962177277</c:v>
                </c:pt>
                <c:pt idx="15">
                  <c:v>0.23223753273487091</c:v>
                </c:pt>
                <c:pt idx="16">
                  <c:v>0.22694413363933563</c:v>
                </c:pt>
                <c:pt idx="17">
                  <c:v>0.21173913776874542</c:v>
                </c:pt>
                <c:pt idx="18">
                  <c:v>0.21396797895431519</c:v>
                </c:pt>
                <c:pt idx="19">
                  <c:v>0.23055554926395416</c:v>
                </c:pt>
                <c:pt idx="20">
                  <c:v>0.24574622511863708</c:v>
                </c:pt>
                <c:pt idx="21">
                  <c:v>0.24182508885860443</c:v>
                </c:pt>
              </c:numCache>
            </c:numRef>
          </c:val>
          <c:smooth val="0"/>
          <c:extLst>
            <c:ext xmlns:c16="http://schemas.microsoft.com/office/drawing/2014/chart" uri="{C3380CC4-5D6E-409C-BE32-E72D297353CC}">
              <c16:uniqueId val="{00000001-D95D-4C80-99CE-27779E3A83AF}"/>
            </c:ext>
          </c:extLst>
        </c:ser>
        <c:ser>
          <c:idx val="3"/>
          <c:order val="2"/>
          <c:tx>
            <c:strRef>
              <c:f>Trend_OCC_Lasting!$A$5</c:f>
              <c:strCache>
                <c:ptCount val="1"/>
                <c:pt idx="0">
                  <c:v>Human resources</c:v>
                </c:pt>
              </c:strCache>
            </c:strRef>
          </c:tx>
          <c:spPr>
            <a:ln w="15875" cap="rnd">
              <a:solidFill>
                <a:schemeClr val="bg1">
                  <a:lumMod val="85000"/>
                </a:schemeClr>
              </a:solidFill>
              <a:prstDash val="dash"/>
              <a:round/>
            </a:ln>
            <a:effectLst/>
          </c:spPr>
          <c:marker>
            <c:symbol val="circle"/>
            <c:size val="5"/>
            <c:spPr>
              <a:noFill/>
              <a:ln w="15875">
                <a:solidFill>
                  <a:schemeClr val="bg1">
                    <a:lumMod val="65000"/>
                  </a:schemeClr>
                </a:solidFill>
                <a:prstDash val="solid"/>
              </a:ln>
              <a:effectLst/>
            </c:spPr>
          </c:marker>
          <c:cat>
            <c:strRef>
              <c:f>Trend_OCC_Lasting!$B$1:$W$1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Trend_OCC_Lasting!$B$5:$W$5</c:f>
              <c:numCache>
                <c:formatCode>0%</c:formatCode>
                <c:ptCount val="22"/>
                <c:pt idx="0">
                  <c:v>0.13316790759563446</c:v>
                </c:pt>
                <c:pt idx="1">
                  <c:v>0.12067796289920807</c:v>
                </c:pt>
                <c:pt idx="2">
                  <c:v>0.15582558512687683</c:v>
                </c:pt>
                <c:pt idx="3">
                  <c:v>0.17541436851024628</c:v>
                </c:pt>
                <c:pt idx="4">
                  <c:v>0.17832647264003754</c:v>
                </c:pt>
                <c:pt idx="5">
                  <c:v>0.1761457771062851</c:v>
                </c:pt>
                <c:pt idx="6">
                  <c:v>0.15977336466312408</c:v>
                </c:pt>
                <c:pt idx="7">
                  <c:v>0.19140838086605072</c:v>
                </c:pt>
                <c:pt idx="8">
                  <c:v>0.20420259237289429</c:v>
                </c:pt>
                <c:pt idx="9">
                  <c:v>0.20385818183422089</c:v>
                </c:pt>
                <c:pt idx="10">
                  <c:v>0.21679790318012238</c:v>
                </c:pt>
                <c:pt idx="11">
                  <c:v>0.18759690225124359</c:v>
                </c:pt>
                <c:pt idx="12">
                  <c:v>0.20640365779399872</c:v>
                </c:pt>
                <c:pt idx="13">
                  <c:v>0.22498446702957153</c:v>
                </c:pt>
                <c:pt idx="14">
                  <c:v>0.26114150881767273</c:v>
                </c:pt>
                <c:pt idx="15">
                  <c:v>0.21918767690658569</c:v>
                </c:pt>
                <c:pt idx="16">
                  <c:v>0.19263456761837006</c:v>
                </c:pt>
                <c:pt idx="17">
                  <c:v>0.18526315689086914</c:v>
                </c:pt>
                <c:pt idx="18">
                  <c:v>0.20563594996929169</c:v>
                </c:pt>
                <c:pt idx="19">
                  <c:v>0.21238300204277039</c:v>
                </c:pt>
                <c:pt idx="20">
                  <c:v>0.21783526241779327</c:v>
                </c:pt>
                <c:pt idx="21">
                  <c:v>0.246779665350914</c:v>
                </c:pt>
              </c:numCache>
            </c:numRef>
          </c:val>
          <c:smooth val="0"/>
          <c:extLst>
            <c:ext xmlns:c16="http://schemas.microsoft.com/office/drawing/2014/chart" uri="{C3380CC4-5D6E-409C-BE32-E72D297353CC}">
              <c16:uniqueId val="{00000002-D95D-4C80-99CE-27779E3A83AF}"/>
            </c:ext>
          </c:extLst>
        </c:ser>
        <c:ser>
          <c:idx val="4"/>
          <c:order val="3"/>
          <c:tx>
            <c:strRef>
              <c:f>Trend_OCC_Lasting!$A$6</c:f>
              <c:strCache>
                <c:ptCount val="1"/>
                <c:pt idx="0">
                  <c:v>Nurses</c:v>
                </c:pt>
              </c:strCache>
            </c:strRef>
          </c:tx>
          <c:spPr>
            <a:ln w="19050" cap="rnd">
              <a:solidFill>
                <a:schemeClr val="bg1">
                  <a:lumMod val="85000"/>
                </a:schemeClr>
              </a:solidFill>
              <a:round/>
            </a:ln>
            <a:effectLst/>
          </c:spPr>
          <c:marker>
            <c:symbol val="plus"/>
            <c:size val="8"/>
            <c:spPr>
              <a:noFill/>
              <a:ln w="15875">
                <a:solidFill>
                  <a:schemeClr val="bg1">
                    <a:lumMod val="65000"/>
                  </a:schemeClr>
                </a:solidFill>
              </a:ln>
              <a:effectLst/>
            </c:spPr>
          </c:marker>
          <c:cat>
            <c:strRef>
              <c:f>Trend_OCC_Lasting!$B$1:$W$1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Trend_OCC_Lasting!$B$6:$W$6</c:f>
              <c:numCache>
                <c:formatCode>0%</c:formatCode>
                <c:ptCount val="22"/>
                <c:pt idx="0">
                  <c:v>0.14845070242881775</c:v>
                </c:pt>
                <c:pt idx="1">
                  <c:v>0.1833537369966507</c:v>
                </c:pt>
                <c:pt idx="2">
                  <c:v>0.21109984815120697</c:v>
                </c:pt>
                <c:pt idx="3">
                  <c:v>0.21167315542697906</c:v>
                </c:pt>
                <c:pt idx="4">
                  <c:v>0.2014780193567276</c:v>
                </c:pt>
                <c:pt idx="5">
                  <c:v>0.22249589860439301</c:v>
                </c:pt>
                <c:pt idx="6">
                  <c:v>0.2015729695558548</c:v>
                </c:pt>
                <c:pt idx="7">
                  <c:v>0.21093524992465973</c:v>
                </c:pt>
                <c:pt idx="8">
                  <c:v>0.21072141826152802</c:v>
                </c:pt>
                <c:pt idx="9">
                  <c:v>0.22003929316997528</c:v>
                </c:pt>
                <c:pt idx="10">
                  <c:v>0.2331199049949646</c:v>
                </c:pt>
                <c:pt idx="11">
                  <c:v>0.25627836585044861</c:v>
                </c:pt>
                <c:pt idx="12">
                  <c:v>0.24308176338672638</c:v>
                </c:pt>
                <c:pt idx="13">
                  <c:v>0.29241517186164856</c:v>
                </c:pt>
                <c:pt idx="14">
                  <c:v>0.28281882405281067</c:v>
                </c:pt>
                <c:pt idx="15">
                  <c:v>0.2833133339881897</c:v>
                </c:pt>
                <c:pt idx="16">
                  <c:v>0.27073019742965698</c:v>
                </c:pt>
                <c:pt idx="17">
                  <c:v>0.27175620198249817</c:v>
                </c:pt>
                <c:pt idx="18">
                  <c:v>0.26504886150360107</c:v>
                </c:pt>
                <c:pt idx="19">
                  <c:v>0.28719276189804077</c:v>
                </c:pt>
                <c:pt idx="20">
                  <c:v>0.2852664589881897</c:v>
                </c:pt>
                <c:pt idx="21">
                  <c:v>0.29697555303573608</c:v>
                </c:pt>
              </c:numCache>
            </c:numRef>
          </c:val>
          <c:smooth val="0"/>
          <c:extLst>
            <c:ext xmlns:c16="http://schemas.microsoft.com/office/drawing/2014/chart" uri="{C3380CC4-5D6E-409C-BE32-E72D297353CC}">
              <c16:uniqueId val="{00000003-D95D-4C80-99CE-27779E3A83AF}"/>
            </c:ext>
          </c:extLst>
        </c:ser>
        <c:ser>
          <c:idx val="6"/>
          <c:order val="4"/>
          <c:tx>
            <c:strRef>
              <c:f>Trend_OCC_Lasting!$A$7</c:f>
              <c:strCache>
                <c:ptCount val="1"/>
                <c:pt idx="0">
                  <c:v>All professionals</c:v>
                </c:pt>
              </c:strCache>
            </c:strRef>
          </c:tx>
          <c:spPr>
            <a:ln w="22225" cap="rnd">
              <a:solidFill>
                <a:schemeClr val="bg1">
                  <a:lumMod val="75000"/>
                </a:schemeClr>
              </a:solidFill>
              <a:prstDash val="sysDash"/>
              <a:round/>
            </a:ln>
            <a:effectLst/>
          </c:spPr>
          <c:marker>
            <c:symbol val="x"/>
            <c:size val="5"/>
            <c:spPr>
              <a:noFill/>
              <a:ln w="9525">
                <a:solidFill>
                  <a:schemeClr val="bg1">
                    <a:lumMod val="75000"/>
                  </a:schemeClr>
                </a:solidFill>
              </a:ln>
              <a:effectLst/>
            </c:spPr>
          </c:marker>
          <c:cat>
            <c:strRef>
              <c:f>Trend_OCC_Lasting!$B$1:$W$1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Trend_OCC_Lasting!$B$7:$W$7</c:f>
              <c:numCache>
                <c:formatCode>0%</c:formatCode>
                <c:ptCount val="22"/>
                <c:pt idx="0">
                  <c:v>0.13757641613483429</c:v>
                </c:pt>
                <c:pt idx="1">
                  <c:v>0.15264812111854553</c:v>
                </c:pt>
                <c:pt idx="2">
                  <c:v>0.1651519238948822</c:v>
                </c:pt>
                <c:pt idx="3">
                  <c:v>0.18275116384029388</c:v>
                </c:pt>
                <c:pt idx="4">
                  <c:v>0.17963619530200958</c:v>
                </c:pt>
                <c:pt idx="5">
                  <c:v>0.18631738424301147</c:v>
                </c:pt>
                <c:pt idx="6">
                  <c:v>0.18519501388072968</c:v>
                </c:pt>
                <c:pt idx="7">
                  <c:v>0.18822641670703888</c:v>
                </c:pt>
                <c:pt idx="8">
                  <c:v>0.20147834718227386</c:v>
                </c:pt>
                <c:pt idx="9">
                  <c:v>0.2001274973154068</c:v>
                </c:pt>
                <c:pt idx="10">
                  <c:v>0.20613668859004974</c:v>
                </c:pt>
                <c:pt idx="11">
                  <c:v>0.20430107414722443</c:v>
                </c:pt>
                <c:pt idx="12">
                  <c:v>0.20944817364215851</c:v>
                </c:pt>
                <c:pt idx="13">
                  <c:v>0.24638624489307404</c:v>
                </c:pt>
                <c:pt idx="14">
                  <c:v>0.25681737065315247</c:v>
                </c:pt>
                <c:pt idx="15">
                  <c:v>0.24732539057731628</c:v>
                </c:pt>
                <c:pt idx="16">
                  <c:v>0.2371685653924942</c:v>
                </c:pt>
                <c:pt idx="17">
                  <c:v>0.23215910792350769</c:v>
                </c:pt>
                <c:pt idx="18">
                  <c:v>0.2286088615655899</c:v>
                </c:pt>
                <c:pt idx="19">
                  <c:v>0.23373536765575409</c:v>
                </c:pt>
                <c:pt idx="20">
                  <c:v>0.24640591442584991</c:v>
                </c:pt>
                <c:pt idx="21">
                  <c:v>0.24846614897251129</c:v>
                </c:pt>
              </c:numCache>
            </c:numRef>
          </c:val>
          <c:smooth val="0"/>
          <c:extLst>
            <c:ext xmlns:c16="http://schemas.microsoft.com/office/drawing/2014/chart" uri="{C3380CC4-5D6E-409C-BE32-E72D297353CC}">
              <c16:uniqueId val="{00000004-D95D-4C80-99CE-27779E3A83AF}"/>
            </c:ext>
          </c:extLst>
        </c:ser>
        <c:dLbls>
          <c:showLegendKey val="0"/>
          <c:showVal val="0"/>
          <c:showCatName val="0"/>
          <c:showSerName val="0"/>
          <c:showPercent val="0"/>
          <c:showBubbleSize val="0"/>
        </c:dLbls>
        <c:marker val="1"/>
        <c:smooth val="0"/>
        <c:axId val="2025253952"/>
        <c:axId val="1"/>
      </c:lineChart>
      <c:catAx>
        <c:axId val="2025253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sz="1100" b="0" i="0" u="none" strike="noStrike" baseline="0">
                <a:solidFill>
                  <a:srgbClr val="333333"/>
                </a:solidFill>
                <a:latin typeface="Arial"/>
                <a:ea typeface="Arial"/>
                <a:cs typeface="Arial"/>
              </a:defRPr>
            </a:pPr>
            <a:endParaRPr lang="en-US"/>
          </a:p>
        </c:txPr>
        <c:crossAx val="1"/>
        <c:crosses val="autoZero"/>
        <c:auto val="1"/>
        <c:lblAlgn val="ctr"/>
        <c:lblOffset val="100"/>
        <c:noMultiLvlLbl val="0"/>
      </c:catAx>
      <c:valAx>
        <c:axId val="1"/>
        <c:scaling>
          <c:orientation val="minMax"/>
          <c:max val="0.30000000000000004"/>
          <c:min val="5.000000000000001E-2"/>
        </c:scaling>
        <c:delete val="0"/>
        <c:axPos val="l"/>
        <c:numFmt formatCode="0%" sourceLinked="1"/>
        <c:majorTickMark val="none"/>
        <c:minorTickMark val="none"/>
        <c:tickLblPos val="nextTo"/>
        <c:spPr>
          <a:ln w="6350">
            <a:noFill/>
          </a:ln>
        </c:spPr>
        <c:txPr>
          <a:bodyPr rot="0" vert="horz"/>
          <a:lstStyle/>
          <a:p>
            <a:pPr>
              <a:defRPr sz="1100" b="0" i="0" u="none" strike="noStrike" baseline="0">
                <a:solidFill>
                  <a:srgbClr val="333333"/>
                </a:solidFill>
                <a:latin typeface="Arial"/>
                <a:ea typeface="Arial"/>
                <a:cs typeface="Arial"/>
              </a:defRPr>
            </a:pPr>
            <a:endParaRPr lang="en-US"/>
          </a:p>
        </c:txPr>
        <c:crossAx val="2025253952"/>
        <c:crosses val="autoZero"/>
        <c:crossBetween val="between"/>
      </c:valAx>
      <c:spPr>
        <a:noFill/>
        <a:ln w="25400">
          <a:noFill/>
        </a:ln>
      </c:spPr>
    </c:plotArea>
    <c:legend>
      <c:legendPos val="b"/>
      <c:layout>
        <c:manualLayout>
          <c:xMode val="edge"/>
          <c:yMode val="edge"/>
          <c:x val="0.69858814831244687"/>
          <c:y val="0.64886230306483006"/>
          <c:w val="0.30060153044249749"/>
          <c:h val="0.2605427034798945"/>
        </c:manualLayout>
      </c:layout>
      <c:overlay val="0"/>
      <c:spPr>
        <a:noFill/>
        <a:ln w="25400">
          <a:noFill/>
        </a:ln>
      </c:spPr>
      <c:txPr>
        <a:bodyPr/>
        <a:lstStyle/>
        <a:p>
          <a:pPr>
            <a:defRPr sz="1010" b="0" i="0" u="none" strike="noStrike" baseline="0">
              <a:solidFill>
                <a:srgbClr val="333333"/>
              </a:solidFill>
              <a:latin typeface="Arial"/>
              <a:ea typeface="Arial"/>
              <a:cs typeface="Arial"/>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7564829396325465E-2"/>
          <c:y val="4.4176706827309238E-2"/>
          <c:w val="0.91526243022439091"/>
          <c:h val="0.88543571588435166"/>
        </c:manualLayout>
      </c:layout>
      <c:lineChart>
        <c:grouping val="standard"/>
        <c:varyColors val="0"/>
        <c:ser>
          <c:idx val="0"/>
          <c:order val="0"/>
          <c:tx>
            <c:strRef>
              <c:f>Trend_OCC_Last_Depress!$A$2</c:f>
              <c:strCache>
                <c:ptCount val="1"/>
                <c:pt idx="0">
                  <c:v>Accountant</c:v>
                </c:pt>
              </c:strCache>
            </c:strRef>
          </c:tx>
          <c:spPr>
            <a:ln w="19050" cap="rnd">
              <a:solidFill>
                <a:schemeClr val="bg1">
                  <a:lumMod val="85000"/>
                </a:schemeClr>
              </a:solidFill>
              <a:round/>
            </a:ln>
            <a:effectLst/>
          </c:spPr>
          <c:marker>
            <c:symbol val="triangle"/>
            <c:size val="5"/>
            <c:spPr>
              <a:noFill/>
              <a:ln w="15875">
                <a:solidFill>
                  <a:schemeClr val="bg1">
                    <a:lumMod val="65000"/>
                  </a:schemeClr>
                </a:solidFill>
              </a:ln>
              <a:effectLst/>
            </c:spPr>
          </c:marker>
          <c:cat>
            <c:strRef>
              <c:f>Trend_OCC_Last_Depress!$B$1:$W$1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Trend_OCC_Last_Depress!$B$2:$W$2</c:f>
              <c:numCache>
                <c:formatCode>0%</c:formatCode>
                <c:ptCount val="22"/>
                <c:pt idx="0">
                  <c:v>0</c:v>
                </c:pt>
                <c:pt idx="1">
                  <c:v>4.6082949265837669E-3</c:v>
                </c:pt>
                <c:pt idx="2">
                  <c:v>5.1508462056517601E-3</c:v>
                </c:pt>
                <c:pt idx="3">
                  <c:v>7.3387408629059792E-3</c:v>
                </c:pt>
                <c:pt idx="4">
                  <c:v>6.5204505808651447E-3</c:v>
                </c:pt>
                <c:pt idx="5">
                  <c:v>9.6153849735856056E-3</c:v>
                </c:pt>
                <c:pt idx="6">
                  <c:v>5.9498511254787445E-3</c:v>
                </c:pt>
                <c:pt idx="7">
                  <c:v>4.3497174046933651E-3</c:v>
                </c:pt>
                <c:pt idx="8">
                  <c:v>8.2860877737402916E-3</c:v>
                </c:pt>
                <c:pt idx="9">
                  <c:v>6.3770427368581295E-3</c:v>
                </c:pt>
                <c:pt idx="10">
                  <c:v>4.6966732479631901E-3</c:v>
                </c:pt>
                <c:pt idx="11">
                  <c:v>6.5731815993785858E-3</c:v>
                </c:pt>
                <c:pt idx="12">
                  <c:v>7.2867553681135178E-3</c:v>
                </c:pt>
                <c:pt idx="13">
                  <c:v>1.159678865224123E-2</c:v>
                </c:pt>
                <c:pt idx="14">
                  <c:v>1.8524756655097008E-2</c:v>
                </c:pt>
                <c:pt idx="15">
                  <c:v>1.5389762818813324E-2</c:v>
                </c:pt>
                <c:pt idx="16">
                  <c:v>1.8230030313134193E-2</c:v>
                </c:pt>
                <c:pt idx="17">
                  <c:v>2.1554538980126381E-2</c:v>
                </c:pt>
                <c:pt idx="18">
                  <c:v>1.9696969538927078E-2</c:v>
                </c:pt>
                <c:pt idx="19">
                  <c:v>2.141011506319046E-2</c:v>
                </c:pt>
                <c:pt idx="20">
                  <c:v>3.6607466638088226E-2</c:v>
                </c:pt>
                <c:pt idx="21">
                  <c:v>3.5355284810066223E-2</c:v>
                </c:pt>
              </c:numCache>
            </c:numRef>
          </c:val>
          <c:smooth val="0"/>
          <c:extLst>
            <c:ext xmlns:c16="http://schemas.microsoft.com/office/drawing/2014/chart" uri="{C3380CC4-5D6E-409C-BE32-E72D297353CC}">
              <c16:uniqueId val="{00000000-0498-414E-89B5-4A122D7EFF0A}"/>
            </c:ext>
          </c:extLst>
        </c:ser>
        <c:ser>
          <c:idx val="1"/>
          <c:order val="1"/>
          <c:tx>
            <c:strRef>
              <c:f>Trend_OCC_Last_Depress!$A$3</c:f>
              <c:strCache>
                <c:ptCount val="1"/>
                <c:pt idx="0">
                  <c:v>Teachers</c:v>
                </c:pt>
              </c:strCache>
            </c:strRef>
          </c:tx>
          <c:spPr>
            <a:ln w="28575" cap="rnd">
              <a:solidFill>
                <a:schemeClr val="tx1"/>
              </a:solidFill>
              <a:round/>
            </a:ln>
            <a:effectLst/>
          </c:spPr>
          <c:marker>
            <c:symbol val="square"/>
            <c:size val="8"/>
            <c:spPr>
              <a:noFill/>
              <a:ln w="15875">
                <a:solidFill>
                  <a:schemeClr val="tx1"/>
                </a:solidFill>
              </a:ln>
              <a:effectLst/>
            </c:spPr>
          </c:marker>
          <c:cat>
            <c:strRef>
              <c:f>Trend_OCC_Last_Depress!$B$1:$W$1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Trend_OCC_Last_Depress!$B$3:$W$3</c:f>
              <c:numCache>
                <c:formatCode>0%</c:formatCode>
                <c:ptCount val="22"/>
                <c:pt idx="0">
                  <c:v>0</c:v>
                </c:pt>
                <c:pt idx="1">
                  <c:v>6.2739630229771137E-3</c:v>
                </c:pt>
                <c:pt idx="2">
                  <c:v>8.235294371843338E-3</c:v>
                </c:pt>
                <c:pt idx="3">
                  <c:v>1.1287477798759937E-2</c:v>
                </c:pt>
                <c:pt idx="4">
                  <c:v>1.3478485867381096E-2</c:v>
                </c:pt>
                <c:pt idx="5">
                  <c:v>1.3521574437618256E-2</c:v>
                </c:pt>
                <c:pt idx="6">
                  <c:v>1.3052396476268768E-2</c:v>
                </c:pt>
                <c:pt idx="7">
                  <c:v>1.4498072676360607E-2</c:v>
                </c:pt>
                <c:pt idx="8">
                  <c:v>1.2233549728989601E-2</c:v>
                </c:pt>
                <c:pt idx="9">
                  <c:v>1.563393697142601E-2</c:v>
                </c:pt>
                <c:pt idx="10">
                  <c:v>2.303302101790905E-2</c:v>
                </c:pt>
                <c:pt idx="11">
                  <c:v>1.6677357256412506E-2</c:v>
                </c:pt>
                <c:pt idx="12">
                  <c:v>1.9882796332240105E-2</c:v>
                </c:pt>
                <c:pt idx="13">
                  <c:v>2.0522387698292732E-2</c:v>
                </c:pt>
                <c:pt idx="14">
                  <c:v>2.1782618016004562E-2</c:v>
                </c:pt>
                <c:pt idx="15">
                  <c:v>2.5450689718127251E-2</c:v>
                </c:pt>
                <c:pt idx="16">
                  <c:v>2.2343920543789864E-2</c:v>
                </c:pt>
                <c:pt idx="17">
                  <c:v>2.9565216973423958E-2</c:v>
                </c:pt>
                <c:pt idx="18">
                  <c:v>3.6476869136095047E-2</c:v>
                </c:pt>
                <c:pt idx="19">
                  <c:v>4.3981481343507767E-2</c:v>
                </c:pt>
                <c:pt idx="20">
                  <c:v>5.4691299796104431E-2</c:v>
                </c:pt>
                <c:pt idx="21">
                  <c:v>5.1711026579141617E-2</c:v>
                </c:pt>
              </c:numCache>
            </c:numRef>
          </c:val>
          <c:smooth val="0"/>
          <c:extLst>
            <c:ext xmlns:c16="http://schemas.microsoft.com/office/drawing/2014/chart" uri="{C3380CC4-5D6E-409C-BE32-E72D297353CC}">
              <c16:uniqueId val="{00000001-0498-414E-89B5-4A122D7EFF0A}"/>
            </c:ext>
          </c:extLst>
        </c:ser>
        <c:ser>
          <c:idx val="3"/>
          <c:order val="2"/>
          <c:tx>
            <c:strRef>
              <c:f>Trend_OCC_Last_Depress!$A$5</c:f>
              <c:strCache>
                <c:ptCount val="1"/>
                <c:pt idx="0">
                  <c:v>Human resources</c:v>
                </c:pt>
              </c:strCache>
            </c:strRef>
          </c:tx>
          <c:spPr>
            <a:ln w="15875" cap="rnd">
              <a:solidFill>
                <a:schemeClr val="bg1">
                  <a:lumMod val="85000"/>
                </a:schemeClr>
              </a:solidFill>
              <a:prstDash val="dash"/>
              <a:round/>
            </a:ln>
            <a:effectLst/>
          </c:spPr>
          <c:marker>
            <c:symbol val="circle"/>
            <c:size val="5"/>
            <c:spPr>
              <a:noFill/>
              <a:ln w="15875">
                <a:solidFill>
                  <a:schemeClr val="bg1">
                    <a:lumMod val="65000"/>
                  </a:schemeClr>
                </a:solidFill>
                <a:prstDash val="solid"/>
              </a:ln>
              <a:effectLst/>
            </c:spPr>
          </c:marker>
          <c:cat>
            <c:strRef>
              <c:f>Trend_OCC_Last_Depress!$B$1:$W$1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Trend_OCC_Last_Depress!$B$5:$W$5</c:f>
              <c:numCache>
                <c:formatCode>0%</c:formatCode>
                <c:ptCount val="22"/>
                <c:pt idx="0">
                  <c:v>0</c:v>
                </c:pt>
                <c:pt idx="1">
                  <c:v>1.0847457684576511E-2</c:v>
                </c:pt>
                <c:pt idx="2">
                  <c:v>6.4331665635108948E-3</c:v>
                </c:pt>
                <c:pt idx="3">
                  <c:v>1.0359115898609161E-2</c:v>
                </c:pt>
                <c:pt idx="4">
                  <c:v>8.2304524257779121E-3</c:v>
                </c:pt>
                <c:pt idx="5">
                  <c:v>7.7305356971919537E-3</c:v>
                </c:pt>
                <c:pt idx="6">
                  <c:v>1.1331444606184959E-2</c:v>
                </c:pt>
                <c:pt idx="7">
                  <c:v>1.0863660834729671E-2</c:v>
                </c:pt>
                <c:pt idx="8">
                  <c:v>8.6206896230578423E-3</c:v>
                </c:pt>
                <c:pt idx="9">
                  <c:v>1.355578750371933E-2</c:v>
                </c:pt>
                <c:pt idx="10">
                  <c:v>1.627296581864357E-2</c:v>
                </c:pt>
                <c:pt idx="11">
                  <c:v>8.2687335088849068E-3</c:v>
                </c:pt>
                <c:pt idx="12">
                  <c:v>1.2578615918755531E-2</c:v>
                </c:pt>
                <c:pt idx="13">
                  <c:v>1.1187072843313217E-2</c:v>
                </c:pt>
                <c:pt idx="14">
                  <c:v>3.1274434179067612E-2</c:v>
                </c:pt>
                <c:pt idx="15">
                  <c:v>1.6806723549962044E-2</c:v>
                </c:pt>
                <c:pt idx="16">
                  <c:v>2.3371104151010513E-2</c:v>
                </c:pt>
                <c:pt idx="17">
                  <c:v>2.6666667312383652E-2</c:v>
                </c:pt>
                <c:pt idx="18">
                  <c:v>3.8842346519231796E-2</c:v>
                </c:pt>
                <c:pt idx="19">
                  <c:v>3.455723449587822E-2</c:v>
                </c:pt>
                <c:pt idx="20">
                  <c:v>4.9693670123815536E-2</c:v>
                </c:pt>
                <c:pt idx="21">
                  <c:v>5.2203390747308731E-2</c:v>
                </c:pt>
              </c:numCache>
            </c:numRef>
          </c:val>
          <c:smooth val="0"/>
          <c:extLst>
            <c:ext xmlns:c16="http://schemas.microsoft.com/office/drawing/2014/chart" uri="{C3380CC4-5D6E-409C-BE32-E72D297353CC}">
              <c16:uniqueId val="{00000002-0498-414E-89B5-4A122D7EFF0A}"/>
            </c:ext>
          </c:extLst>
        </c:ser>
        <c:ser>
          <c:idx val="4"/>
          <c:order val="3"/>
          <c:tx>
            <c:strRef>
              <c:f>Trend_OCC_Last_Depress!$A$6</c:f>
              <c:strCache>
                <c:ptCount val="1"/>
                <c:pt idx="0">
                  <c:v>Nurses</c:v>
                </c:pt>
              </c:strCache>
            </c:strRef>
          </c:tx>
          <c:spPr>
            <a:ln w="19050" cap="rnd">
              <a:solidFill>
                <a:schemeClr val="bg1">
                  <a:lumMod val="85000"/>
                </a:schemeClr>
              </a:solidFill>
              <a:round/>
            </a:ln>
            <a:effectLst/>
          </c:spPr>
          <c:marker>
            <c:symbol val="plus"/>
            <c:size val="8"/>
            <c:spPr>
              <a:noFill/>
              <a:ln w="15875">
                <a:solidFill>
                  <a:schemeClr val="bg1">
                    <a:lumMod val="65000"/>
                  </a:schemeClr>
                </a:solidFill>
              </a:ln>
              <a:effectLst/>
            </c:spPr>
          </c:marker>
          <c:cat>
            <c:strRef>
              <c:f>Trend_OCC_Last_Depress!$B$1:$W$1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Trend_OCC_Last_Depress!$B$6:$W$6</c:f>
              <c:numCache>
                <c:formatCode>0%</c:formatCode>
                <c:ptCount val="22"/>
                <c:pt idx="0">
                  <c:v>0</c:v>
                </c:pt>
                <c:pt idx="1">
                  <c:v>7.5887395069003105E-3</c:v>
                </c:pt>
                <c:pt idx="2">
                  <c:v>9.3765836209058762E-3</c:v>
                </c:pt>
                <c:pt idx="3">
                  <c:v>9.5979245379567146E-3</c:v>
                </c:pt>
                <c:pt idx="4">
                  <c:v>1.2057565152645111E-2</c:v>
                </c:pt>
                <c:pt idx="5">
                  <c:v>1.1220579966902733E-2</c:v>
                </c:pt>
                <c:pt idx="6">
                  <c:v>9.9038742482662201E-3</c:v>
                </c:pt>
                <c:pt idx="7">
                  <c:v>1.0647482238709927E-2</c:v>
                </c:pt>
                <c:pt idx="8">
                  <c:v>9.9800396710634232E-3</c:v>
                </c:pt>
                <c:pt idx="9">
                  <c:v>1.2349143624305725E-2</c:v>
                </c:pt>
                <c:pt idx="10">
                  <c:v>1.0477298870682716E-2</c:v>
                </c:pt>
                <c:pt idx="11">
                  <c:v>2.2081064060330391E-2</c:v>
                </c:pt>
                <c:pt idx="12">
                  <c:v>2.5786163285374641E-2</c:v>
                </c:pt>
                <c:pt idx="13">
                  <c:v>2.5615435093641281E-2</c:v>
                </c:pt>
                <c:pt idx="14">
                  <c:v>2.3386342450976372E-2</c:v>
                </c:pt>
                <c:pt idx="15">
                  <c:v>2.5510204955935478E-2</c:v>
                </c:pt>
                <c:pt idx="16">
                  <c:v>3.4034654498100281E-2</c:v>
                </c:pt>
                <c:pt idx="17">
                  <c:v>3.5186931490898132E-2</c:v>
                </c:pt>
                <c:pt idx="18">
                  <c:v>4.5698076486587524E-2</c:v>
                </c:pt>
                <c:pt idx="19">
                  <c:v>3.945666179060936E-2</c:v>
                </c:pt>
                <c:pt idx="20">
                  <c:v>5.3605016320943832E-2</c:v>
                </c:pt>
                <c:pt idx="21">
                  <c:v>6.1434544622898102E-2</c:v>
                </c:pt>
              </c:numCache>
            </c:numRef>
          </c:val>
          <c:smooth val="0"/>
          <c:extLst>
            <c:ext xmlns:c16="http://schemas.microsoft.com/office/drawing/2014/chart" uri="{C3380CC4-5D6E-409C-BE32-E72D297353CC}">
              <c16:uniqueId val="{00000003-0498-414E-89B5-4A122D7EFF0A}"/>
            </c:ext>
          </c:extLst>
        </c:ser>
        <c:ser>
          <c:idx val="6"/>
          <c:order val="4"/>
          <c:tx>
            <c:strRef>
              <c:f>Trend_OCC_Last_Depress!$A$7</c:f>
              <c:strCache>
                <c:ptCount val="1"/>
                <c:pt idx="0">
                  <c:v>All professionals</c:v>
                </c:pt>
              </c:strCache>
            </c:strRef>
          </c:tx>
          <c:spPr>
            <a:ln w="22225" cap="rnd">
              <a:solidFill>
                <a:schemeClr val="bg1">
                  <a:lumMod val="75000"/>
                </a:schemeClr>
              </a:solidFill>
              <a:prstDash val="sysDash"/>
              <a:round/>
            </a:ln>
            <a:effectLst/>
          </c:spPr>
          <c:marker>
            <c:symbol val="x"/>
            <c:size val="5"/>
            <c:spPr>
              <a:noFill/>
              <a:ln w="9525">
                <a:solidFill>
                  <a:schemeClr val="bg1">
                    <a:lumMod val="75000"/>
                  </a:schemeClr>
                </a:solidFill>
              </a:ln>
              <a:effectLst/>
            </c:spPr>
          </c:marker>
          <c:cat>
            <c:strRef>
              <c:f>Trend_OCC_Last_Depress!$B$1:$W$1</c:f>
              <c:strCache>
                <c:ptCount val="22"/>
                <c:pt idx="0">
                  <c:v>1997</c:v>
                </c:pt>
                <c:pt idx="1">
                  <c:v>1998</c:v>
                </c:pt>
                <c:pt idx="2">
                  <c:v>1999</c:v>
                </c:pt>
                <c:pt idx="3">
                  <c:v>2000</c:v>
                </c:pt>
                <c:pt idx="4">
                  <c:v>2001</c:v>
                </c:pt>
                <c:pt idx="5">
                  <c:v>2002</c:v>
                </c:pt>
                <c:pt idx="6">
                  <c:v>2003</c:v>
                </c:pt>
                <c:pt idx="7">
                  <c:v>2004</c:v>
                </c:pt>
                <c:pt idx="8">
                  <c:v>2005</c:v>
                </c:pt>
                <c:pt idx="9">
                  <c:v>2006</c:v>
                </c:pt>
                <c:pt idx="10">
                  <c:v>2007</c:v>
                </c:pt>
                <c:pt idx="11">
                  <c:v>2008</c:v>
                </c:pt>
                <c:pt idx="12">
                  <c:v>2009</c:v>
                </c:pt>
                <c:pt idx="13">
                  <c:v>2010</c:v>
                </c:pt>
                <c:pt idx="14">
                  <c:v>2011</c:v>
                </c:pt>
                <c:pt idx="15">
                  <c:v>2012</c:v>
                </c:pt>
                <c:pt idx="16">
                  <c:v>2013</c:v>
                </c:pt>
                <c:pt idx="17">
                  <c:v>2014</c:v>
                </c:pt>
                <c:pt idx="18">
                  <c:v>2015</c:v>
                </c:pt>
                <c:pt idx="19">
                  <c:v>2016</c:v>
                </c:pt>
                <c:pt idx="20">
                  <c:v>2017</c:v>
                </c:pt>
                <c:pt idx="21">
                  <c:v>2018</c:v>
                </c:pt>
              </c:strCache>
            </c:strRef>
          </c:cat>
          <c:val>
            <c:numRef>
              <c:f>Trend_OCC_Last_Depress!$B$7:$W$7</c:f>
              <c:numCache>
                <c:formatCode>0%</c:formatCode>
                <c:ptCount val="22"/>
                <c:pt idx="0">
                  <c:v>0</c:v>
                </c:pt>
                <c:pt idx="1">
                  <c:v>5.3281113505363464E-3</c:v>
                </c:pt>
                <c:pt idx="2">
                  <c:v>6.5490510314702988E-3</c:v>
                </c:pt>
                <c:pt idx="3">
                  <c:v>9.9406326189637184E-3</c:v>
                </c:pt>
                <c:pt idx="4">
                  <c:v>1.057709101587534E-2</c:v>
                </c:pt>
                <c:pt idx="5">
                  <c:v>1.1335236951708794E-2</c:v>
                </c:pt>
                <c:pt idx="6">
                  <c:v>1.198266725987196E-2</c:v>
                </c:pt>
                <c:pt idx="7">
                  <c:v>1.3307900168001652E-2</c:v>
                </c:pt>
                <c:pt idx="8">
                  <c:v>1.2060170993208885E-2</c:v>
                </c:pt>
                <c:pt idx="9">
                  <c:v>1.2196158058941364E-2</c:v>
                </c:pt>
                <c:pt idx="10">
                  <c:v>1.4793029054999352E-2</c:v>
                </c:pt>
                <c:pt idx="11">
                  <c:v>1.2839707545936108E-2</c:v>
                </c:pt>
                <c:pt idx="12">
                  <c:v>1.4573181979358196E-2</c:v>
                </c:pt>
                <c:pt idx="13">
                  <c:v>2.0311411470174789E-2</c:v>
                </c:pt>
                <c:pt idx="14">
                  <c:v>2.1941816434264183E-2</c:v>
                </c:pt>
                <c:pt idx="15">
                  <c:v>2.4326257407665253E-2</c:v>
                </c:pt>
                <c:pt idx="16">
                  <c:v>2.620370127260685E-2</c:v>
                </c:pt>
                <c:pt idx="17">
                  <c:v>2.7944447472691536E-2</c:v>
                </c:pt>
                <c:pt idx="18">
                  <c:v>3.1979318708181381E-2</c:v>
                </c:pt>
                <c:pt idx="19">
                  <c:v>3.3914171159267426E-2</c:v>
                </c:pt>
                <c:pt idx="20">
                  <c:v>4.5459434390068054E-2</c:v>
                </c:pt>
                <c:pt idx="21">
                  <c:v>4.7641254961490631E-2</c:v>
                </c:pt>
              </c:numCache>
            </c:numRef>
          </c:val>
          <c:smooth val="0"/>
          <c:extLst>
            <c:ext xmlns:c16="http://schemas.microsoft.com/office/drawing/2014/chart" uri="{C3380CC4-5D6E-409C-BE32-E72D297353CC}">
              <c16:uniqueId val="{00000004-0498-414E-89B5-4A122D7EFF0A}"/>
            </c:ext>
          </c:extLst>
        </c:ser>
        <c:dLbls>
          <c:showLegendKey val="0"/>
          <c:showVal val="0"/>
          <c:showCatName val="0"/>
          <c:showSerName val="0"/>
          <c:showPercent val="0"/>
          <c:showBubbleSize val="0"/>
        </c:dLbls>
        <c:marker val="1"/>
        <c:smooth val="0"/>
        <c:axId val="2025241952"/>
        <c:axId val="1"/>
      </c:lineChart>
      <c:catAx>
        <c:axId val="2025241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sz="1100" b="0" i="0" u="none" strike="noStrike" baseline="0">
                <a:solidFill>
                  <a:srgbClr val="333333"/>
                </a:solidFill>
                <a:latin typeface="Arial"/>
                <a:ea typeface="Arial"/>
                <a:cs typeface="Arial"/>
              </a:defRPr>
            </a:pPr>
            <a:endParaRPr lang="en-US"/>
          </a:p>
        </c:txPr>
        <c:crossAx val="1"/>
        <c:crosses val="autoZero"/>
        <c:auto val="1"/>
        <c:lblAlgn val="ctr"/>
        <c:lblOffset val="100"/>
        <c:noMultiLvlLbl val="0"/>
      </c:catAx>
      <c:valAx>
        <c:axId val="1"/>
        <c:scaling>
          <c:orientation val="minMax"/>
          <c:max val="0.1"/>
        </c:scaling>
        <c:delete val="0"/>
        <c:axPos val="l"/>
        <c:title>
          <c:tx>
            <c:rich>
              <a:bodyPr rot="0" vert="horz"/>
              <a:lstStyle/>
              <a:p>
                <a:pPr algn="ctr">
                  <a:defRPr sz="1100" b="0" i="0" u="none" strike="noStrike" baseline="0">
                    <a:solidFill>
                      <a:srgbClr val="333333"/>
                    </a:solidFill>
                    <a:latin typeface="Arial"/>
                    <a:ea typeface="Arial"/>
                    <a:cs typeface="Arial"/>
                  </a:defRPr>
                </a:pPr>
                <a:r>
                  <a:rPr lang="en-GB"/>
                  <a:t>% with a long-term mental health issue</a:t>
                </a:r>
              </a:p>
            </c:rich>
          </c:tx>
          <c:layout>
            <c:manualLayout>
              <c:xMode val="edge"/>
              <c:yMode val="edge"/>
              <c:x val="6.3849765258215965E-2"/>
              <c:y val="2.0671834625322998E-2"/>
            </c:manualLayout>
          </c:layout>
          <c:overlay val="0"/>
          <c:spPr>
            <a:noFill/>
            <a:ln w="25400">
              <a:noFill/>
            </a:ln>
          </c:spPr>
        </c:title>
        <c:numFmt formatCode="0%" sourceLinked="1"/>
        <c:majorTickMark val="none"/>
        <c:minorTickMark val="none"/>
        <c:tickLblPos val="nextTo"/>
        <c:spPr>
          <a:ln w="6350">
            <a:noFill/>
          </a:ln>
        </c:spPr>
        <c:txPr>
          <a:bodyPr rot="0" vert="horz"/>
          <a:lstStyle/>
          <a:p>
            <a:pPr>
              <a:defRPr sz="1100" b="0" i="0" u="none" strike="noStrike" baseline="0">
                <a:solidFill>
                  <a:srgbClr val="333333"/>
                </a:solidFill>
                <a:latin typeface="Arial"/>
                <a:ea typeface="Arial"/>
                <a:cs typeface="Arial"/>
              </a:defRPr>
            </a:pPr>
            <a:endParaRPr lang="en-US"/>
          </a:p>
        </c:txPr>
        <c:crossAx val="2025241952"/>
        <c:crosses val="autoZero"/>
        <c:crossBetween val="between"/>
        <c:majorUnit val="2.0000000000000004E-2"/>
      </c:valAx>
      <c:spPr>
        <a:noFill/>
        <a:ln w="25400">
          <a:noFill/>
        </a:ln>
      </c:spPr>
    </c:plotArea>
    <c:legend>
      <c:legendPos val="b"/>
      <c:layout>
        <c:manualLayout>
          <c:xMode val="edge"/>
          <c:yMode val="edge"/>
          <c:x val="0.69858814831244687"/>
          <c:y val="1.1448181380428221E-3"/>
          <c:w val="0.30060153044249749"/>
          <c:h val="0.26054270347989444"/>
        </c:manualLayout>
      </c:layout>
      <c:overlay val="0"/>
      <c:spPr>
        <a:noFill/>
        <a:ln w="25400">
          <a:noFill/>
        </a:ln>
      </c:spPr>
      <c:txPr>
        <a:bodyPr/>
        <a:lstStyle/>
        <a:p>
          <a:pPr>
            <a:defRPr sz="1010" b="0" i="0" u="none" strike="noStrike" baseline="0">
              <a:solidFill>
                <a:srgbClr val="333333"/>
              </a:solidFill>
              <a:latin typeface="Arial"/>
              <a:ea typeface="Arial"/>
              <a:cs typeface="Arial"/>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b="0" i="0" u="none" strike="noStrike" baseline="0">
          <a:solidFill>
            <a:srgbClr val="000000"/>
          </a:solidFill>
          <a:latin typeface="Arial"/>
          <a:ea typeface="Arial"/>
          <a:cs typeface="Arial"/>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442756275183912E-2"/>
          <c:y val="5.4512604529085025E-2"/>
          <c:w val="0.91526243022439091"/>
          <c:h val="0.87165449280080309"/>
        </c:manualLayout>
      </c:layout>
      <c:lineChart>
        <c:grouping val="standard"/>
        <c:varyColors val="0"/>
        <c:ser>
          <c:idx val="1"/>
          <c:order val="0"/>
          <c:tx>
            <c:strRef>
              <c:f>Trend_OCC_ILLWRK!$A$2</c:f>
              <c:strCache>
                <c:ptCount val="1"/>
                <c:pt idx="0">
                  <c:v>Accountant</c:v>
                </c:pt>
              </c:strCache>
            </c:strRef>
          </c:tx>
          <c:spPr>
            <a:ln w="28575" cap="rnd">
              <a:solidFill>
                <a:schemeClr val="bg1">
                  <a:lumMod val="75000"/>
                </a:schemeClr>
              </a:solidFill>
              <a:prstDash val="solid"/>
              <a:round/>
            </a:ln>
            <a:effectLst/>
          </c:spPr>
          <c:marker>
            <c:symbol val="triangle"/>
            <c:size val="8"/>
            <c:spPr>
              <a:noFill/>
              <a:ln w="15875">
                <a:solidFill>
                  <a:schemeClr val="bg1">
                    <a:lumMod val="75000"/>
                  </a:schemeClr>
                </a:solidFill>
              </a:ln>
              <a:effectLst/>
            </c:spPr>
          </c:marker>
          <c:cat>
            <c:strRef>
              <c:f>Trend_OCC_ILLWRK!$B$1:$M$1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Trend_OCC_ILLWRK!$B$2:$M$2</c:f>
              <c:numCache>
                <c:formatCode>0%</c:formatCode>
                <c:ptCount val="12"/>
                <c:pt idx="0">
                  <c:v>3.4423407167196274E-2</c:v>
                </c:pt>
                <c:pt idx="1">
                  <c:v>3.7300176918506622E-2</c:v>
                </c:pt>
                <c:pt idx="2">
                  <c:v>3.2319393008947372E-2</c:v>
                </c:pt>
                <c:pt idx="3">
                  <c:v>2.6819923892617226E-2</c:v>
                </c:pt>
                <c:pt idx="4">
                  <c:v>2.6022305712103844E-2</c:v>
                </c:pt>
                <c:pt idx="5">
                  <c:v>1.7751479521393776E-2</c:v>
                </c:pt>
                <c:pt idx="6">
                  <c:v>3.125E-2</c:v>
                </c:pt>
                <c:pt idx="7">
                  <c:v>3.7974681705236435E-2</c:v>
                </c:pt>
                <c:pt idx="8">
                  <c:v>2.253032848238945E-2</c:v>
                </c:pt>
                <c:pt idx="9">
                  <c:v>4.3029259890317917E-2</c:v>
                </c:pt>
                <c:pt idx="10">
                  <c:v>2.6755852624773979E-2</c:v>
                </c:pt>
                <c:pt idx="11">
                  <c:v>3.8785833865404129E-2</c:v>
                </c:pt>
              </c:numCache>
            </c:numRef>
          </c:val>
          <c:smooth val="0"/>
          <c:extLst>
            <c:ext xmlns:c16="http://schemas.microsoft.com/office/drawing/2014/chart" uri="{C3380CC4-5D6E-409C-BE32-E72D297353CC}">
              <c16:uniqueId val="{00000000-2426-4BB3-9C8E-8B134984AC0B}"/>
            </c:ext>
          </c:extLst>
        </c:ser>
        <c:ser>
          <c:idx val="3"/>
          <c:order val="1"/>
          <c:tx>
            <c:strRef>
              <c:f>Trend_OCC_ILLWRK!$A$3</c:f>
              <c:strCache>
                <c:ptCount val="1"/>
                <c:pt idx="0">
                  <c:v>Teachers</c:v>
                </c:pt>
              </c:strCache>
            </c:strRef>
          </c:tx>
          <c:spPr>
            <a:ln w="15875" cap="rnd">
              <a:solidFill>
                <a:schemeClr val="tx1"/>
              </a:solidFill>
              <a:prstDash val="solid"/>
              <a:round/>
            </a:ln>
            <a:effectLst/>
          </c:spPr>
          <c:marker>
            <c:symbol val="square"/>
            <c:size val="8"/>
            <c:spPr>
              <a:noFill/>
              <a:ln w="15875">
                <a:solidFill>
                  <a:schemeClr val="tx1"/>
                </a:solidFill>
                <a:prstDash val="solid"/>
              </a:ln>
              <a:effectLst/>
            </c:spPr>
          </c:marker>
          <c:cat>
            <c:strRef>
              <c:f>Trend_OCC_ILLWRK!$B$1:$M$1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Trend_OCC_ILLWRK!$B$3:$M$3</c:f>
              <c:numCache>
                <c:formatCode>0%</c:formatCode>
                <c:ptCount val="12"/>
                <c:pt idx="0">
                  <c:v>5.2984572947025299E-2</c:v>
                </c:pt>
                <c:pt idx="1">
                  <c:v>6.6204771399497986E-2</c:v>
                </c:pt>
                <c:pt idx="2">
                  <c:v>5.4574638605117798E-2</c:v>
                </c:pt>
                <c:pt idx="3">
                  <c:v>4.76190485060215E-2</c:v>
                </c:pt>
                <c:pt idx="4">
                  <c:v>5.915721133351326E-2</c:v>
                </c:pt>
                <c:pt idx="5">
                  <c:v>4.5574057847261429E-2</c:v>
                </c:pt>
                <c:pt idx="6">
                  <c:v>4.2589437216520309E-2</c:v>
                </c:pt>
                <c:pt idx="7">
                  <c:v>4.9122806638479233E-2</c:v>
                </c:pt>
                <c:pt idx="8">
                  <c:v>3.9462637156248093E-2</c:v>
                </c:pt>
                <c:pt idx="9">
                  <c:v>7.0190638303756714E-2</c:v>
                </c:pt>
                <c:pt idx="10">
                  <c:v>6.5637066960334778E-2</c:v>
                </c:pt>
                <c:pt idx="11">
                  <c:v>5.7201225310564041E-2</c:v>
                </c:pt>
              </c:numCache>
            </c:numRef>
          </c:val>
          <c:smooth val="0"/>
          <c:extLst>
            <c:ext xmlns:c16="http://schemas.microsoft.com/office/drawing/2014/chart" uri="{C3380CC4-5D6E-409C-BE32-E72D297353CC}">
              <c16:uniqueId val="{00000001-2426-4BB3-9C8E-8B134984AC0B}"/>
            </c:ext>
          </c:extLst>
        </c:ser>
        <c:ser>
          <c:idx val="4"/>
          <c:order val="2"/>
          <c:tx>
            <c:strRef>
              <c:f>Trend_OCC_ILLWRK!$A$5</c:f>
              <c:strCache>
                <c:ptCount val="1"/>
                <c:pt idx="0">
                  <c:v>Human resources</c:v>
                </c:pt>
              </c:strCache>
            </c:strRef>
          </c:tx>
          <c:spPr>
            <a:ln w="25400">
              <a:solidFill>
                <a:schemeClr val="bg1">
                  <a:lumMod val="75000"/>
                </a:schemeClr>
              </a:solidFill>
              <a:prstDash val="dash"/>
            </a:ln>
          </c:spPr>
          <c:marker>
            <c:symbol val="circle"/>
            <c:size val="8"/>
            <c:spPr>
              <a:noFill/>
              <a:ln w="15875">
                <a:solidFill>
                  <a:schemeClr val="bg1">
                    <a:lumMod val="75000"/>
                  </a:schemeClr>
                </a:solidFill>
              </a:ln>
            </c:spPr>
          </c:marker>
          <c:cat>
            <c:strRef>
              <c:f>Trend_OCC_ILLWRK!$B$1:$M$1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Trend_OCC_ILLWRK!$B$5:$M$5</c:f>
              <c:numCache>
                <c:formatCode>0%</c:formatCode>
                <c:ptCount val="12"/>
                <c:pt idx="0">
                  <c:v>3.3707864582538605E-2</c:v>
                </c:pt>
                <c:pt idx="1">
                  <c:v>4.76190485060215E-2</c:v>
                </c:pt>
                <c:pt idx="2">
                  <c:v>2.5821596384048462E-2</c:v>
                </c:pt>
                <c:pt idx="3">
                  <c:v>3.0150754377245903E-2</c:v>
                </c:pt>
                <c:pt idx="4">
                  <c:v>2.5714285671710968E-2</c:v>
                </c:pt>
                <c:pt idx="5">
                  <c:v>2.3529412224888802E-2</c:v>
                </c:pt>
                <c:pt idx="6">
                  <c:v>2.1739130839705467E-2</c:v>
                </c:pt>
                <c:pt idx="7">
                  <c:v>2.4390242993831635E-2</c:v>
                </c:pt>
                <c:pt idx="8">
                  <c:v>4.51388880610466E-2</c:v>
                </c:pt>
                <c:pt idx="9">
                  <c:v>3.7593983113765717E-2</c:v>
                </c:pt>
                <c:pt idx="10">
                  <c:v>2.539682574570179E-2</c:v>
                </c:pt>
                <c:pt idx="11">
                  <c:v>3.4920636564493179E-2</c:v>
                </c:pt>
              </c:numCache>
            </c:numRef>
          </c:val>
          <c:smooth val="0"/>
          <c:extLst>
            <c:ext xmlns:c16="http://schemas.microsoft.com/office/drawing/2014/chart" uri="{C3380CC4-5D6E-409C-BE32-E72D297353CC}">
              <c16:uniqueId val="{00000002-2426-4BB3-9C8E-8B134984AC0B}"/>
            </c:ext>
          </c:extLst>
        </c:ser>
        <c:ser>
          <c:idx val="5"/>
          <c:order val="3"/>
          <c:tx>
            <c:strRef>
              <c:f>Trend_OCC_ILLWRK!$A$6</c:f>
              <c:strCache>
                <c:ptCount val="1"/>
                <c:pt idx="0">
                  <c:v>Nurses</c:v>
                </c:pt>
              </c:strCache>
            </c:strRef>
          </c:tx>
          <c:spPr>
            <a:ln>
              <a:solidFill>
                <a:schemeClr val="bg1">
                  <a:lumMod val="75000"/>
                </a:schemeClr>
              </a:solidFill>
            </a:ln>
          </c:spPr>
          <c:marker>
            <c:symbol val="plus"/>
            <c:size val="9"/>
            <c:spPr>
              <a:noFill/>
              <a:ln w="19050">
                <a:solidFill>
                  <a:schemeClr val="bg1">
                    <a:lumMod val="75000"/>
                  </a:schemeClr>
                </a:solidFill>
              </a:ln>
            </c:spPr>
          </c:marker>
          <c:cat>
            <c:strRef>
              <c:f>Trend_OCC_ILLWRK!$B$1:$M$1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Trend_OCC_ILLWRK!$B$6:$M$6</c:f>
              <c:numCache>
                <c:formatCode>0%</c:formatCode>
                <c:ptCount val="12"/>
                <c:pt idx="0">
                  <c:v>8.3333335816860199E-2</c:v>
                </c:pt>
                <c:pt idx="1">
                  <c:v>8.3554379642009735E-2</c:v>
                </c:pt>
                <c:pt idx="2">
                  <c:v>8.0601096153259277E-2</c:v>
                </c:pt>
                <c:pt idx="3">
                  <c:v>5.9701491147279739E-2</c:v>
                </c:pt>
                <c:pt idx="4">
                  <c:v>9.16905477643013E-2</c:v>
                </c:pt>
                <c:pt idx="5">
                  <c:v>7.6347306370735168E-2</c:v>
                </c:pt>
                <c:pt idx="6">
                  <c:v>6.6216215491294861E-2</c:v>
                </c:pt>
                <c:pt idx="7">
                  <c:v>8.132530003786087E-2</c:v>
                </c:pt>
                <c:pt idx="8">
                  <c:v>7.121662050485611E-2</c:v>
                </c:pt>
                <c:pt idx="9">
                  <c:v>9.2485547065734863E-2</c:v>
                </c:pt>
                <c:pt idx="10">
                  <c:v>7.3637701570987701E-2</c:v>
                </c:pt>
                <c:pt idx="11">
                  <c:v>7.3094867169857025E-2</c:v>
                </c:pt>
              </c:numCache>
            </c:numRef>
          </c:val>
          <c:smooth val="0"/>
          <c:extLst>
            <c:ext xmlns:c16="http://schemas.microsoft.com/office/drawing/2014/chart" uri="{C3380CC4-5D6E-409C-BE32-E72D297353CC}">
              <c16:uniqueId val="{00000003-2426-4BB3-9C8E-8B134984AC0B}"/>
            </c:ext>
          </c:extLst>
        </c:ser>
        <c:ser>
          <c:idx val="6"/>
          <c:order val="4"/>
          <c:tx>
            <c:strRef>
              <c:f>Trend_OCC_ILLWRK!$A$7</c:f>
              <c:strCache>
                <c:ptCount val="1"/>
                <c:pt idx="0">
                  <c:v>All professionals</c:v>
                </c:pt>
              </c:strCache>
            </c:strRef>
          </c:tx>
          <c:spPr>
            <a:ln>
              <a:solidFill>
                <a:schemeClr val="bg1">
                  <a:lumMod val="75000"/>
                </a:schemeClr>
              </a:solidFill>
              <a:prstDash val="dash"/>
            </a:ln>
          </c:spPr>
          <c:marker>
            <c:symbol val="x"/>
            <c:size val="8"/>
            <c:spPr>
              <a:ln w="15875">
                <a:solidFill>
                  <a:schemeClr val="bg1">
                    <a:lumMod val="75000"/>
                  </a:schemeClr>
                </a:solidFill>
              </a:ln>
            </c:spPr>
          </c:marker>
          <c:cat>
            <c:strRef>
              <c:f>Trend_OCC_ILLWRK!$B$1:$M$1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Trend_OCC_ILLWRK!$B$7:$M$7</c:f>
              <c:numCache>
                <c:formatCode>0%</c:formatCode>
                <c:ptCount val="12"/>
                <c:pt idx="0">
                  <c:v>4.1674215346574783E-2</c:v>
                </c:pt>
                <c:pt idx="1">
                  <c:v>4.7181125730276108E-2</c:v>
                </c:pt>
                <c:pt idx="2">
                  <c:v>4.3075021356344223E-2</c:v>
                </c:pt>
                <c:pt idx="3">
                  <c:v>4.0647197514772415E-2</c:v>
                </c:pt>
                <c:pt idx="4">
                  <c:v>4.6120349317789078E-2</c:v>
                </c:pt>
                <c:pt idx="5">
                  <c:v>4.3657071888446808E-2</c:v>
                </c:pt>
                <c:pt idx="6">
                  <c:v>4.0889304131269455E-2</c:v>
                </c:pt>
                <c:pt idx="7">
                  <c:v>4.6493787318468094E-2</c:v>
                </c:pt>
                <c:pt idx="8">
                  <c:v>4.0244285017251968E-2</c:v>
                </c:pt>
                <c:pt idx="9">
                  <c:v>4.8915702849626541E-2</c:v>
                </c:pt>
                <c:pt idx="10">
                  <c:v>4.7650452703237534E-2</c:v>
                </c:pt>
                <c:pt idx="11">
                  <c:v>4.7424089163541794E-2</c:v>
                </c:pt>
              </c:numCache>
            </c:numRef>
          </c:val>
          <c:smooth val="0"/>
          <c:extLst>
            <c:ext xmlns:c16="http://schemas.microsoft.com/office/drawing/2014/chart" uri="{C3380CC4-5D6E-409C-BE32-E72D297353CC}">
              <c16:uniqueId val="{00000004-2426-4BB3-9C8E-8B134984AC0B}"/>
            </c:ext>
          </c:extLst>
        </c:ser>
        <c:dLbls>
          <c:showLegendKey val="0"/>
          <c:showVal val="0"/>
          <c:showCatName val="0"/>
          <c:showSerName val="0"/>
          <c:showPercent val="0"/>
          <c:showBubbleSize val="0"/>
        </c:dLbls>
        <c:marker val="1"/>
        <c:smooth val="0"/>
        <c:axId val="1126295551"/>
        <c:axId val="1"/>
      </c:lineChart>
      <c:catAx>
        <c:axId val="112629555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
        <c:crosses val="autoZero"/>
        <c:auto val="1"/>
        <c:lblAlgn val="ctr"/>
        <c:lblOffset val="100"/>
        <c:noMultiLvlLbl val="0"/>
      </c:catAx>
      <c:valAx>
        <c:axId val="1"/>
        <c:scaling>
          <c:orientation val="minMax"/>
          <c:max val="0.15000000000000002"/>
          <c:min val="0"/>
        </c:scaling>
        <c:delete val="0"/>
        <c:axPos val="l"/>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 illness due to job</a:t>
                </a:r>
              </a:p>
            </c:rich>
          </c:tx>
          <c:layout>
            <c:manualLayout>
              <c:xMode val="edge"/>
              <c:yMode val="edge"/>
              <c:x val="6.0093896713615022E-2"/>
              <c:y val="1.7226528854435832E-2"/>
            </c:manualLayout>
          </c:layout>
          <c:overlay val="0"/>
          <c:spPr>
            <a:noFill/>
            <a:ln w="25400">
              <a:noFill/>
            </a:ln>
          </c:spPr>
        </c:title>
        <c:numFmt formatCode="0%" sourceLinked="1"/>
        <c:majorTickMark val="none"/>
        <c:minorTickMark val="none"/>
        <c:tickLblPos val="nextTo"/>
        <c:spPr>
          <a:ln w="6350">
            <a:noFill/>
          </a:ln>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26295551"/>
        <c:crosses val="autoZero"/>
        <c:crossBetween val="between"/>
        <c:majorUnit val="2.0000000000000004E-2"/>
      </c:valAx>
      <c:spPr>
        <a:noFill/>
        <a:ln w="25400">
          <a:noFill/>
        </a:ln>
      </c:spPr>
    </c:plotArea>
    <c:legend>
      <c:legendPos val="b"/>
      <c:layout>
        <c:manualLayout>
          <c:xMode val="edge"/>
          <c:yMode val="edge"/>
          <c:x val="0.69671021404014644"/>
          <c:y val="1.1480735450704315E-2"/>
          <c:w val="0.30141185168755313"/>
          <c:h val="0.24387907304269893"/>
        </c:manualLayout>
      </c:layout>
      <c:overlay val="0"/>
      <c:spPr>
        <a:noFill/>
        <a:ln w="25400">
          <a:noFill/>
        </a:ln>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Arial" panose="020B0604020202020204" pitchFamily="34" charset="0"/>
          <a:cs typeface="Arial" panose="020B0604020202020204" pitchFamily="34" charset="0"/>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442756275183912E-2"/>
          <c:y val="5.4512604529085025E-2"/>
          <c:w val="0.91526243022439091"/>
          <c:h val="0.87165449280080309"/>
        </c:manualLayout>
      </c:layout>
      <c:lineChart>
        <c:grouping val="standard"/>
        <c:varyColors val="0"/>
        <c:ser>
          <c:idx val="1"/>
          <c:order val="0"/>
          <c:tx>
            <c:strRef>
              <c:f>Trend_OCC_ILLWRK_Depress!$A$2</c:f>
              <c:strCache>
                <c:ptCount val="1"/>
                <c:pt idx="0">
                  <c:v>Accountant</c:v>
                </c:pt>
              </c:strCache>
            </c:strRef>
          </c:tx>
          <c:spPr>
            <a:ln w="28575" cap="rnd">
              <a:solidFill>
                <a:schemeClr val="bg1">
                  <a:lumMod val="75000"/>
                </a:schemeClr>
              </a:solidFill>
              <a:prstDash val="dash"/>
              <a:round/>
            </a:ln>
            <a:effectLst/>
          </c:spPr>
          <c:marker>
            <c:symbol val="circle"/>
            <c:size val="8"/>
            <c:spPr>
              <a:noFill/>
              <a:ln w="15875">
                <a:solidFill>
                  <a:schemeClr val="bg1">
                    <a:lumMod val="75000"/>
                  </a:schemeClr>
                </a:solidFill>
                <a:prstDash val="solid"/>
              </a:ln>
              <a:effectLst/>
            </c:spPr>
          </c:marker>
          <c:cat>
            <c:strRef>
              <c:f>Trend_OCC_ILLWRK_Depress!$B$1:$M$1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Trend_OCC_ILLWRK_Depress!$B$2:$M$2</c:f>
              <c:numCache>
                <c:formatCode>0%</c:formatCode>
                <c:ptCount val="12"/>
                <c:pt idx="0">
                  <c:v>1.2048192322254181E-2</c:v>
                </c:pt>
                <c:pt idx="1">
                  <c:v>8.8809942826628685E-3</c:v>
                </c:pt>
                <c:pt idx="2">
                  <c:v>1.3307984918355942E-2</c:v>
                </c:pt>
                <c:pt idx="3">
                  <c:v>9.5785437151789665E-3</c:v>
                </c:pt>
                <c:pt idx="4">
                  <c:v>1.1152416467666626E-2</c:v>
                </c:pt>
                <c:pt idx="5">
                  <c:v>1.0355029255151749E-2</c:v>
                </c:pt>
                <c:pt idx="6">
                  <c:v>1.5625E-2</c:v>
                </c:pt>
                <c:pt idx="7">
                  <c:v>2.8129395097494125E-2</c:v>
                </c:pt>
                <c:pt idx="8">
                  <c:v>1.5597919933497906E-2</c:v>
                </c:pt>
                <c:pt idx="9">
                  <c:v>2.581755630671978E-2</c:v>
                </c:pt>
                <c:pt idx="10">
                  <c:v>1.5050167217850685E-2</c:v>
                </c:pt>
                <c:pt idx="11">
                  <c:v>2.3608768358826637E-2</c:v>
                </c:pt>
              </c:numCache>
            </c:numRef>
          </c:val>
          <c:smooth val="0"/>
          <c:extLst>
            <c:ext xmlns:c16="http://schemas.microsoft.com/office/drawing/2014/chart" uri="{C3380CC4-5D6E-409C-BE32-E72D297353CC}">
              <c16:uniqueId val="{00000000-D82E-4551-99B7-BEBB574A29F5}"/>
            </c:ext>
          </c:extLst>
        </c:ser>
        <c:ser>
          <c:idx val="3"/>
          <c:order val="1"/>
          <c:tx>
            <c:strRef>
              <c:f>Trend_OCC_ILLWRK_Depress!$A$3</c:f>
              <c:strCache>
                <c:ptCount val="1"/>
                <c:pt idx="0">
                  <c:v>Teachers</c:v>
                </c:pt>
              </c:strCache>
            </c:strRef>
          </c:tx>
          <c:spPr>
            <a:ln w="15875" cap="rnd">
              <a:solidFill>
                <a:schemeClr val="tx1"/>
              </a:solidFill>
              <a:prstDash val="solid"/>
              <a:round/>
            </a:ln>
            <a:effectLst/>
          </c:spPr>
          <c:marker>
            <c:symbol val="square"/>
            <c:size val="8"/>
            <c:spPr>
              <a:noFill/>
              <a:ln w="15875">
                <a:solidFill>
                  <a:schemeClr val="tx1"/>
                </a:solidFill>
                <a:prstDash val="solid"/>
              </a:ln>
              <a:effectLst/>
            </c:spPr>
          </c:marker>
          <c:cat>
            <c:strRef>
              <c:f>Trend_OCC_ILLWRK_Depress!$B$1:$M$1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Trend_OCC_ILLWRK_Depress!$B$3:$M$3</c:f>
              <c:numCache>
                <c:formatCode>0%</c:formatCode>
                <c:ptCount val="12"/>
                <c:pt idx="0">
                  <c:v>2.749832347035408E-2</c:v>
                </c:pt>
                <c:pt idx="1">
                  <c:v>3.0023094266653061E-2</c:v>
                </c:pt>
                <c:pt idx="2">
                  <c:v>2.4879613891243935E-2</c:v>
                </c:pt>
                <c:pt idx="3">
                  <c:v>2.2988505661487579E-2</c:v>
                </c:pt>
                <c:pt idx="4">
                  <c:v>2.6742301881313324E-2</c:v>
                </c:pt>
                <c:pt idx="5">
                  <c:v>2.3663453757762909E-2</c:v>
                </c:pt>
                <c:pt idx="6">
                  <c:v>2.8109028935432434E-2</c:v>
                </c:pt>
                <c:pt idx="7">
                  <c:v>2.7192981913685799E-2</c:v>
                </c:pt>
                <c:pt idx="8">
                  <c:v>2.6028547435998917E-2</c:v>
                </c:pt>
                <c:pt idx="9">
                  <c:v>4.4194106012582779E-2</c:v>
                </c:pt>
                <c:pt idx="10">
                  <c:v>4.0540538728237152E-2</c:v>
                </c:pt>
                <c:pt idx="11">
                  <c:v>3.3707864582538605E-2</c:v>
                </c:pt>
              </c:numCache>
            </c:numRef>
          </c:val>
          <c:smooth val="0"/>
          <c:extLst>
            <c:ext xmlns:c16="http://schemas.microsoft.com/office/drawing/2014/chart" uri="{C3380CC4-5D6E-409C-BE32-E72D297353CC}">
              <c16:uniqueId val="{00000001-D82E-4551-99B7-BEBB574A29F5}"/>
            </c:ext>
          </c:extLst>
        </c:ser>
        <c:ser>
          <c:idx val="2"/>
          <c:order val="2"/>
          <c:tx>
            <c:strRef>
              <c:f>Trend_OCC_ILLWRK_Depress!$A$5</c:f>
              <c:strCache>
                <c:ptCount val="1"/>
                <c:pt idx="0">
                  <c:v>Human resources</c:v>
                </c:pt>
              </c:strCache>
            </c:strRef>
          </c:tx>
          <c:marker>
            <c:symbol val="triangle"/>
            <c:size val="8"/>
            <c:spPr>
              <a:noFill/>
              <a:ln w="15875"/>
            </c:spPr>
          </c:marker>
          <c:cat>
            <c:strRef>
              <c:f>Trend_OCC_ILLWRK_Depress!$B$1:$M$1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Trend_OCC_ILLWRK_Depress!$B$5:$M$5</c:f>
              <c:numCache>
                <c:formatCode>0%</c:formatCode>
                <c:ptCount val="12"/>
                <c:pt idx="0">
                  <c:v>2.247191034257412E-2</c:v>
                </c:pt>
                <c:pt idx="1">
                  <c:v>2.5062656030058861E-2</c:v>
                </c:pt>
                <c:pt idx="2">
                  <c:v>1.643192395567894E-2</c:v>
                </c:pt>
                <c:pt idx="3">
                  <c:v>1.5075377188622952E-2</c:v>
                </c:pt>
                <c:pt idx="4">
                  <c:v>1.1428571306169033E-2</c:v>
                </c:pt>
                <c:pt idx="5">
                  <c:v>1.5686275437474251E-2</c:v>
                </c:pt>
                <c:pt idx="6">
                  <c:v>3.6231884732842445E-3</c:v>
                </c:pt>
                <c:pt idx="7">
                  <c:v>1.7421603202819824E-2</c:v>
                </c:pt>
                <c:pt idx="8">
                  <c:v>2.083333395421505E-2</c:v>
                </c:pt>
                <c:pt idx="9">
                  <c:v>2.255639061331749E-2</c:v>
                </c:pt>
                <c:pt idx="10">
                  <c:v>1.2698412872850895E-2</c:v>
                </c:pt>
                <c:pt idx="11">
                  <c:v>2.857142873108387E-2</c:v>
                </c:pt>
              </c:numCache>
            </c:numRef>
          </c:val>
          <c:smooth val="0"/>
          <c:extLst>
            <c:ext xmlns:c16="http://schemas.microsoft.com/office/drawing/2014/chart" uri="{C3380CC4-5D6E-409C-BE32-E72D297353CC}">
              <c16:uniqueId val="{00000002-D82E-4551-99B7-BEBB574A29F5}"/>
            </c:ext>
          </c:extLst>
        </c:ser>
        <c:ser>
          <c:idx val="4"/>
          <c:order val="3"/>
          <c:tx>
            <c:strRef>
              <c:f>Trend_OCC_ILLWRK_Depress!$A$6</c:f>
              <c:strCache>
                <c:ptCount val="1"/>
                <c:pt idx="0">
                  <c:v>Nurses</c:v>
                </c:pt>
              </c:strCache>
            </c:strRef>
          </c:tx>
          <c:spPr>
            <a:ln>
              <a:solidFill>
                <a:schemeClr val="bg1">
                  <a:lumMod val="65000"/>
                </a:schemeClr>
              </a:solidFill>
            </a:ln>
          </c:spPr>
          <c:marker>
            <c:symbol val="plus"/>
            <c:size val="8"/>
            <c:spPr>
              <a:noFill/>
              <a:ln w="15875">
                <a:solidFill>
                  <a:schemeClr val="bg1">
                    <a:lumMod val="65000"/>
                  </a:schemeClr>
                </a:solidFill>
              </a:ln>
            </c:spPr>
          </c:marker>
          <c:cat>
            <c:strRef>
              <c:f>Trend_OCC_ILLWRK_Depress!$B$1:$M$1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Trend_OCC_ILLWRK_Depress!$B$6:$M$6</c:f>
              <c:numCache>
                <c:formatCode>0%</c:formatCode>
                <c:ptCount val="12"/>
                <c:pt idx="0">
                  <c:v>1.785714365541935E-2</c:v>
                </c:pt>
                <c:pt idx="1">
                  <c:v>2.6525199413299561E-2</c:v>
                </c:pt>
                <c:pt idx="2">
                  <c:v>2.5956284254789352E-2</c:v>
                </c:pt>
                <c:pt idx="3">
                  <c:v>2.5780189782381058E-2</c:v>
                </c:pt>
                <c:pt idx="4">
                  <c:v>3.7249282002449036E-2</c:v>
                </c:pt>
                <c:pt idx="5">
                  <c:v>2.3952096700668335E-2</c:v>
                </c:pt>
                <c:pt idx="6">
                  <c:v>3.378378227353096E-2</c:v>
                </c:pt>
                <c:pt idx="7">
                  <c:v>3.6144576966762543E-2</c:v>
                </c:pt>
                <c:pt idx="8">
                  <c:v>3.2640948891639709E-2</c:v>
                </c:pt>
                <c:pt idx="9">
                  <c:v>4.0462426841259003E-2</c:v>
                </c:pt>
                <c:pt idx="10">
                  <c:v>3.3873341977596283E-2</c:v>
                </c:pt>
                <c:pt idx="11">
                  <c:v>2.9548989608883858E-2</c:v>
                </c:pt>
              </c:numCache>
            </c:numRef>
          </c:val>
          <c:smooth val="0"/>
          <c:extLst>
            <c:ext xmlns:c16="http://schemas.microsoft.com/office/drawing/2014/chart" uri="{C3380CC4-5D6E-409C-BE32-E72D297353CC}">
              <c16:uniqueId val="{00000003-D82E-4551-99B7-BEBB574A29F5}"/>
            </c:ext>
          </c:extLst>
        </c:ser>
        <c:ser>
          <c:idx val="5"/>
          <c:order val="4"/>
          <c:tx>
            <c:strRef>
              <c:f>Trend_OCC_ILLWRK_Depress!$A$7</c:f>
              <c:strCache>
                <c:ptCount val="1"/>
                <c:pt idx="0">
                  <c:v>All professionals</c:v>
                </c:pt>
              </c:strCache>
            </c:strRef>
          </c:tx>
          <c:spPr>
            <a:ln>
              <a:solidFill>
                <a:schemeClr val="bg1">
                  <a:lumMod val="65000"/>
                </a:schemeClr>
              </a:solidFill>
              <a:prstDash val="dash"/>
            </a:ln>
          </c:spPr>
          <c:marker>
            <c:symbol val="x"/>
            <c:size val="8"/>
            <c:spPr>
              <a:noFill/>
              <a:ln w="15875">
                <a:solidFill>
                  <a:schemeClr val="bg1">
                    <a:lumMod val="65000"/>
                  </a:schemeClr>
                </a:solidFill>
              </a:ln>
            </c:spPr>
          </c:marker>
          <c:cat>
            <c:strRef>
              <c:f>Trend_OCC_ILLWRK_Depress!$B$1:$M$1</c:f>
              <c:strCache>
                <c:ptCount val="12"/>
                <c:pt idx="0">
                  <c:v>2006</c:v>
                </c:pt>
                <c:pt idx="1">
                  <c:v>2007</c:v>
                </c:pt>
                <c:pt idx="2">
                  <c:v>2008</c:v>
                </c:pt>
                <c:pt idx="3">
                  <c:v>2009</c:v>
                </c:pt>
                <c:pt idx="4">
                  <c:v>2010</c:v>
                </c:pt>
                <c:pt idx="5">
                  <c:v>2011</c:v>
                </c:pt>
                <c:pt idx="6">
                  <c:v>2012</c:v>
                </c:pt>
                <c:pt idx="7">
                  <c:v>2014</c:v>
                </c:pt>
                <c:pt idx="8">
                  <c:v>2015</c:v>
                </c:pt>
                <c:pt idx="9">
                  <c:v>2016</c:v>
                </c:pt>
                <c:pt idx="10">
                  <c:v>2017</c:v>
                </c:pt>
                <c:pt idx="11">
                  <c:v>2018</c:v>
                </c:pt>
              </c:strCache>
            </c:strRef>
          </c:cat>
          <c:val>
            <c:numRef>
              <c:f>Trend_OCC_ILLWRK_Depress!$B$7:$M$7</c:f>
              <c:numCache>
                <c:formatCode>0%</c:formatCode>
                <c:ptCount val="12"/>
                <c:pt idx="0">
                  <c:v>1.8843993544578552E-2</c:v>
                </c:pt>
                <c:pt idx="1">
                  <c:v>1.9992003217339516E-2</c:v>
                </c:pt>
                <c:pt idx="2">
                  <c:v>2.0610056817531586E-2</c:v>
                </c:pt>
                <c:pt idx="3">
                  <c:v>1.8942384049296379E-2</c:v>
                </c:pt>
                <c:pt idx="4">
                  <c:v>2.0783847197890282E-2</c:v>
                </c:pt>
                <c:pt idx="5">
                  <c:v>1.9772224128246307E-2</c:v>
                </c:pt>
                <c:pt idx="6">
                  <c:v>2.2077115252614021E-2</c:v>
                </c:pt>
                <c:pt idx="7">
                  <c:v>2.4397728964686394E-2</c:v>
                </c:pt>
                <c:pt idx="8">
                  <c:v>2.145317941904068E-2</c:v>
                </c:pt>
                <c:pt idx="9">
                  <c:v>2.478395588696003E-2</c:v>
                </c:pt>
                <c:pt idx="10">
                  <c:v>2.5391591712832451E-2</c:v>
                </c:pt>
                <c:pt idx="11">
                  <c:v>2.4394404143095016E-2</c:v>
                </c:pt>
              </c:numCache>
            </c:numRef>
          </c:val>
          <c:smooth val="0"/>
          <c:extLst>
            <c:ext xmlns:c16="http://schemas.microsoft.com/office/drawing/2014/chart" uri="{C3380CC4-5D6E-409C-BE32-E72D297353CC}">
              <c16:uniqueId val="{00000004-D82E-4551-99B7-BEBB574A29F5}"/>
            </c:ext>
          </c:extLst>
        </c:ser>
        <c:dLbls>
          <c:showLegendKey val="0"/>
          <c:showVal val="0"/>
          <c:showCatName val="0"/>
          <c:showSerName val="0"/>
          <c:showPercent val="0"/>
          <c:showBubbleSize val="0"/>
        </c:dLbls>
        <c:marker val="1"/>
        <c:smooth val="0"/>
        <c:axId val="1126295551"/>
        <c:axId val="1"/>
      </c:lineChart>
      <c:catAx>
        <c:axId val="112629555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
        <c:crosses val="autoZero"/>
        <c:auto val="1"/>
        <c:lblAlgn val="ctr"/>
        <c:lblOffset val="100"/>
        <c:noMultiLvlLbl val="0"/>
      </c:catAx>
      <c:valAx>
        <c:axId val="1"/>
        <c:scaling>
          <c:orientation val="minMax"/>
          <c:max val="0.12000000000000001"/>
        </c:scaling>
        <c:delete val="0"/>
        <c:axPos val="l"/>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 depression due to job</a:t>
                </a:r>
              </a:p>
            </c:rich>
          </c:tx>
          <c:layout>
            <c:manualLayout>
              <c:xMode val="edge"/>
              <c:yMode val="edge"/>
              <c:x val="6.0093896713615022E-2"/>
              <c:y val="1.7226528854435832E-2"/>
            </c:manualLayout>
          </c:layout>
          <c:overlay val="0"/>
          <c:spPr>
            <a:noFill/>
            <a:ln w="25400">
              <a:noFill/>
            </a:ln>
          </c:spPr>
        </c:title>
        <c:numFmt formatCode="0%" sourceLinked="1"/>
        <c:majorTickMark val="none"/>
        <c:minorTickMark val="none"/>
        <c:tickLblPos val="nextTo"/>
        <c:spPr>
          <a:ln w="6350">
            <a:noFill/>
          </a:ln>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126295551"/>
        <c:crosses val="autoZero"/>
        <c:crossBetween val="between"/>
        <c:majorUnit val="2.0000000000000004E-2"/>
      </c:valAx>
      <c:spPr>
        <a:noFill/>
        <a:ln w="25400">
          <a:noFill/>
        </a:ln>
      </c:spPr>
    </c:plotArea>
    <c:legend>
      <c:legendPos val="b"/>
      <c:layout>
        <c:manualLayout>
          <c:xMode val="edge"/>
          <c:yMode val="edge"/>
          <c:x val="0.69671021404014644"/>
          <c:y val="1.1448181380428223E-3"/>
          <c:w val="0.30328978595985362"/>
          <c:h val="0.24863740869600603"/>
        </c:manualLayout>
      </c:layout>
      <c:overlay val="0"/>
      <c:spPr>
        <a:noFill/>
        <a:ln w="25400">
          <a:noFill/>
        </a:ln>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Arial" panose="020B0604020202020204" pitchFamily="34" charset="0"/>
          <a:cs typeface="Arial" panose="020B0604020202020204" pitchFamily="34" charset="0"/>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1"/>
          <c:order val="0"/>
          <c:tx>
            <c:strRef>
              <c:f>Graph_Over_Time_Binary!$B$1</c:f>
              <c:strCache>
                <c:ptCount val="1"/>
                <c:pt idx="0">
                  <c:v>Anxious</c:v>
                </c:pt>
              </c:strCache>
            </c:strRef>
          </c:tx>
          <c:spPr>
            <a:ln w="28575" cap="rnd">
              <a:solidFill>
                <a:schemeClr val="bg1">
                  <a:lumMod val="65000"/>
                </a:schemeClr>
              </a:solidFill>
              <a:round/>
            </a:ln>
            <a:effectLst/>
          </c:spPr>
          <c:marker>
            <c:symbol val="triangle"/>
            <c:size val="8"/>
            <c:spPr>
              <a:noFill/>
              <a:ln w="15875">
                <a:solidFill>
                  <a:schemeClr val="bg1">
                    <a:lumMod val="65000"/>
                  </a:schemeClr>
                </a:solidFill>
              </a:ln>
              <a:effectLst/>
            </c:spPr>
          </c:marker>
          <c:cat>
            <c:numRef>
              <c:f>Graph_Over_Time_Binary!$A$2:$A$9</c:f>
              <c:numCache>
                <c:formatCode>General</c:formatCode>
                <c:ptCount val="8"/>
                <c:pt idx="0">
                  <c:v>2011</c:v>
                </c:pt>
                <c:pt idx="1">
                  <c:v>2012</c:v>
                </c:pt>
                <c:pt idx="2">
                  <c:v>2013</c:v>
                </c:pt>
                <c:pt idx="3">
                  <c:v>2014</c:v>
                </c:pt>
                <c:pt idx="4">
                  <c:v>2015</c:v>
                </c:pt>
                <c:pt idx="5">
                  <c:v>2016</c:v>
                </c:pt>
                <c:pt idx="6">
                  <c:v>2017</c:v>
                </c:pt>
                <c:pt idx="7">
                  <c:v>2018</c:v>
                </c:pt>
              </c:numCache>
            </c:numRef>
          </c:cat>
          <c:val>
            <c:numRef>
              <c:f>Graph_Over_Time_Binary!$B$2:$B$9</c:f>
              <c:numCache>
                <c:formatCode>0.00%</c:formatCode>
                <c:ptCount val="8"/>
                <c:pt idx="0">
                  <c:v>0.24</c:v>
                </c:pt>
                <c:pt idx="1">
                  <c:v>0.222</c:v>
                </c:pt>
                <c:pt idx="2">
                  <c:v>0.21099999999999999</c:v>
                </c:pt>
                <c:pt idx="3">
                  <c:v>0.20599999999999999</c:v>
                </c:pt>
                <c:pt idx="4">
                  <c:v>0.20200000000000001</c:v>
                </c:pt>
                <c:pt idx="5">
                  <c:v>0.22500000000000001</c:v>
                </c:pt>
                <c:pt idx="6">
                  <c:v>0.20499999999999999</c:v>
                </c:pt>
                <c:pt idx="7">
                  <c:v>0.19900000000000001</c:v>
                </c:pt>
              </c:numCache>
            </c:numRef>
          </c:val>
          <c:smooth val="0"/>
          <c:extLst>
            <c:ext xmlns:c16="http://schemas.microsoft.com/office/drawing/2014/chart" uri="{C3380CC4-5D6E-409C-BE32-E72D297353CC}">
              <c16:uniqueId val="{00000000-AA58-4E52-A874-975E6D18CA52}"/>
            </c:ext>
          </c:extLst>
        </c:ser>
        <c:ser>
          <c:idx val="2"/>
          <c:order val="1"/>
          <c:tx>
            <c:strRef>
              <c:f>Graph_Over_Time_Binary!$C$1</c:f>
              <c:strCache>
                <c:ptCount val="1"/>
                <c:pt idx="0">
                  <c:v>Unhappy</c:v>
                </c:pt>
              </c:strCache>
            </c:strRef>
          </c:tx>
          <c:spPr>
            <a:ln w="28575" cap="rnd">
              <a:solidFill>
                <a:schemeClr val="accent3"/>
              </a:solidFill>
              <a:round/>
            </a:ln>
            <a:effectLst/>
          </c:spPr>
          <c:marker>
            <c:symbol val="circle"/>
            <c:size val="7"/>
            <c:spPr>
              <a:noFill/>
              <a:ln w="15875">
                <a:solidFill>
                  <a:schemeClr val="bg2">
                    <a:lumMod val="75000"/>
                  </a:schemeClr>
                </a:solidFill>
              </a:ln>
              <a:effectLst/>
            </c:spPr>
          </c:marker>
          <c:cat>
            <c:numRef>
              <c:f>Graph_Over_Time_Binary!$A$2:$A$9</c:f>
              <c:numCache>
                <c:formatCode>General</c:formatCode>
                <c:ptCount val="8"/>
                <c:pt idx="0">
                  <c:v>2011</c:v>
                </c:pt>
                <c:pt idx="1">
                  <c:v>2012</c:v>
                </c:pt>
                <c:pt idx="2">
                  <c:v>2013</c:v>
                </c:pt>
                <c:pt idx="3">
                  <c:v>2014</c:v>
                </c:pt>
                <c:pt idx="4">
                  <c:v>2015</c:v>
                </c:pt>
                <c:pt idx="5">
                  <c:v>2016</c:v>
                </c:pt>
                <c:pt idx="6">
                  <c:v>2017</c:v>
                </c:pt>
                <c:pt idx="7">
                  <c:v>2018</c:v>
                </c:pt>
              </c:numCache>
            </c:numRef>
          </c:cat>
          <c:val>
            <c:numRef>
              <c:f>Graph_Over_Time_Binary!$C$2:$C$9</c:f>
              <c:numCache>
                <c:formatCode>0.00%</c:formatCode>
                <c:ptCount val="8"/>
                <c:pt idx="0">
                  <c:v>0.24</c:v>
                </c:pt>
                <c:pt idx="1">
                  <c:v>0.252</c:v>
                </c:pt>
                <c:pt idx="2">
                  <c:v>0.21099999999999999</c:v>
                </c:pt>
                <c:pt idx="3">
                  <c:v>0.20200000000000001</c:v>
                </c:pt>
                <c:pt idx="4">
                  <c:v>0.191</c:v>
                </c:pt>
                <c:pt idx="5">
                  <c:v>0.20200000000000001</c:v>
                </c:pt>
                <c:pt idx="6">
                  <c:v>0.20599999999999999</c:v>
                </c:pt>
                <c:pt idx="7">
                  <c:v>0.20200000000000001</c:v>
                </c:pt>
              </c:numCache>
            </c:numRef>
          </c:val>
          <c:smooth val="0"/>
          <c:extLst>
            <c:ext xmlns:c16="http://schemas.microsoft.com/office/drawing/2014/chart" uri="{C3380CC4-5D6E-409C-BE32-E72D297353CC}">
              <c16:uniqueId val="{00000001-AA58-4E52-A874-975E6D18CA52}"/>
            </c:ext>
          </c:extLst>
        </c:ser>
        <c:ser>
          <c:idx val="3"/>
          <c:order val="2"/>
          <c:tx>
            <c:strRef>
              <c:f>Graph_Over_Time_Binary!$D$1</c:f>
              <c:strCache>
                <c:ptCount val="1"/>
                <c:pt idx="0">
                  <c:v>Dissatisfied</c:v>
                </c:pt>
              </c:strCache>
            </c:strRef>
          </c:tx>
          <c:spPr>
            <a:ln w="28575" cap="rnd">
              <a:solidFill>
                <a:schemeClr val="bg1">
                  <a:lumMod val="85000"/>
                </a:schemeClr>
              </a:solidFill>
              <a:round/>
            </a:ln>
            <a:effectLst/>
          </c:spPr>
          <c:marker>
            <c:symbol val="x"/>
            <c:size val="7"/>
            <c:spPr>
              <a:noFill/>
              <a:ln w="15875">
                <a:solidFill>
                  <a:schemeClr val="bg2">
                    <a:lumMod val="75000"/>
                  </a:schemeClr>
                </a:solidFill>
              </a:ln>
              <a:effectLst/>
            </c:spPr>
          </c:marker>
          <c:cat>
            <c:numRef>
              <c:f>Graph_Over_Time_Binary!$A$2:$A$9</c:f>
              <c:numCache>
                <c:formatCode>General</c:formatCode>
                <c:ptCount val="8"/>
                <c:pt idx="0">
                  <c:v>2011</c:v>
                </c:pt>
                <c:pt idx="1">
                  <c:v>2012</c:v>
                </c:pt>
                <c:pt idx="2">
                  <c:v>2013</c:v>
                </c:pt>
                <c:pt idx="3">
                  <c:v>2014</c:v>
                </c:pt>
                <c:pt idx="4">
                  <c:v>2015</c:v>
                </c:pt>
                <c:pt idx="5">
                  <c:v>2016</c:v>
                </c:pt>
                <c:pt idx="6">
                  <c:v>2017</c:v>
                </c:pt>
                <c:pt idx="7">
                  <c:v>2018</c:v>
                </c:pt>
              </c:numCache>
            </c:numRef>
          </c:cat>
          <c:val>
            <c:numRef>
              <c:f>Graph_Over_Time_Binary!$D$2:$D$9</c:f>
              <c:numCache>
                <c:formatCode>0.00%</c:formatCode>
                <c:ptCount val="8"/>
                <c:pt idx="0">
                  <c:v>0.14299999999999999</c:v>
                </c:pt>
                <c:pt idx="1">
                  <c:v>0.14399999999999999</c:v>
                </c:pt>
                <c:pt idx="2">
                  <c:v>0.129</c:v>
                </c:pt>
                <c:pt idx="3">
                  <c:v>0.125</c:v>
                </c:pt>
                <c:pt idx="4">
                  <c:v>0.114</c:v>
                </c:pt>
                <c:pt idx="5">
                  <c:v>0.111</c:v>
                </c:pt>
                <c:pt idx="6">
                  <c:v>0.106</c:v>
                </c:pt>
                <c:pt idx="7">
                  <c:v>0.105</c:v>
                </c:pt>
              </c:numCache>
            </c:numRef>
          </c:val>
          <c:smooth val="0"/>
          <c:extLst>
            <c:ext xmlns:c16="http://schemas.microsoft.com/office/drawing/2014/chart" uri="{C3380CC4-5D6E-409C-BE32-E72D297353CC}">
              <c16:uniqueId val="{00000002-AA58-4E52-A874-975E6D18CA52}"/>
            </c:ext>
          </c:extLst>
        </c:ser>
        <c:ser>
          <c:idx val="4"/>
          <c:order val="3"/>
          <c:tx>
            <c:strRef>
              <c:f>Graph_Over_Time_Binary!$E$1</c:f>
              <c:strCache>
                <c:ptCount val="1"/>
                <c:pt idx="0">
                  <c:v>Low self-worth</c:v>
                </c:pt>
              </c:strCache>
            </c:strRef>
          </c:tx>
          <c:spPr>
            <a:ln w="19050">
              <a:solidFill>
                <a:schemeClr val="tx1"/>
              </a:solidFill>
            </a:ln>
          </c:spPr>
          <c:marker>
            <c:symbol val="square"/>
            <c:size val="7"/>
            <c:spPr>
              <a:noFill/>
              <a:ln w="22225">
                <a:solidFill>
                  <a:schemeClr val="tx1"/>
                </a:solidFill>
              </a:ln>
            </c:spPr>
          </c:marker>
          <c:cat>
            <c:numRef>
              <c:f>Graph_Over_Time_Binary!$A$2:$A$9</c:f>
              <c:numCache>
                <c:formatCode>General</c:formatCode>
                <c:ptCount val="8"/>
                <c:pt idx="0">
                  <c:v>2011</c:v>
                </c:pt>
                <c:pt idx="1">
                  <c:v>2012</c:v>
                </c:pt>
                <c:pt idx="2">
                  <c:v>2013</c:v>
                </c:pt>
                <c:pt idx="3">
                  <c:v>2014</c:v>
                </c:pt>
                <c:pt idx="4">
                  <c:v>2015</c:v>
                </c:pt>
                <c:pt idx="5">
                  <c:v>2016</c:v>
                </c:pt>
                <c:pt idx="6">
                  <c:v>2017</c:v>
                </c:pt>
                <c:pt idx="7">
                  <c:v>2018</c:v>
                </c:pt>
              </c:numCache>
            </c:numRef>
          </c:cat>
          <c:val>
            <c:numRef>
              <c:f>Graph_Over_Time_Binary!$E$2:$E$9</c:f>
              <c:numCache>
                <c:formatCode>0.00%</c:formatCode>
                <c:ptCount val="8"/>
                <c:pt idx="0">
                  <c:v>7.4999999999999997E-2</c:v>
                </c:pt>
                <c:pt idx="1">
                  <c:v>7.0999999999999994E-2</c:v>
                </c:pt>
                <c:pt idx="2">
                  <c:v>0.05</c:v>
                </c:pt>
                <c:pt idx="3">
                  <c:v>5.3999999999999999E-2</c:v>
                </c:pt>
                <c:pt idx="4">
                  <c:v>5.3999999999999999E-2</c:v>
                </c:pt>
                <c:pt idx="5">
                  <c:v>6.3E-2</c:v>
                </c:pt>
                <c:pt idx="6">
                  <c:v>5.0999999999999997E-2</c:v>
                </c:pt>
                <c:pt idx="7">
                  <c:v>5.2999999999999999E-2</c:v>
                </c:pt>
              </c:numCache>
            </c:numRef>
          </c:val>
          <c:smooth val="0"/>
          <c:extLst>
            <c:ext xmlns:c16="http://schemas.microsoft.com/office/drawing/2014/chart" uri="{C3380CC4-5D6E-409C-BE32-E72D297353CC}">
              <c16:uniqueId val="{00000003-AA58-4E52-A874-975E6D18CA52}"/>
            </c:ext>
          </c:extLst>
        </c:ser>
        <c:dLbls>
          <c:showLegendKey val="0"/>
          <c:showVal val="0"/>
          <c:showCatName val="0"/>
          <c:showSerName val="0"/>
          <c:showPercent val="0"/>
          <c:showBubbleSize val="0"/>
        </c:dLbls>
        <c:marker val="1"/>
        <c:smooth val="0"/>
        <c:axId val="1404221120"/>
        <c:axId val="1"/>
      </c:lineChart>
      <c:catAx>
        <c:axId val="14042211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
        <c:crosses val="autoZero"/>
        <c:auto val="1"/>
        <c:lblAlgn val="ctr"/>
        <c:lblOffset val="100"/>
        <c:noMultiLvlLbl val="0"/>
      </c:catAx>
      <c:valAx>
        <c:axId val="1"/>
        <c:scaling>
          <c:orientation val="minMax"/>
          <c:max val="0.30000000000000004"/>
          <c:min val="0"/>
        </c:scaling>
        <c:delete val="0"/>
        <c:axPos val="l"/>
        <c:numFmt formatCode="0%" sourceLinked="0"/>
        <c:majorTickMark val="none"/>
        <c:minorTickMark val="none"/>
        <c:tickLblPos val="nextTo"/>
        <c:spPr>
          <a:ln w="6350">
            <a:noFill/>
          </a:ln>
        </c:spPr>
        <c:txPr>
          <a:bodyPr rot="-60000000" vert="horz"/>
          <a:lstStyle/>
          <a:p>
            <a:pPr>
              <a:defRPr/>
            </a:pPr>
            <a:endParaRPr lang="en-US"/>
          </a:p>
        </c:txPr>
        <c:crossAx val="1404221120"/>
        <c:crosses val="autoZero"/>
        <c:crossBetween val="between"/>
      </c:valAx>
      <c:spPr>
        <a:noFill/>
        <a:ln w="25400">
          <a:noFill/>
        </a:ln>
      </c:spPr>
    </c:plotArea>
    <c:legend>
      <c:legendPos val="b"/>
      <c:layout/>
      <c:overlay val="0"/>
      <c:spPr>
        <a:noFill/>
        <a:ln w="25400">
          <a:noFill/>
        </a:ln>
      </c:spPr>
    </c:legend>
    <c:plotVisOnly val="1"/>
    <c:dispBlanksAs val="gap"/>
    <c:showDLblsOverMax val="0"/>
  </c:chart>
  <c:spPr>
    <a:solidFill>
      <a:schemeClr val="bg1"/>
    </a:solidFill>
    <a:ln w="9525" cap="flat" cmpd="sng" algn="ctr">
      <a:noFill/>
      <a:round/>
    </a:ln>
    <a:effectLst/>
  </c:spPr>
  <c:txPr>
    <a:bodyPr/>
    <a:lstStyle/>
    <a:p>
      <a:pPr>
        <a:defRPr sz="1100">
          <a:latin typeface="Arial" panose="020B0604020202020204" pitchFamily="34" charset="0"/>
          <a:cs typeface="Arial" panose="020B0604020202020204" pitchFamily="34" charset="0"/>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4.5588460545004747E-2"/>
          <c:y val="5.0925925925925923E-2"/>
          <c:w val="0.90404031269411267"/>
          <c:h val="0.86839301609038"/>
        </c:manualLayout>
      </c:layout>
      <c:scatterChart>
        <c:scatterStyle val="lineMarker"/>
        <c:varyColors val="0"/>
        <c:ser>
          <c:idx val="0"/>
          <c:order val="0"/>
          <c:tx>
            <c:strRef>
              <c:f>Main_Outcome_Graph!$A$2</c:f>
              <c:strCache>
                <c:ptCount val="1"/>
                <c:pt idx="0">
                  <c:v>% High GHQ</c:v>
                </c:pt>
              </c:strCache>
            </c:strRef>
          </c:tx>
          <c:spPr>
            <a:ln w="25400" cap="rnd">
              <a:solidFill>
                <a:schemeClr val="bg1">
                  <a:lumMod val="75000"/>
                </a:schemeClr>
              </a:solidFill>
              <a:round/>
            </a:ln>
            <a:effectLst/>
          </c:spPr>
          <c:marker>
            <c:symbol val="square"/>
            <c:size val="7"/>
            <c:spPr>
              <a:noFill/>
              <a:ln w="19050">
                <a:solidFill>
                  <a:schemeClr val="bg1">
                    <a:lumMod val="65000"/>
                  </a:schemeClr>
                </a:solidFill>
              </a:ln>
              <a:effectLst/>
            </c:spPr>
          </c:marker>
          <c:xVal>
            <c:numRef>
              <c:f>Main_Outcome_Graph!$B$1:$AA$1</c:f>
              <c:numCache>
                <c:formatCode>General</c:formatCode>
                <c:ptCount val="26"/>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numCache>
            </c:numRef>
          </c:xVal>
          <c:yVal>
            <c:numRef>
              <c:f>Main_Outcome_Graph!$B$2:$AA$2</c:f>
              <c:numCache>
                <c:formatCode>0%</c:formatCode>
                <c:ptCount val="26"/>
                <c:pt idx="0">
                  <c:v>0.16901408135890961</c:v>
                </c:pt>
                <c:pt idx="1">
                  <c:v>0.19710144400596619</c:v>
                </c:pt>
                <c:pt idx="6">
                  <c:v>0.2028985470533371</c:v>
                </c:pt>
                <c:pt idx="7">
                  <c:v>0.10294117778539658</c:v>
                </c:pt>
                <c:pt idx="8">
                  <c:v>0.15425531566143036</c:v>
                </c:pt>
                <c:pt idx="9">
                  <c:v>0.1587301641702652</c:v>
                </c:pt>
                <c:pt idx="10">
                  <c:v>0.20731706917285919</c:v>
                </c:pt>
                <c:pt idx="11">
                  <c:v>0.14376996457576752</c:v>
                </c:pt>
                <c:pt idx="12">
                  <c:v>0.11538461595773697</c:v>
                </c:pt>
                <c:pt idx="13">
                  <c:v>0.10759493708610535</c:v>
                </c:pt>
                <c:pt idx="14">
                  <c:v>0.12162162363529205</c:v>
                </c:pt>
                <c:pt idx="16">
                  <c:v>0.14610388875007629</c:v>
                </c:pt>
                <c:pt idx="17">
                  <c:v>0.15686275064945221</c:v>
                </c:pt>
                <c:pt idx="18">
                  <c:v>0.17073170840740204</c:v>
                </c:pt>
                <c:pt idx="20">
                  <c:v>0.22754490375518799</c:v>
                </c:pt>
                <c:pt idx="22">
                  <c:v>0.1627907007932663</c:v>
                </c:pt>
                <c:pt idx="24">
                  <c:v>0.16025641560554504</c:v>
                </c:pt>
              </c:numCache>
            </c:numRef>
          </c:yVal>
          <c:smooth val="1"/>
          <c:extLst>
            <c:ext xmlns:c16="http://schemas.microsoft.com/office/drawing/2014/chart" uri="{C3380CC4-5D6E-409C-BE32-E72D297353CC}">
              <c16:uniqueId val="{00000000-DFF0-4AFB-B9A6-35CA0288BEBA}"/>
            </c:ext>
          </c:extLst>
        </c:ser>
        <c:ser>
          <c:idx val="2"/>
          <c:order val="1"/>
          <c:tx>
            <c:strRef>
              <c:f>Main_Outcome_Graph!$A$4</c:f>
              <c:strCache>
                <c:ptCount val="1"/>
                <c:pt idx="0">
                  <c:v>% Mental health issue</c:v>
                </c:pt>
              </c:strCache>
            </c:strRef>
          </c:tx>
          <c:spPr>
            <a:ln w="25400" cap="rnd">
              <a:solidFill>
                <a:schemeClr val="tx1"/>
              </a:solidFill>
              <a:round/>
            </a:ln>
            <a:effectLst/>
          </c:spPr>
          <c:marker>
            <c:symbol val="circle"/>
            <c:size val="6"/>
            <c:spPr>
              <a:noFill/>
              <a:ln w="15875">
                <a:solidFill>
                  <a:schemeClr val="tx1"/>
                </a:solidFill>
              </a:ln>
              <a:effectLst/>
            </c:spPr>
          </c:marker>
          <c:xVal>
            <c:numRef>
              <c:f>Main_Outcome_Graph!$B$1:$AA$1</c:f>
              <c:numCache>
                <c:formatCode>General</c:formatCode>
                <c:ptCount val="26"/>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numCache>
            </c:numRef>
          </c:xVal>
          <c:yVal>
            <c:numRef>
              <c:f>Main_Outcome_Graph!$B$4:$AA$4</c:f>
              <c:numCache>
                <c:formatCode>General</c:formatCode>
                <c:ptCount val="26"/>
                <c:pt idx="6" formatCode="0%">
                  <c:v>6.9930069148540497E-3</c:v>
                </c:pt>
                <c:pt idx="8" formatCode="0%">
                  <c:v>3.125E-2</c:v>
                </c:pt>
                <c:pt idx="9" formatCode="0%">
                  <c:v>2.4615384638309479E-2</c:v>
                </c:pt>
                <c:pt idx="10" formatCode="0%">
                  <c:v>2.3529412224888802E-2</c:v>
                </c:pt>
                <c:pt idx="11" formatCode="0%">
                  <c:v>1.2307692319154739E-2</c:v>
                </c:pt>
                <c:pt idx="12" formatCode="0%">
                  <c:v>1.1764706112444401E-2</c:v>
                </c:pt>
                <c:pt idx="13" formatCode="0%">
                  <c:v>1.8181817606091499E-2</c:v>
                </c:pt>
                <c:pt idx="14" formatCode="0%">
                  <c:v>1.6393441706895828E-2</c:v>
                </c:pt>
                <c:pt idx="15" formatCode="0%">
                  <c:v>6.3829787075519562E-2</c:v>
                </c:pt>
                <c:pt idx="16" formatCode="0%">
                  <c:v>2.812499925494194E-2</c:v>
                </c:pt>
                <c:pt idx="17" formatCode="0%">
                  <c:v>1.8691588193178177E-2</c:v>
                </c:pt>
                <c:pt idx="18" formatCode="0%">
                  <c:v>3.9325844496488571E-2</c:v>
                </c:pt>
                <c:pt idx="19" formatCode="0%">
                  <c:v>3.6458332091569901E-2</c:v>
                </c:pt>
                <c:pt idx="20" formatCode="0%">
                  <c:v>3.2967034727334976E-2</c:v>
                </c:pt>
                <c:pt idx="21" formatCode="0%">
                  <c:v>5.5865921080112457E-2</c:v>
                </c:pt>
                <c:pt idx="22" formatCode="0%">
                  <c:v>3.0456852167844772E-2</c:v>
                </c:pt>
                <c:pt idx="23" formatCode="0%">
                  <c:v>1.621621660888195E-2</c:v>
                </c:pt>
                <c:pt idx="24" formatCode="0%">
                  <c:v>6.2857143580913544E-2</c:v>
                </c:pt>
                <c:pt idx="25" formatCode="0%">
                  <c:v>4.9295775592327118E-2</c:v>
                </c:pt>
              </c:numCache>
            </c:numRef>
          </c:yVal>
          <c:smooth val="0"/>
          <c:extLst>
            <c:ext xmlns:c16="http://schemas.microsoft.com/office/drawing/2014/chart" uri="{C3380CC4-5D6E-409C-BE32-E72D297353CC}">
              <c16:uniqueId val="{00000001-DFF0-4AFB-B9A6-35CA0288BEBA}"/>
            </c:ext>
          </c:extLst>
        </c:ser>
        <c:ser>
          <c:idx val="3"/>
          <c:order val="2"/>
          <c:tx>
            <c:strRef>
              <c:f>Main_Outcome_Graph!$A$5</c:f>
              <c:strCache>
                <c:ptCount val="1"/>
                <c:pt idx="0">
                  <c:v>% prescribed antidepressants</c:v>
                </c:pt>
              </c:strCache>
            </c:strRef>
          </c:tx>
          <c:spPr>
            <a:ln w="19050" cap="rnd">
              <a:solidFill>
                <a:schemeClr val="bg1">
                  <a:lumMod val="65000"/>
                </a:schemeClr>
              </a:solidFill>
              <a:prstDash val="dash"/>
              <a:round/>
            </a:ln>
            <a:effectLst/>
          </c:spPr>
          <c:marker>
            <c:symbol val="x"/>
            <c:size val="6"/>
            <c:spPr>
              <a:noFill/>
              <a:ln w="15875">
                <a:solidFill>
                  <a:schemeClr val="bg1">
                    <a:lumMod val="65000"/>
                  </a:schemeClr>
                </a:solidFill>
              </a:ln>
              <a:effectLst/>
            </c:spPr>
          </c:marker>
          <c:xVal>
            <c:numRef>
              <c:f>Main_Outcome_Graph!$B$1:$AA$1</c:f>
              <c:numCache>
                <c:formatCode>General</c:formatCode>
                <c:ptCount val="26"/>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numCache>
            </c:numRef>
          </c:xVal>
          <c:yVal>
            <c:numRef>
              <c:f>Main_Outcome_Graph!$B$5:$AA$5</c:f>
              <c:numCache>
                <c:formatCode>0%</c:formatCode>
                <c:ptCount val="26"/>
                <c:pt idx="0">
                  <c:v>3.1746033579111099E-2</c:v>
                </c:pt>
                <c:pt idx="1">
                  <c:v>3.125E-2</c:v>
                </c:pt>
                <c:pt idx="6">
                  <c:v>2.734375E-2</c:v>
                </c:pt>
                <c:pt idx="8">
                  <c:v>4.0462426841259003E-2</c:v>
                </c:pt>
                <c:pt idx="9">
                  <c:v>3.8869258016347885E-2</c:v>
                </c:pt>
                <c:pt idx="10">
                  <c:v>5.4794520139694214E-2</c:v>
                </c:pt>
                <c:pt idx="11">
                  <c:v>4.9242425709962845E-2</c:v>
                </c:pt>
                <c:pt idx="13">
                  <c:v>4.4776119291782379E-2</c:v>
                </c:pt>
                <c:pt idx="14">
                  <c:v>5.3941909223794937E-2</c:v>
                </c:pt>
                <c:pt idx="15">
                  <c:v>7.5630255043506622E-2</c:v>
                </c:pt>
                <c:pt idx="16">
                  <c:v>5.3941909223794937E-2</c:v>
                </c:pt>
                <c:pt idx="17">
                  <c:v>8.0459773540496826E-2</c:v>
                </c:pt>
                <c:pt idx="18">
                  <c:v>8.2089550793170929E-2</c:v>
                </c:pt>
                <c:pt idx="19">
                  <c:v>8.4507040679454803E-2</c:v>
                </c:pt>
                <c:pt idx="20">
                  <c:v>8.196721225976944E-2</c:v>
                </c:pt>
                <c:pt idx="21">
                  <c:v>9.0909093618392944E-2</c:v>
                </c:pt>
                <c:pt idx="22">
                  <c:v>0.10067114233970642</c:v>
                </c:pt>
                <c:pt idx="23">
                  <c:v>6.4000003039836884E-2</c:v>
                </c:pt>
                <c:pt idx="24">
                  <c:v>7.4766352772712708E-2</c:v>
                </c:pt>
                <c:pt idx="25">
                  <c:v>7.2916664183139801E-2</c:v>
                </c:pt>
              </c:numCache>
            </c:numRef>
          </c:yVal>
          <c:smooth val="0"/>
          <c:extLst>
            <c:ext xmlns:c16="http://schemas.microsoft.com/office/drawing/2014/chart" uri="{C3380CC4-5D6E-409C-BE32-E72D297353CC}">
              <c16:uniqueId val="{00000002-DFF0-4AFB-B9A6-35CA0288BEBA}"/>
            </c:ext>
          </c:extLst>
        </c:ser>
        <c:dLbls>
          <c:showLegendKey val="0"/>
          <c:showVal val="0"/>
          <c:showCatName val="0"/>
          <c:showSerName val="0"/>
          <c:showPercent val="0"/>
          <c:showBubbleSize val="0"/>
        </c:dLbls>
        <c:axId val="248184303"/>
        <c:axId val="1"/>
      </c:scatterChart>
      <c:valAx>
        <c:axId val="248184303"/>
        <c:scaling>
          <c:orientation val="minMax"/>
          <c:max val="2017"/>
          <c:min val="1992"/>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a:pPr>
            <a:endParaRPr lang="en-US"/>
          </a:p>
        </c:txPr>
        <c:crossAx val="1"/>
        <c:crosses val="autoZero"/>
        <c:crossBetween val="midCat"/>
      </c:valAx>
      <c:valAx>
        <c:axId val="1"/>
        <c:scaling>
          <c:orientation val="minMax"/>
          <c:max val="0.30000000000000004"/>
        </c:scaling>
        <c:delete val="0"/>
        <c:axPos val="l"/>
        <c:numFmt formatCode="0%" sourceLinked="1"/>
        <c:majorTickMark val="none"/>
        <c:minorTickMark val="none"/>
        <c:tickLblPos val="nextTo"/>
        <c:spPr>
          <a:ln w="6350">
            <a:noFill/>
          </a:ln>
        </c:spPr>
        <c:txPr>
          <a:bodyPr rot="-60000000" vert="horz"/>
          <a:lstStyle/>
          <a:p>
            <a:pPr>
              <a:defRPr/>
            </a:pPr>
            <a:endParaRPr lang="en-US"/>
          </a:p>
        </c:txPr>
        <c:crossAx val="248184303"/>
        <c:crosses val="autoZero"/>
        <c:crossBetween val="midCat"/>
      </c:valAx>
      <c:spPr>
        <a:noFill/>
        <a:ln w="25400">
          <a:noFill/>
        </a:ln>
      </c:spPr>
    </c:plotArea>
    <c:legend>
      <c:legendPos val="b"/>
      <c:layout>
        <c:manualLayout>
          <c:xMode val="edge"/>
          <c:yMode val="edge"/>
          <c:x val="4.5464808182653874E-2"/>
          <c:y val="1.8441173114230286E-4"/>
          <c:w val="0.41993419602264453"/>
          <c:h val="0.15400235840085205"/>
        </c:manualLayout>
      </c:layout>
      <c:overlay val="0"/>
      <c:spPr>
        <a:noFill/>
        <a:ln w="25400">
          <a:noFill/>
        </a:ln>
      </c:spPr>
    </c:legend>
    <c:plotVisOnly val="1"/>
    <c:dispBlanksAs val="span"/>
    <c:showDLblsOverMax val="0"/>
  </c:chart>
  <c:spPr>
    <a:solidFill>
      <a:schemeClr val="bg1"/>
    </a:solidFill>
    <a:ln w="9525" cap="flat" cmpd="sng" algn="ctr">
      <a:noFill/>
      <a:round/>
    </a:ln>
    <a:effectLst/>
  </c:spPr>
  <c:txPr>
    <a:bodyPr/>
    <a:lstStyle/>
    <a:p>
      <a:pPr>
        <a:defRPr sz="1100">
          <a:latin typeface="Arial" panose="020B0604020202020204" pitchFamily="34" charset="0"/>
          <a:cs typeface="Arial" panose="020B0604020202020204" pitchFamily="34" charset="0"/>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4.5588460545004747E-2"/>
          <c:y val="5.0925925925925923E-2"/>
          <c:w val="0.90404031269411267"/>
          <c:h val="0.86839301609038"/>
        </c:manualLayout>
      </c:layout>
      <c:scatterChart>
        <c:scatterStyle val="lineMarker"/>
        <c:varyColors val="0"/>
        <c:ser>
          <c:idx val="0"/>
          <c:order val="0"/>
          <c:tx>
            <c:strRef>
              <c:f>Second_Outcome_Graph!$A$2</c:f>
              <c:strCache>
                <c:ptCount val="1"/>
                <c:pt idx="0">
                  <c:v>Ed professional (antidepressants)</c:v>
                </c:pt>
              </c:strCache>
            </c:strRef>
          </c:tx>
          <c:spPr>
            <a:ln w="25400" cap="rnd">
              <a:solidFill>
                <a:schemeClr val="bg1">
                  <a:lumMod val="50000"/>
                </a:schemeClr>
              </a:solidFill>
              <a:round/>
            </a:ln>
            <a:effectLst/>
          </c:spPr>
          <c:marker>
            <c:symbol val="square"/>
            <c:size val="7"/>
            <c:spPr>
              <a:solidFill>
                <a:schemeClr val="bg1">
                  <a:lumMod val="50000"/>
                  <a:alpha val="50000"/>
                </a:schemeClr>
              </a:solidFill>
              <a:ln w="19050">
                <a:solidFill>
                  <a:schemeClr val="bg1">
                    <a:lumMod val="50000"/>
                  </a:schemeClr>
                </a:solidFill>
              </a:ln>
              <a:effectLst/>
            </c:spPr>
          </c:marker>
          <c:xVal>
            <c:numRef>
              <c:f>Second_Outcome_Graph!$B$6:$AB$6</c:f>
              <c:numCache>
                <c:formatCode>General</c:formatCode>
                <c:ptCount val="27"/>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pt idx="26">
                  <c:v>2018</c:v>
                </c:pt>
              </c:numCache>
            </c:numRef>
          </c:xVal>
          <c:yVal>
            <c:numRef>
              <c:f>Second_Outcome_Graph!$B$2:$AA$2</c:f>
              <c:numCache>
                <c:formatCode>0.0%</c:formatCode>
                <c:ptCount val="26"/>
                <c:pt idx="0">
                  <c:v>3.1746033579111099E-2</c:v>
                </c:pt>
                <c:pt idx="1">
                  <c:v>3.125E-2</c:v>
                </c:pt>
                <c:pt idx="6">
                  <c:v>2.734375E-2</c:v>
                </c:pt>
                <c:pt idx="7">
                  <c:v>0</c:v>
                </c:pt>
                <c:pt idx="8">
                  <c:v>4.0462426841259003E-2</c:v>
                </c:pt>
                <c:pt idx="9">
                  <c:v>3.8869258016347885E-2</c:v>
                </c:pt>
                <c:pt idx="10">
                  <c:v>5.4794520139694214E-2</c:v>
                </c:pt>
                <c:pt idx="11">
                  <c:v>4.9242425709962845E-2</c:v>
                </c:pt>
                <c:pt idx="12">
                  <c:v>0</c:v>
                </c:pt>
                <c:pt idx="13">
                  <c:v>4.4776119291782379E-2</c:v>
                </c:pt>
                <c:pt idx="14">
                  <c:v>5.3941909223794937E-2</c:v>
                </c:pt>
                <c:pt idx="15">
                  <c:v>7.5630255043506622E-2</c:v>
                </c:pt>
                <c:pt idx="16">
                  <c:v>5.3941909223794937E-2</c:v>
                </c:pt>
                <c:pt idx="17">
                  <c:v>8.0459773540496826E-2</c:v>
                </c:pt>
                <c:pt idx="18">
                  <c:v>8.2089550793170929E-2</c:v>
                </c:pt>
                <c:pt idx="19">
                  <c:v>8.4507040679454803E-2</c:v>
                </c:pt>
                <c:pt idx="20">
                  <c:v>8.196721225976944E-2</c:v>
                </c:pt>
                <c:pt idx="21">
                  <c:v>9.0909093618392944E-2</c:v>
                </c:pt>
                <c:pt idx="22">
                  <c:v>0.10067114233970642</c:v>
                </c:pt>
                <c:pt idx="23">
                  <c:v>6.4000003039836884E-2</c:v>
                </c:pt>
                <c:pt idx="24">
                  <c:v>7.4766352772712708E-2</c:v>
                </c:pt>
                <c:pt idx="25">
                  <c:v>7.2916664183139801E-2</c:v>
                </c:pt>
              </c:numCache>
            </c:numRef>
          </c:yVal>
          <c:smooth val="1"/>
          <c:extLst>
            <c:ext xmlns:c16="http://schemas.microsoft.com/office/drawing/2014/chart" uri="{C3380CC4-5D6E-409C-BE32-E72D297353CC}">
              <c16:uniqueId val="{00000000-49F5-47DD-8EB5-B2B1B29F5C4D}"/>
            </c:ext>
          </c:extLst>
        </c:ser>
        <c:ser>
          <c:idx val="2"/>
          <c:order val="1"/>
          <c:tx>
            <c:strRef>
              <c:f>Second_Outcome_Graph!$A$3</c:f>
              <c:strCache>
                <c:ptCount val="1"/>
                <c:pt idx="0">
                  <c:v>Other professional (antidepressants)</c:v>
                </c:pt>
              </c:strCache>
            </c:strRef>
          </c:tx>
          <c:spPr>
            <a:ln w="25400" cap="rnd">
              <a:solidFill>
                <a:schemeClr val="bg1">
                  <a:lumMod val="65000"/>
                </a:schemeClr>
              </a:solidFill>
              <a:prstDash val="dash"/>
              <a:round/>
            </a:ln>
            <a:effectLst/>
          </c:spPr>
          <c:marker>
            <c:symbol val="square"/>
            <c:size val="7"/>
            <c:spPr>
              <a:noFill/>
              <a:ln w="15875">
                <a:solidFill>
                  <a:schemeClr val="bg1">
                    <a:lumMod val="65000"/>
                  </a:schemeClr>
                </a:solidFill>
              </a:ln>
              <a:effectLst/>
            </c:spPr>
          </c:marker>
          <c:xVal>
            <c:numRef>
              <c:f>Second_Outcome_Graph!$B$6:$AB$6</c:f>
              <c:numCache>
                <c:formatCode>General</c:formatCode>
                <c:ptCount val="27"/>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pt idx="26">
                  <c:v>2018</c:v>
                </c:pt>
              </c:numCache>
            </c:numRef>
          </c:xVal>
          <c:yVal>
            <c:numRef>
              <c:f>Second_Outcome_Graph!$B$3:$AA$3</c:f>
              <c:numCache>
                <c:formatCode>0.0%</c:formatCode>
                <c:ptCount val="26"/>
                <c:pt idx="0">
                  <c:v>2.1113242954015732E-2</c:v>
                </c:pt>
                <c:pt idx="1">
                  <c:v>1.9188191741704941E-2</c:v>
                </c:pt>
                <c:pt idx="6">
                  <c:v>3.3913042396306992E-2</c:v>
                </c:pt>
                <c:pt idx="7">
                  <c:v>2.5056947022676468E-2</c:v>
                </c:pt>
                <c:pt idx="8">
                  <c:v>3.458646684885025E-2</c:v>
                </c:pt>
                <c:pt idx="9">
                  <c:v>3.4506089985370636E-2</c:v>
                </c:pt>
                <c:pt idx="10">
                  <c:v>3.2292786985635757E-2</c:v>
                </c:pt>
                <c:pt idx="11">
                  <c:v>3.9735101163387299E-2</c:v>
                </c:pt>
                <c:pt idx="12">
                  <c:v>2.5531914085149765E-2</c:v>
                </c:pt>
                <c:pt idx="13">
                  <c:v>3.9999999105930328E-2</c:v>
                </c:pt>
                <c:pt idx="14">
                  <c:v>4.8034936189651489E-2</c:v>
                </c:pt>
                <c:pt idx="15">
                  <c:v>3.3195022493600845E-2</c:v>
                </c:pt>
                <c:pt idx="16">
                  <c:v>4.7183100134134293E-2</c:v>
                </c:pt>
                <c:pt idx="17">
                  <c:v>3.7433154881000519E-2</c:v>
                </c:pt>
                <c:pt idx="18">
                  <c:v>5.6224901229143143E-2</c:v>
                </c:pt>
                <c:pt idx="19">
                  <c:v>4.3149944394826889E-2</c:v>
                </c:pt>
                <c:pt idx="20">
                  <c:v>6.8475455045700073E-2</c:v>
                </c:pt>
                <c:pt idx="21">
                  <c:v>7.2301425039768219E-2</c:v>
                </c:pt>
                <c:pt idx="22">
                  <c:v>8.0786027014255524E-2</c:v>
                </c:pt>
                <c:pt idx="23">
                  <c:v>7.2189345955848694E-2</c:v>
                </c:pt>
                <c:pt idx="24">
                  <c:v>7.0866145193576813E-2</c:v>
                </c:pt>
                <c:pt idx="25">
                  <c:v>8.9306697249412537E-2</c:v>
                </c:pt>
              </c:numCache>
            </c:numRef>
          </c:yVal>
          <c:smooth val="0"/>
          <c:extLst>
            <c:ext xmlns:c16="http://schemas.microsoft.com/office/drawing/2014/chart" uri="{C3380CC4-5D6E-409C-BE32-E72D297353CC}">
              <c16:uniqueId val="{00000001-49F5-47DD-8EB5-B2B1B29F5C4D}"/>
            </c:ext>
          </c:extLst>
        </c:ser>
        <c:ser>
          <c:idx val="1"/>
          <c:order val="2"/>
          <c:tx>
            <c:strRef>
              <c:f>Second_Outcome_Graph!$A$4</c:f>
              <c:strCache>
                <c:ptCount val="1"/>
                <c:pt idx="0">
                  <c:v>Ed professional (High GHQ)</c:v>
                </c:pt>
              </c:strCache>
            </c:strRef>
          </c:tx>
          <c:spPr>
            <a:ln w="25400">
              <a:solidFill>
                <a:schemeClr val="bg1">
                  <a:lumMod val="50000"/>
                </a:schemeClr>
              </a:solidFill>
            </a:ln>
          </c:spPr>
          <c:marker>
            <c:symbol val="circle"/>
            <c:size val="7"/>
            <c:spPr>
              <a:solidFill>
                <a:schemeClr val="bg1">
                  <a:lumMod val="50000"/>
                  <a:alpha val="50000"/>
                </a:schemeClr>
              </a:solidFill>
              <a:ln w="15875">
                <a:solidFill>
                  <a:schemeClr val="bg1">
                    <a:lumMod val="50000"/>
                  </a:schemeClr>
                </a:solidFill>
              </a:ln>
            </c:spPr>
          </c:marker>
          <c:xVal>
            <c:numRef>
              <c:f>Second_Outcome_Graph!$B$6:$AB$6</c:f>
              <c:numCache>
                <c:formatCode>General</c:formatCode>
                <c:ptCount val="27"/>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pt idx="26">
                  <c:v>2018</c:v>
                </c:pt>
              </c:numCache>
            </c:numRef>
          </c:xVal>
          <c:yVal>
            <c:numRef>
              <c:f>Second_Outcome_Graph!$B$4:$AB$4</c:f>
              <c:numCache>
                <c:formatCode>0.0%</c:formatCode>
                <c:ptCount val="27"/>
                <c:pt idx="0">
                  <c:v>0.16901408135890961</c:v>
                </c:pt>
                <c:pt idx="1">
                  <c:v>0.19710144400596619</c:v>
                </c:pt>
                <c:pt idx="6">
                  <c:v>0.2028985470533371</c:v>
                </c:pt>
                <c:pt idx="7">
                  <c:v>0.10294117778539658</c:v>
                </c:pt>
                <c:pt idx="8">
                  <c:v>0.15425531566143036</c:v>
                </c:pt>
                <c:pt idx="9">
                  <c:v>0.1587301641702652</c:v>
                </c:pt>
                <c:pt idx="10">
                  <c:v>0.20731706917285919</c:v>
                </c:pt>
                <c:pt idx="11">
                  <c:v>0.14376996457576752</c:v>
                </c:pt>
                <c:pt idx="12">
                  <c:v>0.11538461595773697</c:v>
                </c:pt>
                <c:pt idx="13">
                  <c:v>0.10759493708610535</c:v>
                </c:pt>
                <c:pt idx="14">
                  <c:v>0.12162162363529205</c:v>
                </c:pt>
                <c:pt idx="16">
                  <c:v>0.14610388875007629</c:v>
                </c:pt>
                <c:pt idx="17">
                  <c:v>0.15686275064945221</c:v>
                </c:pt>
                <c:pt idx="18">
                  <c:v>0.17073170840740204</c:v>
                </c:pt>
                <c:pt idx="20">
                  <c:v>0.22754490375518799</c:v>
                </c:pt>
                <c:pt idx="22">
                  <c:v>0.1627907007932663</c:v>
                </c:pt>
                <c:pt idx="24">
                  <c:v>0.16025641560554504</c:v>
                </c:pt>
              </c:numCache>
            </c:numRef>
          </c:yVal>
          <c:smooth val="0"/>
          <c:extLst>
            <c:ext xmlns:c16="http://schemas.microsoft.com/office/drawing/2014/chart" uri="{C3380CC4-5D6E-409C-BE32-E72D297353CC}">
              <c16:uniqueId val="{00000002-49F5-47DD-8EB5-B2B1B29F5C4D}"/>
            </c:ext>
          </c:extLst>
        </c:ser>
        <c:ser>
          <c:idx val="3"/>
          <c:order val="3"/>
          <c:tx>
            <c:strRef>
              <c:f>Second_Outcome_Graph!$A$5</c:f>
              <c:strCache>
                <c:ptCount val="1"/>
                <c:pt idx="0">
                  <c:v>Other professional (High GHQ)</c:v>
                </c:pt>
              </c:strCache>
            </c:strRef>
          </c:tx>
          <c:spPr>
            <a:ln w="25400">
              <a:solidFill>
                <a:schemeClr val="bg1">
                  <a:lumMod val="65000"/>
                </a:schemeClr>
              </a:solidFill>
              <a:prstDash val="dash"/>
            </a:ln>
          </c:spPr>
          <c:marker>
            <c:symbol val="circle"/>
            <c:size val="7"/>
            <c:spPr>
              <a:noFill/>
              <a:ln w="15875">
                <a:solidFill>
                  <a:schemeClr val="bg1">
                    <a:lumMod val="65000"/>
                  </a:schemeClr>
                </a:solidFill>
              </a:ln>
            </c:spPr>
          </c:marker>
          <c:xVal>
            <c:numRef>
              <c:f>Second_Outcome_Graph!$B$6:$AB$6</c:f>
              <c:numCache>
                <c:formatCode>General</c:formatCode>
                <c:ptCount val="27"/>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pt idx="26">
                  <c:v>2018</c:v>
                </c:pt>
              </c:numCache>
            </c:numRef>
          </c:xVal>
          <c:yVal>
            <c:numRef>
              <c:f>Second_Outcome_Graph!$B$5:$AB$5</c:f>
              <c:numCache>
                <c:formatCode>0.0%</c:formatCode>
                <c:ptCount val="27"/>
                <c:pt idx="0">
                  <c:v>0.17152658104896545</c:v>
                </c:pt>
                <c:pt idx="1">
                  <c:v>0.15670651197433472</c:v>
                </c:pt>
                <c:pt idx="6">
                  <c:v>0.15366615355014801</c:v>
                </c:pt>
                <c:pt idx="7">
                  <c:v>0.138376384973526</c:v>
                </c:pt>
                <c:pt idx="8">
                  <c:v>0.12073490768671036</c:v>
                </c:pt>
                <c:pt idx="9">
                  <c:v>0.13014461100101471</c:v>
                </c:pt>
                <c:pt idx="10">
                  <c:v>0.14426523447036743</c:v>
                </c:pt>
                <c:pt idx="11">
                  <c:v>0.11031833291053772</c:v>
                </c:pt>
                <c:pt idx="12">
                  <c:v>0.11592356860637665</c:v>
                </c:pt>
                <c:pt idx="13">
                  <c:v>0.1135881096124649</c:v>
                </c:pt>
                <c:pt idx="14">
                  <c:v>0.12342856824398041</c:v>
                </c:pt>
                <c:pt idx="16">
                  <c:v>0.10015898197889328</c:v>
                </c:pt>
                <c:pt idx="17">
                  <c:v>0.11753372102975845</c:v>
                </c:pt>
                <c:pt idx="18">
                  <c:v>0.12559467554092407</c:v>
                </c:pt>
                <c:pt idx="20">
                  <c:v>0.12832264602184296</c:v>
                </c:pt>
                <c:pt idx="22">
                  <c:v>0.12741935253143311</c:v>
                </c:pt>
                <c:pt idx="24">
                  <c:v>0.17040358483791351</c:v>
                </c:pt>
              </c:numCache>
            </c:numRef>
          </c:yVal>
          <c:smooth val="0"/>
          <c:extLst>
            <c:ext xmlns:c16="http://schemas.microsoft.com/office/drawing/2014/chart" uri="{C3380CC4-5D6E-409C-BE32-E72D297353CC}">
              <c16:uniqueId val="{00000003-49F5-47DD-8EB5-B2B1B29F5C4D}"/>
            </c:ext>
          </c:extLst>
        </c:ser>
        <c:dLbls>
          <c:showLegendKey val="0"/>
          <c:showVal val="0"/>
          <c:showCatName val="0"/>
          <c:showSerName val="0"/>
          <c:showPercent val="0"/>
          <c:showBubbleSize val="0"/>
        </c:dLbls>
        <c:axId val="248184719"/>
        <c:axId val="1"/>
      </c:scatterChart>
      <c:valAx>
        <c:axId val="248184719"/>
        <c:scaling>
          <c:orientation val="minMax"/>
          <c:max val="2018"/>
          <c:min val="1992"/>
        </c:scaling>
        <c:delete val="0"/>
        <c:axPos val="b"/>
        <c:numFmt formatCode="0" sourceLinked="0"/>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a:pPr>
            <a:endParaRPr lang="en-US"/>
          </a:p>
        </c:txPr>
        <c:crossAx val="1"/>
        <c:crosses val="autoZero"/>
        <c:crossBetween val="midCat"/>
      </c:valAx>
      <c:valAx>
        <c:axId val="1"/>
        <c:scaling>
          <c:orientation val="minMax"/>
          <c:max val="0.30000000000000004"/>
        </c:scaling>
        <c:delete val="0"/>
        <c:axPos val="l"/>
        <c:numFmt formatCode="0%" sourceLinked="0"/>
        <c:majorTickMark val="none"/>
        <c:minorTickMark val="none"/>
        <c:tickLblPos val="nextTo"/>
        <c:spPr>
          <a:ln w="6350">
            <a:noFill/>
          </a:ln>
        </c:spPr>
        <c:txPr>
          <a:bodyPr rot="-60000000" vert="horz"/>
          <a:lstStyle/>
          <a:p>
            <a:pPr>
              <a:defRPr/>
            </a:pPr>
            <a:endParaRPr lang="en-US"/>
          </a:p>
        </c:txPr>
        <c:crossAx val="248184719"/>
        <c:crosses val="autoZero"/>
        <c:crossBetween val="midCat"/>
        <c:majorUnit val="5.000000000000001E-2"/>
      </c:valAx>
      <c:spPr>
        <a:noFill/>
        <a:ln w="25400">
          <a:noFill/>
        </a:ln>
      </c:spPr>
    </c:plotArea>
    <c:legend>
      <c:legendPos val="b"/>
      <c:layout>
        <c:manualLayout>
          <c:xMode val="edge"/>
          <c:yMode val="edge"/>
          <c:x val="3.4159352692378422E-2"/>
          <c:y val="1.8429899652373962E-4"/>
          <c:w val="0.50102479228313024"/>
          <c:h val="0.19920026945784319"/>
        </c:manualLayout>
      </c:layout>
      <c:overlay val="0"/>
      <c:spPr>
        <a:noFill/>
        <a:ln w="25400">
          <a:noFill/>
        </a:ln>
      </c:spPr>
      <c:txPr>
        <a:bodyPr rot="0" vert="horz"/>
        <a:lstStyle/>
        <a:p>
          <a:pPr>
            <a:defRPr sz="1050"/>
          </a:pPr>
          <a:endParaRPr lang="en-US"/>
        </a:p>
      </c:txPr>
    </c:legend>
    <c:plotVisOnly val="1"/>
    <c:dispBlanksAs val="span"/>
    <c:showDLblsOverMax val="0"/>
  </c:chart>
  <c:spPr>
    <a:solidFill>
      <a:schemeClr val="bg1"/>
    </a:solidFill>
    <a:ln w="9525" cap="flat" cmpd="sng" algn="ctr">
      <a:noFill/>
      <a:round/>
    </a:ln>
    <a:effectLst/>
  </c:spPr>
  <c:txPr>
    <a:bodyPr/>
    <a:lstStyle/>
    <a:p>
      <a:pPr>
        <a:defRPr sz="1100">
          <a:latin typeface="Arial" panose="020B0604020202020204" pitchFamily="34" charset="0"/>
          <a:cs typeface="Arial" panose="020B0604020202020204" pitchFamily="34" charset="0"/>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0869206077068236E-2"/>
          <c:y val="4.226705091258405E-2"/>
          <c:w val="0.91710877537241564"/>
          <c:h val="0.81095766487402332"/>
        </c:manualLayout>
      </c:layout>
      <c:lineChart>
        <c:grouping val="standard"/>
        <c:varyColors val="0"/>
        <c:ser>
          <c:idx val="0"/>
          <c:order val="0"/>
          <c:tx>
            <c:strRef>
              <c:f>Figure_1a_Anxiety!$B$1</c:f>
              <c:strCache>
                <c:ptCount val="1"/>
                <c:pt idx="0">
                  <c:v>Anxious</c:v>
                </c:pt>
              </c:strCache>
            </c:strRef>
          </c:tx>
          <c:spPr>
            <a:ln w="28575" cap="rnd">
              <a:solidFill>
                <a:schemeClr val="bg1">
                  <a:lumMod val="65000"/>
                </a:schemeClr>
              </a:solidFill>
              <a:round/>
            </a:ln>
            <a:effectLst/>
          </c:spPr>
          <c:marker>
            <c:symbol val="none"/>
          </c:marker>
          <c:val>
            <c:numRef>
              <c:f>Figure_1a_Anxiety!$B$2:$B$53</c:f>
              <c:numCache>
                <c:formatCode>0%</c:formatCode>
                <c:ptCount val="52"/>
                <c:pt idx="0">
                  <c:v>0.27239999999999998</c:v>
                </c:pt>
                <c:pt idx="1">
                  <c:v>0.27550000000000002</c:v>
                </c:pt>
                <c:pt idx="2">
                  <c:v>0.28039999999999998</c:v>
                </c:pt>
                <c:pt idx="3">
                  <c:v>0.2266</c:v>
                </c:pt>
                <c:pt idx="4">
                  <c:v>0.21479999999999999</c:v>
                </c:pt>
                <c:pt idx="5">
                  <c:v>0.24299999999999999</c:v>
                </c:pt>
                <c:pt idx="6">
                  <c:v>0.2414</c:v>
                </c:pt>
                <c:pt idx="7">
                  <c:v>0.20430000000000001</c:v>
                </c:pt>
                <c:pt idx="8">
                  <c:v>0.20150000000000001</c:v>
                </c:pt>
                <c:pt idx="9">
                  <c:v>0.27</c:v>
                </c:pt>
                <c:pt idx="10">
                  <c:v>0.22220000000000001</c:v>
                </c:pt>
                <c:pt idx="11">
                  <c:v>0.2601</c:v>
                </c:pt>
                <c:pt idx="12">
                  <c:v>0.18609999999999999</c:v>
                </c:pt>
                <c:pt idx="13">
                  <c:v>0.2545</c:v>
                </c:pt>
                <c:pt idx="14">
                  <c:v>0.23269999999999999</c:v>
                </c:pt>
                <c:pt idx="15">
                  <c:v>0.20319999999999999</c:v>
                </c:pt>
                <c:pt idx="16">
                  <c:v>0.13500000000000001</c:v>
                </c:pt>
                <c:pt idx="17">
                  <c:v>0.13400000000000001</c:v>
                </c:pt>
                <c:pt idx="18">
                  <c:v>0.21249999999999999</c:v>
                </c:pt>
                <c:pt idx="19">
                  <c:v>0.21940000000000001</c:v>
                </c:pt>
                <c:pt idx="20">
                  <c:v>0.27500000000000002</c:v>
                </c:pt>
                <c:pt idx="21">
                  <c:v>0.25580000000000003</c:v>
                </c:pt>
                <c:pt idx="22">
                  <c:v>0.2727</c:v>
                </c:pt>
                <c:pt idx="23">
                  <c:v>0.19750000000000001</c:v>
                </c:pt>
                <c:pt idx="24">
                  <c:v>0.18609999999999999</c:v>
                </c:pt>
                <c:pt idx="25">
                  <c:v>0.1971</c:v>
                </c:pt>
                <c:pt idx="26">
                  <c:v>0.26150000000000001</c:v>
                </c:pt>
                <c:pt idx="27">
                  <c:v>0.24879999999999999</c:v>
                </c:pt>
                <c:pt idx="28">
                  <c:v>0.1898</c:v>
                </c:pt>
                <c:pt idx="29">
                  <c:v>0.28870000000000001</c:v>
                </c:pt>
                <c:pt idx="30">
                  <c:v>0.10639999999999999</c:v>
                </c:pt>
                <c:pt idx="31">
                  <c:v>0.1787</c:v>
                </c:pt>
                <c:pt idx="32">
                  <c:v>0.1923</c:v>
                </c:pt>
                <c:pt idx="33">
                  <c:v>0.20430000000000001</c:v>
                </c:pt>
                <c:pt idx="34">
                  <c:v>0.217</c:v>
                </c:pt>
                <c:pt idx="35">
                  <c:v>0.2379</c:v>
                </c:pt>
                <c:pt idx="36">
                  <c:v>0.26269999999999999</c:v>
                </c:pt>
                <c:pt idx="37">
                  <c:v>0.2286</c:v>
                </c:pt>
                <c:pt idx="38">
                  <c:v>0.14760000000000001</c:v>
                </c:pt>
                <c:pt idx="39">
                  <c:v>0.18260000000000001</c:v>
                </c:pt>
                <c:pt idx="40">
                  <c:v>0.2387</c:v>
                </c:pt>
                <c:pt idx="41">
                  <c:v>0.22900000000000001</c:v>
                </c:pt>
                <c:pt idx="42">
                  <c:v>0.1925</c:v>
                </c:pt>
                <c:pt idx="43">
                  <c:v>0.24</c:v>
                </c:pt>
                <c:pt idx="44">
                  <c:v>0.21590000000000001</c:v>
                </c:pt>
                <c:pt idx="45">
                  <c:v>0.21629999999999999</c:v>
                </c:pt>
                <c:pt idx="46">
                  <c:v>0.17499999999999999</c:v>
                </c:pt>
                <c:pt idx="47">
                  <c:v>0.14130000000000001</c:v>
                </c:pt>
                <c:pt idx="48">
                  <c:v>0.14410000000000001</c:v>
                </c:pt>
                <c:pt idx="49">
                  <c:v>0.1709</c:v>
                </c:pt>
                <c:pt idx="50">
                  <c:v>0.12690000000000001</c:v>
                </c:pt>
                <c:pt idx="51">
                  <c:v>0.1787</c:v>
                </c:pt>
              </c:numCache>
            </c:numRef>
          </c:val>
          <c:smooth val="0"/>
          <c:extLst>
            <c:ext xmlns:c16="http://schemas.microsoft.com/office/drawing/2014/chart" uri="{C3380CC4-5D6E-409C-BE32-E72D297353CC}">
              <c16:uniqueId val="{00000000-BB43-4F8B-AE4E-2D5226C57F69}"/>
            </c:ext>
          </c:extLst>
        </c:ser>
        <c:ser>
          <c:idx val="1"/>
          <c:order val="1"/>
          <c:tx>
            <c:strRef>
              <c:f>Figure_1a_Anxiety!$C$1</c:f>
              <c:strCache>
                <c:ptCount val="1"/>
                <c:pt idx="0">
                  <c:v>Unhappy</c:v>
                </c:pt>
              </c:strCache>
            </c:strRef>
          </c:tx>
          <c:spPr>
            <a:ln w="28575" cap="rnd">
              <a:solidFill>
                <a:schemeClr val="bg1">
                  <a:lumMod val="85000"/>
                </a:schemeClr>
              </a:solidFill>
              <a:prstDash val="dash"/>
              <a:round/>
            </a:ln>
            <a:effectLst/>
          </c:spPr>
          <c:marker>
            <c:symbol val="none"/>
          </c:marker>
          <c:val>
            <c:numRef>
              <c:f>Figure_1a_Anxiety!$C$2:$C$53</c:f>
              <c:numCache>
                <c:formatCode>0%</c:formatCode>
                <c:ptCount val="52"/>
                <c:pt idx="0">
                  <c:v>0.25169999999999998</c:v>
                </c:pt>
                <c:pt idx="1">
                  <c:v>0.18640000000000001</c:v>
                </c:pt>
                <c:pt idx="2">
                  <c:v>0.2399</c:v>
                </c:pt>
                <c:pt idx="3">
                  <c:v>0.21879999999999999</c:v>
                </c:pt>
                <c:pt idx="4">
                  <c:v>0.2266</c:v>
                </c:pt>
                <c:pt idx="5">
                  <c:v>0.251</c:v>
                </c:pt>
                <c:pt idx="6">
                  <c:v>0.2797</c:v>
                </c:pt>
                <c:pt idx="7">
                  <c:v>0.17680000000000001</c:v>
                </c:pt>
                <c:pt idx="8">
                  <c:v>0.25640000000000002</c:v>
                </c:pt>
                <c:pt idx="9">
                  <c:v>0.20669999999999999</c:v>
                </c:pt>
                <c:pt idx="10">
                  <c:v>0.26300000000000001</c:v>
                </c:pt>
                <c:pt idx="11">
                  <c:v>0.23810000000000001</c:v>
                </c:pt>
                <c:pt idx="12">
                  <c:v>0.1948</c:v>
                </c:pt>
                <c:pt idx="13">
                  <c:v>0.2258</c:v>
                </c:pt>
                <c:pt idx="14">
                  <c:v>0.2109</c:v>
                </c:pt>
                <c:pt idx="15">
                  <c:v>0.2</c:v>
                </c:pt>
                <c:pt idx="16">
                  <c:v>0.115</c:v>
                </c:pt>
                <c:pt idx="17">
                  <c:v>0.17530000000000001</c:v>
                </c:pt>
                <c:pt idx="18">
                  <c:v>0.216</c:v>
                </c:pt>
                <c:pt idx="19">
                  <c:v>0.21099999999999999</c:v>
                </c:pt>
                <c:pt idx="20">
                  <c:v>0.2417</c:v>
                </c:pt>
                <c:pt idx="21">
                  <c:v>0.2465</c:v>
                </c:pt>
                <c:pt idx="22">
                  <c:v>0.3206</c:v>
                </c:pt>
                <c:pt idx="23">
                  <c:v>0.21429999999999999</c:v>
                </c:pt>
                <c:pt idx="24">
                  <c:v>0.16020000000000001</c:v>
                </c:pt>
                <c:pt idx="25">
                  <c:v>0.22220000000000001</c:v>
                </c:pt>
                <c:pt idx="26">
                  <c:v>0.23849999999999999</c:v>
                </c:pt>
                <c:pt idx="27">
                  <c:v>0.3019</c:v>
                </c:pt>
                <c:pt idx="28">
                  <c:v>0.1852</c:v>
                </c:pt>
                <c:pt idx="29">
                  <c:v>0.28349999999999997</c:v>
                </c:pt>
                <c:pt idx="30">
                  <c:v>0.16600000000000001</c:v>
                </c:pt>
                <c:pt idx="31">
                  <c:v>0.1217</c:v>
                </c:pt>
                <c:pt idx="32">
                  <c:v>0.17949999999999999</c:v>
                </c:pt>
                <c:pt idx="33">
                  <c:v>0.2261</c:v>
                </c:pt>
                <c:pt idx="34">
                  <c:v>0.24260000000000001</c:v>
                </c:pt>
                <c:pt idx="35">
                  <c:v>0.2903</c:v>
                </c:pt>
                <c:pt idx="36">
                  <c:v>0.2</c:v>
                </c:pt>
                <c:pt idx="37">
                  <c:v>0.21540000000000001</c:v>
                </c:pt>
                <c:pt idx="38">
                  <c:v>0.2429</c:v>
                </c:pt>
                <c:pt idx="39">
                  <c:v>0.1913</c:v>
                </c:pt>
                <c:pt idx="40">
                  <c:v>0.25230000000000002</c:v>
                </c:pt>
                <c:pt idx="41">
                  <c:v>0.2056</c:v>
                </c:pt>
                <c:pt idx="42">
                  <c:v>0.21759999999999999</c:v>
                </c:pt>
                <c:pt idx="43">
                  <c:v>0.1782</c:v>
                </c:pt>
                <c:pt idx="44">
                  <c:v>0.1993</c:v>
                </c:pt>
                <c:pt idx="45">
                  <c:v>0.2092</c:v>
                </c:pt>
                <c:pt idx="46">
                  <c:v>0.15310000000000001</c:v>
                </c:pt>
                <c:pt idx="47">
                  <c:v>0.13009999999999999</c:v>
                </c:pt>
                <c:pt idx="48">
                  <c:v>0.1326</c:v>
                </c:pt>
                <c:pt idx="49">
                  <c:v>0.13919999999999999</c:v>
                </c:pt>
                <c:pt idx="50">
                  <c:v>0.13289999999999999</c:v>
                </c:pt>
                <c:pt idx="51">
                  <c:v>0.15459999999999999</c:v>
                </c:pt>
              </c:numCache>
            </c:numRef>
          </c:val>
          <c:smooth val="0"/>
          <c:extLst>
            <c:ext xmlns:c16="http://schemas.microsoft.com/office/drawing/2014/chart" uri="{C3380CC4-5D6E-409C-BE32-E72D297353CC}">
              <c16:uniqueId val="{00000001-BB43-4F8B-AE4E-2D5226C57F69}"/>
            </c:ext>
          </c:extLst>
        </c:ser>
        <c:dLbls>
          <c:showLegendKey val="0"/>
          <c:showVal val="0"/>
          <c:showCatName val="0"/>
          <c:showSerName val="0"/>
          <c:showPercent val="0"/>
          <c:showBubbleSize val="0"/>
        </c:dLbls>
        <c:smooth val="0"/>
        <c:axId val="616904704"/>
        <c:axId val="732405104"/>
      </c:lineChart>
      <c:catAx>
        <c:axId val="6169047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School week number</a:t>
                </a:r>
              </a:p>
            </c:rich>
          </c:tx>
          <c:layout>
            <c:manualLayout>
              <c:xMode val="edge"/>
              <c:yMode val="edge"/>
              <c:x val="0.78438347254601493"/>
              <c:y val="0.9269932756964457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732405104"/>
        <c:crosses val="autoZero"/>
        <c:auto val="1"/>
        <c:lblAlgn val="ctr"/>
        <c:lblOffset val="100"/>
        <c:noMultiLvlLbl val="0"/>
      </c:catAx>
      <c:valAx>
        <c:axId val="732405104"/>
        <c:scaling>
          <c:orientation val="minMax"/>
          <c:max val="0.30000000000000004"/>
          <c:min val="0.1"/>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616904704"/>
        <c:crosses val="autoZero"/>
        <c:crossBetween val="between"/>
      </c:valAx>
      <c:spPr>
        <a:noFill/>
        <a:ln>
          <a:noFill/>
        </a:ln>
        <a:effectLst/>
      </c:spPr>
    </c:plotArea>
    <c:legend>
      <c:legendPos val="b"/>
      <c:layout>
        <c:manualLayout>
          <c:xMode val="edge"/>
          <c:yMode val="edge"/>
          <c:x val="0.2990270114166117"/>
          <c:y val="0.92290786418268322"/>
          <c:w val="0.33294880188080966"/>
          <c:h val="6.5564758295702949E-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000">
          <a:latin typeface="Arial" panose="020B0604020202020204" pitchFamily="34" charset="0"/>
          <a:cs typeface="Arial" panose="020B0604020202020204" pitchFamily="34" charset="0"/>
        </a:defRPr>
      </a:pPr>
      <a:endParaRPr lang="en-US"/>
    </a:p>
  </c:txPr>
  <c:externalData r:id="rId3">
    <c:autoUpdate val="0"/>
  </c:externalData>
  <c:userShapes r:id="rId4"/>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5270705515122913"/>
          <c:y val="3.5512510088781278E-2"/>
          <c:w val="0.61177989186682891"/>
          <c:h val="0.90556236781081978"/>
        </c:manualLayout>
      </c:layout>
      <c:barChart>
        <c:barDir val="bar"/>
        <c:grouping val="clustered"/>
        <c:varyColors val="0"/>
        <c:ser>
          <c:idx val="0"/>
          <c:order val="0"/>
          <c:tx>
            <c:strRef>
              <c:f>Table_3b_GHQ_Items_Graph!$B$1:$B$2</c:f>
              <c:strCache>
                <c:ptCount val="2"/>
                <c:pt idx="0">
                  <c:v>Teachers</c:v>
                </c:pt>
                <c:pt idx="1">
                  <c:v>Age 17</c:v>
                </c:pt>
              </c:strCache>
            </c:strRef>
          </c:tx>
          <c:spPr>
            <a:solidFill>
              <a:schemeClr val="accent1">
                <a:lumMod val="40000"/>
                <a:lumOff val="60000"/>
              </a:schemeClr>
            </a:solidFill>
            <a:ln>
              <a:noFill/>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Table_3b_GHQ_Items_Graph!$A$3:$A$14</c:f>
              <c:strCache>
                <c:ptCount val="12"/>
                <c:pt idx="0">
                  <c:v>Incapable of making decisions</c:v>
                </c:pt>
                <c:pt idx="1">
                  <c:v>Unable to face up to problems</c:v>
                </c:pt>
                <c:pt idx="2">
                  <c:v>Felt worthless</c:v>
                </c:pt>
                <c:pt idx="3">
                  <c:v>Unable to play a useful part</c:v>
                </c:pt>
                <c:pt idx="4">
                  <c:v>Not feeling reasonably happy</c:v>
                </c:pt>
                <c:pt idx="5">
                  <c:v>Unable to concentrate</c:v>
                </c:pt>
                <c:pt idx="6">
                  <c:v>Not enjoying day-to-day activities </c:v>
                </c:pt>
                <c:pt idx="7">
                  <c:v>Couldn't overcome difficulties</c:v>
                </c:pt>
                <c:pt idx="8">
                  <c:v>Losing confidence</c:v>
                </c:pt>
                <c:pt idx="9">
                  <c:v>Feeling unhappy/depressed</c:v>
                </c:pt>
                <c:pt idx="10">
                  <c:v>Lost sleep over worry</c:v>
                </c:pt>
                <c:pt idx="11">
                  <c:v>Constantly under strain</c:v>
                </c:pt>
              </c:strCache>
            </c:strRef>
          </c:cat>
          <c:val>
            <c:numRef>
              <c:f>Table_3b_GHQ_Items_Graph!$B$3:$B$14</c:f>
              <c:numCache>
                <c:formatCode>0%</c:formatCode>
                <c:ptCount val="12"/>
                <c:pt idx="0">
                  <c:v>0.06</c:v>
                </c:pt>
                <c:pt idx="1">
                  <c:v>7.0000000000000007E-2</c:v>
                </c:pt>
                <c:pt idx="2">
                  <c:v>0.12</c:v>
                </c:pt>
                <c:pt idx="3">
                  <c:v>0.04</c:v>
                </c:pt>
                <c:pt idx="4">
                  <c:v>0.11</c:v>
                </c:pt>
                <c:pt idx="5">
                  <c:v>0.12</c:v>
                </c:pt>
                <c:pt idx="6">
                  <c:v>0.15</c:v>
                </c:pt>
                <c:pt idx="7">
                  <c:v>0.23</c:v>
                </c:pt>
                <c:pt idx="8">
                  <c:v>0.19</c:v>
                </c:pt>
                <c:pt idx="9">
                  <c:v>0.27</c:v>
                </c:pt>
                <c:pt idx="10">
                  <c:v>0.26</c:v>
                </c:pt>
                <c:pt idx="11">
                  <c:v>0.39</c:v>
                </c:pt>
              </c:numCache>
            </c:numRef>
          </c:val>
          <c:extLst>
            <c:ext xmlns:c16="http://schemas.microsoft.com/office/drawing/2014/chart" uri="{C3380CC4-5D6E-409C-BE32-E72D297353CC}">
              <c16:uniqueId val="{00000000-F070-47D0-9B3B-7CB910DE302A}"/>
            </c:ext>
          </c:extLst>
        </c:ser>
        <c:ser>
          <c:idx val="1"/>
          <c:order val="1"/>
          <c:tx>
            <c:strRef>
              <c:f>Table_3b_GHQ_Items_Graph!$C$1:$C$2</c:f>
              <c:strCache>
                <c:ptCount val="2"/>
                <c:pt idx="0">
                  <c:v>Teachers</c:v>
                </c:pt>
                <c:pt idx="1">
                  <c:v>Age 26</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Table_3b_GHQ_Items_Graph!$A$3:$A$14</c:f>
              <c:strCache>
                <c:ptCount val="12"/>
                <c:pt idx="0">
                  <c:v>Incapable of making decisions</c:v>
                </c:pt>
                <c:pt idx="1">
                  <c:v>Unable to face up to problems</c:v>
                </c:pt>
                <c:pt idx="2">
                  <c:v>Felt worthless</c:v>
                </c:pt>
                <c:pt idx="3">
                  <c:v>Unable to play a useful part</c:v>
                </c:pt>
                <c:pt idx="4">
                  <c:v>Not feeling reasonably happy</c:v>
                </c:pt>
                <c:pt idx="5">
                  <c:v>Unable to concentrate</c:v>
                </c:pt>
                <c:pt idx="6">
                  <c:v>Not enjoying day-to-day activities </c:v>
                </c:pt>
                <c:pt idx="7">
                  <c:v>Couldn't overcome difficulties</c:v>
                </c:pt>
                <c:pt idx="8">
                  <c:v>Losing confidence</c:v>
                </c:pt>
                <c:pt idx="9">
                  <c:v>Feeling unhappy/depressed</c:v>
                </c:pt>
                <c:pt idx="10">
                  <c:v>Lost sleep over worry</c:v>
                </c:pt>
                <c:pt idx="11">
                  <c:v>Constantly under strain</c:v>
                </c:pt>
              </c:strCache>
            </c:strRef>
          </c:cat>
          <c:val>
            <c:numRef>
              <c:f>Table_3b_GHQ_Items_Graph!$C$3:$C$14</c:f>
              <c:numCache>
                <c:formatCode>0%</c:formatCode>
                <c:ptCount val="12"/>
                <c:pt idx="0">
                  <c:v>0.06</c:v>
                </c:pt>
                <c:pt idx="1">
                  <c:v>0.08</c:v>
                </c:pt>
                <c:pt idx="2">
                  <c:v>0.08</c:v>
                </c:pt>
                <c:pt idx="3">
                  <c:v>0.09</c:v>
                </c:pt>
                <c:pt idx="4">
                  <c:v>0.12</c:v>
                </c:pt>
                <c:pt idx="5">
                  <c:v>0.14000000000000001</c:v>
                </c:pt>
                <c:pt idx="6">
                  <c:v>0.17</c:v>
                </c:pt>
                <c:pt idx="7">
                  <c:v>0.19</c:v>
                </c:pt>
                <c:pt idx="8">
                  <c:v>0.19</c:v>
                </c:pt>
                <c:pt idx="9">
                  <c:v>0.2</c:v>
                </c:pt>
                <c:pt idx="10">
                  <c:v>0.27</c:v>
                </c:pt>
                <c:pt idx="11">
                  <c:v>0.44</c:v>
                </c:pt>
              </c:numCache>
            </c:numRef>
          </c:val>
          <c:extLst>
            <c:ext xmlns:c16="http://schemas.microsoft.com/office/drawing/2014/chart" uri="{C3380CC4-5D6E-409C-BE32-E72D297353CC}">
              <c16:uniqueId val="{00000001-F070-47D0-9B3B-7CB910DE302A}"/>
            </c:ext>
          </c:extLst>
        </c:ser>
        <c:dLbls>
          <c:showLegendKey val="0"/>
          <c:showVal val="0"/>
          <c:showCatName val="0"/>
          <c:showSerName val="0"/>
          <c:showPercent val="0"/>
          <c:showBubbleSize val="0"/>
        </c:dLbls>
        <c:gapWidth val="35"/>
        <c:axId val="1229727184"/>
        <c:axId val="1084014768"/>
      </c:barChart>
      <c:catAx>
        <c:axId val="122972718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84014768"/>
        <c:crosses val="autoZero"/>
        <c:auto val="1"/>
        <c:lblAlgn val="ctr"/>
        <c:lblOffset val="100"/>
        <c:noMultiLvlLbl val="0"/>
      </c:catAx>
      <c:valAx>
        <c:axId val="1084014768"/>
        <c:scaling>
          <c:orientation val="minMax"/>
        </c:scaling>
        <c:delete val="0"/>
        <c:axPos val="b"/>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229727184"/>
        <c:crosses val="autoZero"/>
        <c:crossBetween val="between"/>
      </c:valAx>
      <c:spPr>
        <a:noFill/>
        <a:ln>
          <a:noFill/>
        </a:ln>
        <a:effectLst/>
      </c:spPr>
    </c:plotArea>
    <c:legend>
      <c:legendPos val="b"/>
      <c:layout>
        <c:manualLayout>
          <c:xMode val="edge"/>
          <c:yMode val="edge"/>
          <c:x val="0.77212559192432784"/>
          <c:y val="0.79701333943426567"/>
          <c:w val="0.20980724943014409"/>
          <c:h val="0.10290595031553258"/>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000">
          <a:latin typeface="Arial" panose="020B0604020202020204" pitchFamily="34" charset="0"/>
          <a:cs typeface="Arial" panose="020B0604020202020204" pitchFamily="34" charset="0"/>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934736763292857E-2"/>
          <c:y val="3.840692640692641E-2"/>
          <c:w val="0.90048259023089605"/>
          <c:h val="0.86430705252752493"/>
        </c:manualLayout>
      </c:layout>
      <c:lineChart>
        <c:grouping val="standard"/>
        <c:varyColors val="0"/>
        <c:ser>
          <c:idx val="2"/>
          <c:order val="0"/>
          <c:tx>
            <c:strRef>
              <c:f>Trends_LFS!$B$1</c:f>
              <c:strCache>
                <c:ptCount val="1"/>
                <c:pt idx="0">
                  <c:v>Primary</c:v>
                </c:pt>
              </c:strCache>
            </c:strRef>
          </c:tx>
          <c:spPr>
            <a:ln w="22225" cap="rnd">
              <a:solidFill>
                <a:schemeClr val="bg1">
                  <a:lumMod val="50000"/>
                </a:schemeClr>
              </a:solidFill>
              <a:round/>
            </a:ln>
            <a:effectLst/>
          </c:spPr>
          <c:marker>
            <c:symbol val="none"/>
          </c:marker>
          <c:cat>
            <c:numRef>
              <c:f>Trends_LFS!$A$2:$A$28</c:f>
              <c:numCache>
                <c:formatCode>General</c:formatCode>
                <c:ptCount val="27"/>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pt idx="26">
                  <c:v>2018</c:v>
                </c:pt>
              </c:numCache>
            </c:numRef>
          </c:cat>
          <c:val>
            <c:numRef>
              <c:f>Trends_LFS!$B$2:$B$28</c:f>
              <c:numCache>
                <c:formatCode>0.0</c:formatCode>
                <c:ptCount val="27"/>
                <c:pt idx="0">
                  <c:v>45.162733060121539</c:v>
                </c:pt>
                <c:pt idx="1">
                  <c:v>45.508548736572266</c:v>
                </c:pt>
                <c:pt idx="2">
                  <c:v>45.933334350585938</c:v>
                </c:pt>
                <c:pt idx="3">
                  <c:v>46.898078918457031</c:v>
                </c:pt>
                <c:pt idx="4">
                  <c:v>47.918594360351563</c:v>
                </c:pt>
                <c:pt idx="5">
                  <c:v>47.444042205810547</c:v>
                </c:pt>
                <c:pt idx="6">
                  <c:v>48.248214721679688</c:v>
                </c:pt>
                <c:pt idx="7">
                  <c:v>48.258914947509766</c:v>
                </c:pt>
                <c:pt idx="8">
                  <c:v>48.726383209228516</c:v>
                </c:pt>
                <c:pt idx="9">
                  <c:v>50.124191284179688</c:v>
                </c:pt>
                <c:pt idx="10">
                  <c:v>50.346782684326172</c:v>
                </c:pt>
                <c:pt idx="11">
                  <c:v>49.018909454345703</c:v>
                </c:pt>
                <c:pt idx="12">
                  <c:v>48.506050109863281</c:v>
                </c:pt>
                <c:pt idx="13">
                  <c:v>48.616161346435547</c:v>
                </c:pt>
                <c:pt idx="14">
                  <c:v>48.274486541748047</c:v>
                </c:pt>
                <c:pt idx="15">
                  <c:v>47.052631378173828</c:v>
                </c:pt>
                <c:pt idx="16">
                  <c:v>47.114597320556641</c:v>
                </c:pt>
                <c:pt idx="17">
                  <c:v>47.270122528076172</c:v>
                </c:pt>
                <c:pt idx="18">
                  <c:v>46.506549835205078</c:v>
                </c:pt>
                <c:pt idx="19">
                  <c:v>46.410713195800781</c:v>
                </c:pt>
                <c:pt idx="20">
                  <c:v>48.222732543945313</c:v>
                </c:pt>
                <c:pt idx="21">
                  <c:v>48.558319091796875</c:v>
                </c:pt>
                <c:pt idx="22">
                  <c:v>49.579647064208984</c:v>
                </c:pt>
                <c:pt idx="23">
                  <c:v>48.784111022949219</c:v>
                </c:pt>
                <c:pt idx="24">
                  <c:v>49.710197448730469</c:v>
                </c:pt>
                <c:pt idx="25">
                  <c:v>48.638298034667969</c:v>
                </c:pt>
                <c:pt idx="26">
                  <c:v>47.793388366699219</c:v>
                </c:pt>
              </c:numCache>
            </c:numRef>
          </c:val>
          <c:smooth val="0"/>
          <c:extLst>
            <c:ext xmlns:c16="http://schemas.microsoft.com/office/drawing/2014/chart" uri="{C3380CC4-5D6E-409C-BE32-E72D297353CC}">
              <c16:uniqueId val="{00000000-F5D6-46B3-A8F8-FB9AF9DB14D3}"/>
            </c:ext>
          </c:extLst>
        </c:ser>
        <c:ser>
          <c:idx val="3"/>
          <c:order val="1"/>
          <c:tx>
            <c:strRef>
              <c:f>Trends_LFS!$D$1</c:f>
              <c:strCache>
                <c:ptCount val="1"/>
                <c:pt idx="0">
                  <c:v>Secondary</c:v>
                </c:pt>
              </c:strCache>
            </c:strRef>
          </c:tx>
          <c:spPr>
            <a:ln w="19050" cap="rnd">
              <a:solidFill>
                <a:srgbClr val="FF0000"/>
              </a:solidFill>
              <a:prstDash val="dash"/>
              <a:round/>
            </a:ln>
            <a:effectLst/>
          </c:spPr>
          <c:marker>
            <c:symbol val="none"/>
          </c:marker>
          <c:cat>
            <c:numRef>
              <c:f>Trends_LFS!$A$2:$A$28</c:f>
              <c:numCache>
                <c:formatCode>General</c:formatCode>
                <c:ptCount val="27"/>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pt idx="21">
                  <c:v>2013</c:v>
                </c:pt>
                <c:pt idx="22">
                  <c:v>2014</c:v>
                </c:pt>
                <c:pt idx="23">
                  <c:v>2015</c:v>
                </c:pt>
                <c:pt idx="24">
                  <c:v>2016</c:v>
                </c:pt>
                <c:pt idx="25">
                  <c:v>2017</c:v>
                </c:pt>
                <c:pt idx="26">
                  <c:v>2018</c:v>
                </c:pt>
              </c:numCache>
            </c:numRef>
          </c:cat>
          <c:val>
            <c:numRef>
              <c:f>Trends_LFS!$D$2:$D$28</c:f>
              <c:numCache>
                <c:formatCode>0.0</c:formatCode>
                <c:ptCount val="27"/>
                <c:pt idx="0">
                  <c:v>44.794629755020139</c:v>
                </c:pt>
                <c:pt idx="1">
                  <c:v>46.93243408203125</c:v>
                </c:pt>
                <c:pt idx="2">
                  <c:v>47.68841552734375</c:v>
                </c:pt>
                <c:pt idx="3">
                  <c:v>46.532440185546875</c:v>
                </c:pt>
                <c:pt idx="4">
                  <c:v>47.476531982421875</c:v>
                </c:pt>
                <c:pt idx="5">
                  <c:v>46.949012756347656</c:v>
                </c:pt>
                <c:pt idx="6">
                  <c:v>47.404457092285156</c:v>
                </c:pt>
                <c:pt idx="7">
                  <c:v>48.096336364746094</c:v>
                </c:pt>
                <c:pt idx="8">
                  <c:v>48.051708221435547</c:v>
                </c:pt>
                <c:pt idx="9">
                  <c:v>49.432960510253906</c:v>
                </c:pt>
                <c:pt idx="10">
                  <c:v>48.25665283203125</c:v>
                </c:pt>
                <c:pt idx="11">
                  <c:v>48.005420684814453</c:v>
                </c:pt>
                <c:pt idx="12">
                  <c:v>47.714286804199219</c:v>
                </c:pt>
                <c:pt idx="13">
                  <c:v>46.853424072265625</c:v>
                </c:pt>
                <c:pt idx="14">
                  <c:v>46.013767242431641</c:v>
                </c:pt>
                <c:pt idx="15">
                  <c:v>46.362274169921875</c:v>
                </c:pt>
                <c:pt idx="16">
                  <c:v>47.245220184326172</c:v>
                </c:pt>
                <c:pt idx="17">
                  <c:v>46.725189208984375</c:v>
                </c:pt>
                <c:pt idx="18">
                  <c:v>46.167999267578125</c:v>
                </c:pt>
                <c:pt idx="19">
                  <c:v>46.393173217773438</c:v>
                </c:pt>
                <c:pt idx="20">
                  <c:v>47.496570587158203</c:v>
                </c:pt>
                <c:pt idx="21">
                  <c:v>47.330108642578125</c:v>
                </c:pt>
                <c:pt idx="22">
                  <c:v>47.739540100097656</c:v>
                </c:pt>
                <c:pt idx="23">
                  <c:v>48.003978729248047</c:v>
                </c:pt>
                <c:pt idx="24">
                  <c:v>47.555198669433594</c:v>
                </c:pt>
                <c:pt idx="25">
                  <c:v>47.899833679199219</c:v>
                </c:pt>
                <c:pt idx="26">
                  <c:v>46.059459686279297</c:v>
                </c:pt>
              </c:numCache>
            </c:numRef>
          </c:val>
          <c:smooth val="0"/>
          <c:extLst>
            <c:ext xmlns:c16="http://schemas.microsoft.com/office/drawing/2014/chart" uri="{C3380CC4-5D6E-409C-BE32-E72D297353CC}">
              <c16:uniqueId val="{00000001-F5D6-46B3-A8F8-FB9AF9DB14D3}"/>
            </c:ext>
          </c:extLst>
        </c:ser>
        <c:dLbls>
          <c:showLegendKey val="0"/>
          <c:showVal val="0"/>
          <c:showCatName val="0"/>
          <c:showSerName val="0"/>
          <c:showPercent val="0"/>
          <c:showBubbleSize val="0"/>
        </c:dLbls>
        <c:smooth val="0"/>
        <c:axId val="340886528"/>
        <c:axId val="1"/>
      </c:lineChart>
      <c:catAx>
        <c:axId val="340886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
        <c:crosses val="autoZero"/>
        <c:auto val="1"/>
        <c:lblAlgn val="ctr"/>
        <c:lblOffset val="100"/>
        <c:tickLblSkip val="2"/>
        <c:noMultiLvlLbl val="0"/>
      </c:catAx>
      <c:valAx>
        <c:axId val="1"/>
        <c:scaling>
          <c:orientation val="minMax"/>
          <c:max val="55"/>
          <c:min val="30"/>
        </c:scaling>
        <c:delete val="0"/>
        <c:axPos val="l"/>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Average hours per week</a:t>
                </a:r>
              </a:p>
            </c:rich>
          </c:tx>
          <c:layout>
            <c:manualLayout>
              <c:xMode val="edge"/>
              <c:yMode val="edge"/>
              <c:x val="8.2408874801901746E-2"/>
              <c:y val="1.8101373691924872E-2"/>
            </c:manualLayout>
          </c:layout>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340886528"/>
        <c:crosses val="autoZero"/>
        <c:crossBetween val="between"/>
        <c:majorUnit val="5"/>
      </c:valAx>
      <c:spPr>
        <a:noFill/>
        <a:ln w="25400">
          <a:noFill/>
        </a:ln>
      </c:spPr>
    </c:plotArea>
    <c:legend>
      <c:legendPos val="b"/>
      <c:layout>
        <c:manualLayout>
          <c:xMode val="edge"/>
          <c:yMode val="edge"/>
          <c:x val="5.5044403126312855E-2"/>
          <c:y val="0.79200654463646591"/>
          <c:w val="0.27078794231545145"/>
          <c:h val="0.10409735146743021"/>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Times New Roman" panose="02020603050405020304" pitchFamily="18" charset="0"/>
          <a:cs typeface="Times New Roman" panose="02020603050405020304" pitchFamily="18" charset="0"/>
        </a:defRPr>
      </a:pPr>
      <a:endParaRPr lang="en-US"/>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4.6492975142813031E-2"/>
          <c:y val="4.4176706827309238E-2"/>
          <c:w val="0.93460668519376255"/>
          <c:h val="0.8626575593713437"/>
        </c:manualLayout>
      </c:layout>
      <c:lineChart>
        <c:grouping val="standard"/>
        <c:varyColors val="0"/>
        <c:ser>
          <c:idx val="1"/>
          <c:order val="0"/>
          <c:spPr>
            <a:ln w="28575" cap="rnd">
              <a:solidFill>
                <a:schemeClr val="bg1">
                  <a:lumMod val="50000"/>
                </a:schemeClr>
              </a:solidFill>
              <a:round/>
            </a:ln>
            <a:effectLst/>
          </c:spPr>
          <c:marker>
            <c:symbol val="none"/>
          </c:marker>
          <c:val>
            <c:numRef>
              <c:f>Hours_Over_Year!$C$2:$C$53</c:f>
              <c:numCache>
                <c:formatCode>General</c:formatCode>
                <c:ptCount val="52"/>
                <c:pt idx="0">
                  <c:v>46.338710784912109</c:v>
                </c:pt>
                <c:pt idx="1">
                  <c:v>48.151847839355469</c:v>
                </c:pt>
                <c:pt idx="2">
                  <c:v>49.121047973632813</c:v>
                </c:pt>
                <c:pt idx="3">
                  <c:v>48.956344604492188</c:v>
                </c:pt>
                <c:pt idx="4">
                  <c:v>48.945304870605469</c:v>
                </c:pt>
                <c:pt idx="5">
                  <c:v>49.097515106201172</c:v>
                </c:pt>
                <c:pt idx="6">
                  <c:v>49.430706024169922</c:v>
                </c:pt>
                <c:pt idx="7">
                  <c:v>48.13629150390625</c:v>
                </c:pt>
                <c:pt idx="9">
                  <c:v>48.495040893554688</c:v>
                </c:pt>
                <c:pt idx="10">
                  <c:v>48.960269927978516</c:v>
                </c:pt>
                <c:pt idx="11">
                  <c:v>48.753768920898438</c:v>
                </c:pt>
                <c:pt idx="12">
                  <c:v>48.129238128662109</c:v>
                </c:pt>
                <c:pt idx="13">
                  <c:v>48.510757446289063</c:v>
                </c:pt>
                <c:pt idx="14">
                  <c:v>47.75</c:v>
                </c:pt>
                <c:pt idx="15">
                  <c:v>46.773765563964844</c:v>
                </c:pt>
                <c:pt idx="18">
                  <c:v>47.549018859863281</c:v>
                </c:pt>
                <c:pt idx="19">
                  <c:v>47.839286804199219</c:v>
                </c:pt>
                <c:pt idx="20">
                  <c:v>47.840435028076172</c:v>
                </c:pt>
                <c:pt idx="21">
                  <c:v>47.943031311035156</c:v>
                </c:pt>
                <c:pt idx="22">
                  <c:v>48.390056610107422</c:v>
                </c:pt>
                <c:pt idx="23">
                  <c:v>47.642715454101563</c:v>
                </c:pt>
                <c:pt idx="26">
                  <c:v>48.414943695068359</c:v>
                </c:pt>
                <c:pt idx="27">
                  <c:v>48.441143035888672</c:v>
                </c:pt>
                <c:pt idx="28">
                  <c:v>48.746109008789063</c:v>
                </c:pt>
                <c:pt idx="29">
                  <c:v>48.990753173828125</c:v>
                </c:pt>
                <c:pt idx="30">
                  <c:v>47.816970825195313</c:v>
                </c:pt>
                <c:pt idx="33">
                  <c:v>48.034866333007813</c:v>
                </c:pt>
                <c:pt idx="34">
                  <c:v>49.066505432128906</c:v>
                </c:pt>
                <c:pt idx="35">
                  <c:v>49.127220153808594</c:v>
                </c:pt>
                <c:pt idx="36">
                  <c:v>48.794872283935547</c:v>
                </c:pt>
                <c:pt idx="37">
                  <c:v>48.130840301513672</c:v>
                </c:pt>
                <c:pt idx="38">
                  <c:v>47.974422454833984</c:v>
                </c:pt>
                <c:pt idx="40">
                  <c:v>49.262500762939453</c:v>
                </c:pt>
                <c:pt idx="41">
                  <c:v>49.610301971435547</c:v>
                </c:pt>
                <c:pt idx="42">
                  <c:v>49.820850372314453</c:v>
                </c:pt>
                <c:pt idx="43">
                  <c:v>48.824287414550781</c:v>
                </c:pt>
                <c:pt idx="44">
                  <c:v>49.003444671630859</c:v>
                </c:pt>
                <c:pt idx="45">
                  <c:v>48.061267852783203</c:v>
                </c:pt>
              </c:numCache>
            </c:numRef>
          </c:val>
          <c:smooth val="0"/>
          <c:extLst>
            <c:ext xmlns:c16="http://schemas.microsoft.com/office/drawing/2014/chart" uri="{C3380CC4-5D6E-409C-BE32-E72D297353CC}">
              <c16:uniqueId val="{00000000-29CB-4668-9E4A-A40F51349F63}"/>
            </c:ext>
          </c:extLst>
        </c:ser>
        <c:dLbls>
          <c:showLegendKey val="0"/>
          <c:showVal val="0"/>
          <c:showCatName val="0"/>
          <c:showSerName val="0"/>
          <c:showPercent val="0"/>
          <c:showBubbleSize val="0"/>
        </c:dLbls>
        <c:smooth val="0"/>
        <c:axId val="347681264"/>
        <c:axId val="1"/>
      </c:lineChart>
      <c:catAx>
        <c:axId val="347681264"/>
        <c:scaling>
          <c:orientation val="minMax"/>
        </c:scaling>
        <c:delete val="0"/>
        <c:axPos val="b"/>
        <c:title>
          <c:tx>
            <c:rich>
              <a:bodyPr/>
              <a:lstStyle/>
              <a:p>
                <a:pPr>
                  <a:defRPr/>
                </a:pPr>
                <a:r>
                  <a:rPr lang="en-US"/>
                  <a:t>Week #</a:t>
                </a:r>
              </a:p>
            </c:rich>
          </c:tx>
          <c:layout>
            <c:manualLayout>
              <c:xMode val="edge"/>
              <c:yMode val="edge"/>
              <c:x val="0.92054897976462624"/>
              <c:y val="0.85029958448654408"/>
            </c:manualLayout>
          </c:layout>
          <c:overlay val="0"/>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
        <c:crosses val="autoZero"/>
        <c:auto val="1"/>
        <c:lblAlgn val="ctr"/>
        <c:lblOffset val="100"/>
        <c:tickLblSkip val="2"/>
        <c:tickMarkSkip val="4"/>
        <c:noMultiLvlLbl val="0"/>
      </c:catAx>
      <c:valAx>
        <c:axId val="1"/>
        <c:scaling>
          <c:orientation val="minMax"/>
          <c:max val="55"/>
          <c:min val="35"/>
        </c:scaling>
        <c:delete val="0"/>
        <c:axPos val="l"/>
        <c:title>
          <c:tx>
            <c:rich>
              <a:bodyPr rot="0" vert="horz"/>
              <a:lstStyle/>
              <a:p>
                <a:pPr>
                  <a:defRPr b="0"/>
                </a:pPr>
                <a:r>
                  <a:rPr lang="en-US" b="0"/>
                  <a:t>Hours </a:t>
                </a:r>
              </a:p>
            </c:rich>
          </c:tx>
          <c:layout>
            <c:manualLayout>
              <c:xMode val="edge"/>
              <c:yMode val="edge"/>
              <c:x val="4.9019607843137254E-2"/>
              <c:y val="3.2062106694494509E-3"/>
            </c:manualLayout>
          </c:layout>
          <c:overlay val="0"/>
        </c:title>
        <c:numFmt formatCode="General" sourceLinked="1"/>
        <c:majorTickMark val="none"/>
        <c:minorTickMark val="none"/>
        <c:tickLblPos val="nextTo"/>
        <c:spPr>
          <a:ln w="6350">
            <a:noFill/>
          </a:ln>
        </c:spPr>
        <c:txPr>
          <a:bodyPr rot="-60000000" vert="horz"/>
          <a:lstStyle/>
          <a:p>
            <a:pPr>
              <a:defRPr/>
            </a:pPr>
            <a:endParaRPr lang="en-US"/>
          </a:p>
        </c:txPr>
        <c:crossAx val="347681264"/>
        <c:crosses val="autoZero"/>
        <c:crossBetween val="between"/>
        <c:majorUnit val="5"/>
      </c:valAx>
      <c:spPr>
        <a:noFill/>
        <a:ln w="25400">
          <a:noFill/>
        </a:ln>
      </c:spPr>
    </c:plotArea>
    <c:plotVisOnly val="1"/>
    <c:dispBlanksAs val="gap"/>
    <c:showDLblsOverMax val="0"/>
  </c:chart>
  <c:spPr>
    <a:solidFill>
      <a:schemeClr val="bg1"/>
    </a:solidFill>
    <a:ln w="9525" cap="flat" cmpd="sng" algn="ctr">
      <a:noFill/>
      <a:round/>
    </a:ln>
    <a:effectLst/>
  </c:spPr>
  <c:txPr>
    <a:bodyPr/>
    <a:lstStyle/>
    <a:p>
      <a:pPr>
        <a:defRPr sz="1100">
          <a:latin typeface="Times New Roman" panose="02020603050405020304" pitchFamily="18" charset="0"/>
          <a:cs typeface="Times New Roman" panose="02020603050405020304" pitchFamily="18" charset="0"/>
        </a:defRPr>
      </a:pPr>
      <a:endParaRPr lang="en-US"/>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9934736763292857E-2"/>
          <c:y val="3.840692640692641E-2"/>
          <c:w val="0.90048259023089605"/>
          <c:h val="0.86430705252752493"/>
        </c:manualLayout>
      </c:layout>
      <c:lineChart>
        <c:grouping val="standard"/>
        <c:varyColors val="0"/>
        <c:ser>
          <c:idx val="0"/>
          <c:order val="0"/>
          <c:tx>
            <c:strRef>
              <c:f>Evening_Any_Teacher!$B$18</c:f>
              <c:strCache>
                <c:ptCount val="1"/>
                <c:pt idx="0">
                  <c:v>Evening</c:v>
                </c:pt>
              </c:strCache>
            </c:strRef>
          </c:tx>
          <c:spPr>
            <a:ln>
              <a:solidFill>
                <a:schemeClr val="tx1"/>
              </a:solidFill>
              <a:prstDash val="sysDot"/>
            </a:ln>
          </c:spPr>
          <c:marker>
            <c:symbol val="none"/>
          </c:marker>
          <c:cat>
            <c:numRef>
              <c:f>Evening_Any_Teacher!$A$19:$A$32</c:f>
              <c:numCache>
                <c:formatCode>General</c:formatCode>
                <c:ptCount val="14"/>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numCache>
            </c:numRef>
          </c:cat>
          <c:val>
            <c:numRef>
              <c:f>Evening_Any_Teacher!$B$19:$B$32</c:f>
              <c:numCache>
                <c:formatCode>0%</c:formatCode>
                <c:ptCount val="14"/>
                <c:pt idx="0">
                  <c:v>0.43333333730697632</c:v>
                </c:pt>
                <c:pt idx="1">
                  <c:v>0.37344399094581604</c:v>
                </c:pt>
                <c:pt idx="2">
                  <c:v>0.4305555522441864</c:v>
                </c:pt>
                <c:pt idx="3">
                  <c:v>0.38278007507324219</c:v>
                </c:pt>
                <c:pt idx="4">
                  <c:v>0.36645299196243286</c:v>
                </c:pt>
                <c:pt idx="5">
                  <c:v>0.45121949911117554</c:v>
                </c:pt>
                <c:pt idx="6">
                  <c:v>0.41415929794311523</c:v>
                </c:pt>
                <c:pt idx="7">
                  <c:v>0.37435898184776306</c:v>
                </c:pt>
                <c:pt idx="8">
                  <c:v>0.35575219988822937</c:v>
                </c:pt>
                <c:pt idx="9">
                  <c:v>0.4458598792552948</c:v>
                </c:pt>
                <c:pt idx="10">
                  <c:v>0.3807106614112854</c:v>
                </c:pt>
                <c:pt idx="11">
                  <c:v>0.4424242377281189</c:v>
                </c:pt>
                <c:pt idx="12">
                  <c:v>0.43314501643180847</c:v>
                </c:pt>
                <c:pt idx="13">
                  <c:v>0.38085541129112244</c:v>
                </c:pt>
              </c:numCache>
            </c:numRef>
          </c:val>
          <c:smooth val="0"/>
          <c:extLst>
            <c:ext xmlns:c16="http://schemas.microsoft.com/office/drawing/2014/chart" uri="{C3380CC4-5D6E-409C-BE32-E72D297353CC}">
              <c16:uniqueId val="{00000000-90C9-448A-B22A-8E58E57F6D55}"/>
            </c:ext>
          </c:extLst>
        </c:ser>
        <c:ser>
          <c:idx val="1"/>
          <c:order val="1"/>
          <c:tx>
            <c:v>.</c:v>
          </c:tx>
          <c:spPr>
            <a:ln>
              <a:solidFill>
                <a:schemeClr val="tx1"/>
              </a:solidFill>
              <a:prstDash val="sysDot"/>
            </a:ln>
          </c:spPr>
          <c:marker>
            <c:symbol val="none"/>
          </c:marker>
          <c:cat>
            <c:numRef>
              <c:f>Evening_Any_Teacher!$A$19:$A$32</c:f>
              <c:numCache>
                <c:formatCode>General</c:formatCode>
                <c:ptCount val="14"/>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numCache>
            </c:numRef>
          </c:cat>
          <c:val>
            <c:numRef>
              <c:f>Evening_Any_Teacher!$C$19:$C$32</c:f>
              <c:numCache>
                <c:formatCode>General</c:formatCode>
                <c:ptCount val="14"/>
              </c:numCache>
            </c:numRef>
          </c:val>
          <c:smooth val="0"/>
          <c:extLst>
            <c:ext xmlns:c16="http://schemas.microsoft.com/office/drawing/2014/chart" uri="{C3380CC4-5D6E-409C-BE32-E72D297353CC}">
              <c16:uniqueId val="{00000001-90C9-448A-B22A-8E58E57F6D55}"/>
            </c:ext>
          </c:extLst>
        </c:ser>
        <c:ser>
          <c:idx val="3"/>
          <c:order val="2"/>
          <c:tx>
            <c:v>.</c:v>
          </c:tx>
          <c:spPr>
            <a:ln>
              <a:solidFill>
                <a:schemeClr val="bg1">
                  <a:lumMod val="50000"/>
                </a:schemeClr>
              </a:solidFill>
              <a:prstDash val="dash"/>
            </a:ln>
          </c:spPr>
          <c:marker>
            <c:symbol val="none"/>
          </c:marker>
          <c:val>
            <c:numRef>
              <c:f>Evening_Any_Teacher!$G$19:$G$32</c:f>
              <c:numCache>
                <c:formatCode>General</c:formatCode>
                <c:ptCount val="14"/>
              </c:numCache>
            </c:numRef>
          </c:val>
          <c:smooth val="0"/>
          <c:extLst>
            <c:ext xmlns:c16="http://schemas.microsoft.com/office/drawing/2014/chart" uri="{C3380CC4-5D6E-409C-BE32-E72D297353CC}">
              <c16:uniqueId val="{00000002-90C9-448A-B22A-8E58E57F6D55}"/>
            </c:ext>
          </c:extLst>
        </c:ser>
        <c:ser>
          <c:idx val="2"/>
          <c:order val="3"/>
          <c:tx>
            <c:strRef>
              <c:f>Evening_Any_Teacher!$F$18</c:f>
              <c:strCache>
                <c:ptCount val="1"/>
                <c:pt idx="0">
                  <c:v>Weekend</c:v>
                </c:pt>
              </c:strCache>
            </c:strRef>
          </c:tx>
          <c:spPr>
            <a:ln>
              <a:prstDash val="dash"/>
            </a:ln>
          </c:spPr>
          <c:marker>
            <c:symbol val="none"/>
          </c:marker>
          <c:val>
            <c:numRef>
              <c:f>Evening_Any_Teacher!$F$19:$F$32</c:f>
              <c:numCache>
                <c:formatCode>0%</c:formatCode>
                <c:ptCount val="14"/>
                <c:pt idx="0">
                  <c:v>0.11578947305679321</c:v>
                </c:pt>
                <c:pt idx="1">
                  <c:v>0.12033195048570633</c:v>
                </c:pt>
                <c:pt idx="2">
                  <c:v>0.11388888955116272</c:v>
                </c:pt>
                <c:pt idx="3">
                  <c:v>0.10790273547172546</c:v>
                </c:pt>
                <c:pt idx="4">
                  <c:v>0.11811023950576782</c:v>
                </c:pt>
                <c:pt idx="5">
                  <c:v>0.1356707364320755</c:v>
                </c:pt>
                <c:pt idx="6">
                  <c:v>0.12035398185253143</c:v>
                </c:pt>
                <c:pt idx="7">
                  <c:v>8.2051284611225128E-2</c:v>
                </c:pt>
                <c:pt idx="8">
                  <c:v>8.1415928900241852E-2</c:v>
                </c:pt>
                <c:pt idx="9">
                  <c:v>0.13375796377658844</c:v>
                </c:pt>
                <c:pt idx="10">
                  <c:v>0.14890016615390778</c:v>
                </c:pt>
                <c:pt idx="11">
                  <c:v>0.1474747508764267</c:v>
                </c:pt>
                <c:pt idx="12">
                  <c:v>0.15819208323955536</c:v>
                </c:pt>
                <c:pt idx="13">
                  <c:v>0.14227642118930817</c:v>
                </c:pt>
              </c:numCache>
            </c:numRef>
          </c:val>
          <c:smooth val="0"/>
          <c:extLst>
            <c:ext xmlns:c16="http://schemas.microsoft.com/office/drawing/2014/chart" uri="{C3380CC4-5D6E-409C-BE32-E72D297353CC}">
              <c16:uniqueId val="{00000003-90C9-448A-B22A-8E58E57F6D55}"/>
            </c:ext>
          </c:extLst>
        </c:ser>
        <c:ser>
          <c:idx val="4"/>
          <c:order val="4"/>
          <c:tx>
            <c:strRef>
              <c:f>Evening_Any_Teacher!$D$18</c:f>
              <c:strCache>
                <c:ptCount val="1"/>
                <c:pt idx="0">
                  <c:v>Night</c:v>
                </c:pt>
              </c:strCache>
            </c:strRef>
          </c:tx>
          <c:spPr>
            <a:ln>
              <a:solidFill>
                <a:schemeClr val="tx1">
                  <a:lumMod val="75000"/>
                  <a:lumOff val="25000"/>
                </a:schemeClr>
              </a:solidFill>
              <a:prstDash val="lgDash"/>
            </a:ln>
          </c:spPr>
          <c:marker>
            <c:symbol val="none"/>
          </c:marker>
          <c:val>
            <c:numRef>
              <c:f>Evening_Any_Teacher!$D$19:$D$32</c:f>
              <c:numCache>
                <c:formatCode>0%</c:formatCode>
                <c:ptCount val="14"/>
                <c:pt idx="0">
                  <c:v>3.8596492260694504E-2</c:v>
                </c:pt>
                <c:pt idx="1">
                  <c:v>4.8409406095743179E-2</c:v>
                </c:pt>
                <c:pt idx="2">
                  <c:v>6.9444447755813599E-2</c:v>
                </c:pt>
                <c:pt idx="3">
                  <c:v>4.1493777185678482E-2</c:v>
                </c:pt>
                <c:pt idx="4">
                  <c:v>4.1666667908430099E-2</c:v>
                </c:pt>
                <c:pt idx="5">
                  <c:v>6.554877758026123E-2</c:v>
                </c:pt>
                <c:pt idx="6">
                  <c:v>4.7787610441446304E-2</c:v>
                </c:pt>
                <c:pt idx="7">
                  <c:v>4.444444552063942E-2</c:v>
                </c:pt>
                <c:pt idx="8">
                  <c:v>5.1327433437108994E-2</c:v>
                </c:pt>
                <c:pt idx="9">
                  <c:v>8.1210188567638397E-2</c:v>
                </c:pt>
                <c:pt idx="10">
                  <c:v>6.9373942911624908E-2</c:v>
                </c:pt>
                <c:pt idx="11">
                  <c:v>6.4646467566490173E-2</c:v>
                </c:pt>
                <c:pt idx="12">
                  <c:v>7.7212803065776825E-2</c:v>
                </c:pt>
                <c:pt idx="13">
                  <c:v>6.1099797487258911E-2</c:v>
                </c:pt>
              </c:numCache>
            </c:numRef>
          </c:val>
          <c:smooth val="0"/>
          <c:extLst>
            <c:ext xmlns:c16="http://schemas.microsoft.com/office/drawing/2014/chart" uri="{C3380CC4-5D6E-409C-BE32-E72D297353CC}">
              <c16:uniqueId val="{00000004-90C9-448A-B22A-8E58E57F6D55}"/>
            </c:ext>
          </c:extLst>
        </c:ser>
        <c:ser>
          <c:idx val="5"/>
          <c:order val="5"/>
          <c:tx>
            <c:v>.</c:v>
          </c:tx>
          <c:spPr>
            <a:ln>
              <a:solidFill>
                <a:schemeClr val="tx1">
                  <a:lumMod val="65000"/>
                  <a:lumOff val="35000"/>
                </a:schemeClr>
              </a:solidFill>
              <a:prstDash val="lgDash"/>
            </a:ln>
          </c:spPr>
          <c:marker>
            <c:symbol val="none"/>
          </c:marker>
          <c:val>
            <c:numRef>
              <c:f>Evening_Any_Teacher!$E$19:$E$32</c:f>
              <c:numCache>
                <c:formatCode>General</c:formatCode>
                <c:ptCount val="14"/>
              </c:numCache>
            </c:numRef>
          </c:val>
          <c:smooth val="0"/>
          <c:extLst>
            <c:ext xmlns:c16="http://schemas.microsoft.com/office/drawing/2014/chart" uri="{C3380CC4-5D6E-409C-BE32-E72D297353CC}">
              <c16:uniqueId val="{00000005-90C9-448A-B22A-8E58E57F6D55}"/>
            </c:ext>
          </c:extLst>
        </c:ser>
        <c:dLbls>
          <c:showLegendKey val="0"/>
          <c:showVal val="0"/>
          <c:showCatName val="0"/>
          <c:showSerName val="0"/>
          <c:showPercent val="0"/>
          <c:showBubbleSize val="0"/>
        </c:dLbls>
        <c:smooth val="0"/>
        <c:axId val="428287328"/>
        <c:axId val="1"/>
      </c:lineChart>
      <c:catAx>
        <c:axId val="428287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
        <c:crosses val="autoZero"/>
        <c:auto val="1"/>
        <c:lblAlgn val="ctr"/>
        <c:lblOffset val="100"/>
        <c:tickLblSkip val="2"/>
        <c:noMultiLvlLbl val="0"/>
      </c:catAx>
      <c:valAx>
        <c:axId val="1"/>
        <c:scaling>
          <c:orientation val="minMax"/>
          <c:max val="0.5"/>
          <c:min val="0"/>
        </c:scaling>
        <c:delete val="0"/>
        <c:axPos val="l"/>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a:t>
                </a:r>
                <a:r>
                  <a:rPr lang="en-US" baseline="0"/>
                  <a:t> of teachers</a:t>
                </a:r>
                <a:endParaRPr lang="en-US"/>
              </a:p>
            </c:rich>
          </c:tx>
          <c:layout>
            <c:manualLayout>
              <c:xMode val="edge"/>
              <c:yMode val="edge"/>
              <c:x val="6.1278394083465401E-2"/>
              <c:y val="0"/>
            </c:manualLayout>
          </c:layout>
          <c:overlay val="0"/>
          <c:spPr>
            <a:noFill/>
            <a:ln w="25400">
              <a:noFill/>
            </a:ln>
          </c:spPr>
        </c:title>
        <c:numFmt formatCode="0%" sourceLinked="0"/>
        <c:majorTickMark val="none"/>
        <c:minorTickMark val="none"/>
        <c:tickLblPos val="nextTo"/>
        <c:spPr>
          <a:ln w="6350">
            <a:noFill/>
          </a:ln>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28287328"/>
        <c:crosses val="autoZero"/>
        <c:crossBetween val="between"/>
        <c:majorUnit val="0.1"/>
      </c:valAx>
      <c:spPr>
        <a:noFill/>
        <a:ln w="25400">
          <a:noFill/>
        </a:ln>
      </c:spPr>
    </c:plotArea>
    <c:legend>
      <c:legendPos val="b"/>
      <c:legendEntry>
        <c:idx val="1"/>
        <c:delete val="1"/>
      </c:legendEntry>
      <c:legendEntry>
        <c:idx val="2"/>
        <c:delete val="1"/>
      </c:legendEntry>
      <c:legendEntry>
        <c:idx val="5"/>
        <c:delete val="1"/>
      </c:legendEntry>
      <c:layout>
        <c:manualLayout>
          <c:xMode val="edge"/>
          <c:yMode val="edge"/>
          <c:x val="8.4627076132123738E-2"/>
          <c:y val="0.3798853325152538"/>
          <c:w val="0.21276297673567351"/>
          <c:h val="0.13872938609946484"/>
        </c:manualLayout>
      </c:layout>
      <c:overlay val="0"/>
    </c:legend>
    <c:plotVisOnly val="1"/>
    <c:dispBlanksAs val="gap"/>
    <c:showDLblsOverMax val="0"/>
  </c:chart>
  <c:spPr>
    <a:solidFill>
      <a:schemeClr val="bg1"/>
    </a:solidFill>
    <a:ln w="9525" cap="flat" cmpd="sng" algn="ctr">
      <a:noFill/>
      <a:round/>
    </a:ln>
    <a:effectLst/>
  </c:spPr>
  <c:txPr>
    <a:bodyPr/>
    <a:lstStyle/>
    <a:p>
      <a:pPr>
        <a:defRPr sz="110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3135498687664048E-2"/>
          <c:y val="4.373723707071827E-2"/>
          <c:w val="0.87804150262467195"/>
          <c:h val="0.81492972533362906"/>
        </c:manualLayout>
      </c:layout>
      <c:lineChart>
        <c:grouping val="standard"/>
        <c:varyColors val="0"/>
        <c:ser>
          <c:idx val="2"/>
          <c:order val="0"/>
          <c:tx>
            <c:strRef>
              <c:f>Variation_Over_Typical_Day!$B$1</c:f>
              <c:strCache>
                <c:ptCount val="1"/>
                <c:pt idx="0">
                  <c:v>2014/15</c:v>
                </c:pt>
              </c:strCache>
            </c:strRef>
          </c:tx>
          <c:spPr>
            <a:ln w="28575" cap="rnd">
              <a:solidFill>
                <a:schemeClr val="bg1">
                  <a:lumMod val="50000"/>
                  <a:alpha val="80000"/>
                </a:schemeClr>
              </a:solidFill>
              <a:prstDash val="dash"/>
              <a:round/>
            </a:ln>
            <a:effectLst/>
          </c:spPr>
          <c:marker>
            <c:symbol val="none"/>
          </c:marker>
          <c:cat>
            <c:strRef>
              <c:f>Variation_Over_Typical_Day!$A$2:$A$145</c:f>
              <c:strCache>
                <c:ptCount val="144"/>
                <c:pt idx="0">
                  <c:v>0400</c:v>
                </c:pt>
                <c:pt idx="1">
                  <c:v>0410</c:v>
                </c:pt>
                <c:pt idx="2">
                  <c:v>0420</c:v>
                </c:pt>
                <c:pt idx="3">
                  <c:v>0430</c:v>
                </c:pt>
                <c:pt idx="4">
                  <c:v>0440</c:v>
                </c:pt>
                <c:pt idx="5">
                  <c:v>0450</c:v>
                </c:pt>
                <c:pt idx="6">
                  <c:v>0500</c:v>
                </c:pt>
                <c:pt idx="7">
                  <c:v>0510</c:v>
                </c:pt>
                <c:pt idx="8">
                  <c:v>0520</c:v>
                </c:pt>
                <c:pt idx="9">
                  <c:v>0530</c:v>
                </c:pt>
                <c:pt idx="10">
                  <c:v>0540</c:v>
                </c:pt>
                <c:pt idx="11">
                  <c:v>0550</c:v>
                </c:pt>
                <c:pt idx="12">
                  <c:v>0600</c:v>
                </c:pt>
                <c:pt idx="13">
                  <c:v>0610</c:v>
                </c:pt>
                <c:pt idx="14">
                  <c:v>0620</c:v>
                </c:pt>
                <c:pt idx="15">
                  <c:v>0630</c:v>
                </c:pt>
                <c:pt idx="16">
                  <c:v>0640</c:v>
                </c:pt>
                <c:pt idx="17">
                  <c:v>0650</c:v>
                </c:pt>
                <c:pt idx="18">
                  <c:v>0700</c:v>
                </c:pt>
                <c:pt idx="19">
                  <c:v>0710</c:v>
                </c:pt>
                <c:pt idx="20">
                  <c:v>0720</c:v>
                </c:pt>
                <c:pt idx="21">
                  <c:v>0730</c:v>
                </c:pt>
                <c:pt idx="22">
                  <c:v>0740</c:v>
                </c:pt>
                <c:pt idx="23">
                  <c:v>0750</c:v>
                </c:pt>
                <c:pt idx="24">
                  <c:v>0800</c:v>
                </c:pt>
                <c:pt idx="25">
                  <c:v>0810</c:v>
                </c:pt>
                <c:pt idx="26">
                  <c:v>0820</c:v>
                </c:pt>
                <c:pt idx="27">
                  <c:v>0830</c:v>
                </c:pt>
                <c:pt idx="28">
                  <c:v>0840</c:v>
                </c:pt>
                <c:pt idx="29">
                  <c:v>0850</c:v>
                </c:pt>
                <c:pt idx="30">
                  <c:v>0900</c:v>
                </c:pt>
                <c:pt idx="31">
                  <c:v>0910</c:v>
                </c:pt>
                <c:pt idx="32">
                  <c:v>0920</c:v>
                </c:pt>
                <c:pt idx="33">
                  <c:v>0930</c:v>
                </c:pt>
                <c:pt idx="34">
                  <c:v>0940</c:v>
                </c:pt>
                <c:pt idx="35">
                  <c:v>0950</c:v>
                </c:pt>
                <c:pt idx="36">
                  <c:v>1000</c:v>
                </c:pt>
                <c:pt idx="37">
                  <c:v>1010</c:v>
                </c:pt>
                <c:pt idx="38">
                  <c:v>1020</c:v>
                </c:pt>
                <c:pt idx="39">
                  <c:v>1030</c:v>
                </c:pt>
                <c:pt idx="40">
                  <c:v>1040</c:v>
                </c:pt>
                <c:pt idx="41">
                  <c:v>1050</c:v>
                </c:pt>
                <c:pt idx="42">
                  <c:v>1100</c:v>
                </c:pt>
                <c:pt idx="43">
                  <c:v>1110</c:v>
                </c:pt>
                <c:pt idx="44">
                  <c:v>1120</c:v>
                </c:pt>
                <c:pt idx="45">
                  <c:v>1130</c:v>
                </c:pt>
                <c:pt idx="46">
                  <c:v>1140</c:v>
                </c:pt>
                <c:pt idx="47">
                  <c:v>1150</c:v>
                </c:pt>
                <c:pt idx="48">
                  <c:v>1200</c:v>
                </c:pt>
                <c:pt idx="49">
                  <c:v>1210</c:v>
                </c:pt>
                <c:pt idx="50">
                  <c:v>1220</c:v>
                </c:pt>
                <c:pt idx="51">
                  <c:v>1230</c:v>
                </c:pt>
                <c:pt idx="52">
                  <c:v>1240</c:v>
                </c:pt>
                <c:pt idx="53">
                  <c:v>1250</c:v>
                </c:pt>
                <c:pt idx="54">
                  <c:v>1300</c:v>
                </c:pt>
                <c:pt idx="55">
                  <c:v>1310</c:v>
                </c:pt>
                <c:pt idx="56">
                  <c:v>1320</c:v>
                </c:pt>
                <c:pt idx="57">
                  <c:v>1330</c:v>
                </c:pt>
                <c:pt idx="58">
                  <c:v>1340</c:v>
                </c:pt>
                <c:pt idx="59">
                  <c:v>1350</c:v>
                </c:pt>
                <c:pt idx="60">
                  <c:v>1400</c:v>
                </c:pt>
                <c:pt idx="61">
                  <c:v>1410</c:v>
                </c:pt>
                <c:pt idx="62">
                  <c:v>1420</c:v>
                </c:pt>
                <c:pt idx="63">
                  <c:v>1430</c:v>
                </c:pt>
                <c:pt idx="64">
                  <c:v>1440</c:v>
                </c:pt>
                <c:pt idx="65">
                  <c:v>1450</c:v>
                </c:pt>
                <c:pt idx="66">
                  <c:v>1500</c:v>
                </c:pt>
                <c:pt idx="67">
                  <c:v>1510</c:v>
                </c:pt>
                <c:pt idx="68">
                  <c:v>1520</c:v>
                </c:pt>
                <c:pt idx="69">
                  <c:v>1530</c:v>
                </c:pt>
                <c:pt idx="70">
                  <c:v>1540</c:v>
                </c:pt>
                <c:pt idx="71">
                  <c:v>1550</c:v>
                </c:pt>
                <c:pt idx="72">
                  <c:v>1600</c:v>
                </c:pt>
                <c:pt idx="73">
                  <c:v>1610</c:v>
                </c:pt>
                <c:pt idx="74">
                  <c:v>1620</c:v>
                </c:pt>
                <c:pt idx="75">
                  <c:v>1630</c:v>
                </c:pt>
                <c:pt idx="76">
                  <c:v>1640</c:v>
                </c:pt>
                <c:pt idx="77">
                  <c:v>1650</c:v>
                </c:pt>
                <c:pt idx="78">
                  <c:v>1700</c:v>
                </c:pt>
                <c:pt idx="79">
                  <c:v>1710</c:v>
                </c:pt>
                <c:pt idx="80">
                  <c:v>1720</c:v>
                </c:pt>
                <c:pt idx="81">
                  <c:v>1730</c:v>
                </c:pt>
                <c:pt idx="82">
                  <c:v>1740</c:v>
                </c:pt>
                <c:pt idx="83">
                  <c:v>1750</c:v>
                </c:pt>
                <c:pt idx="84">
                  <c:v>1800</c:v>
                </c:pt>
                <c:pt idx="85">
                  <c:v>1810</c:v>
                </c:pt>
                <c:pt idx="86">
                  <c:v>1820</c:v>
                </c:pt>
                <c:pt idx="87">
                  <c:v>1830</c:v>
                </c:pt>
                <c:pt idx="88">
                  <c:v>1840</c:v>
                </c:pt>
                <c:pt idx="89">
                  <c:v>1850</c:v>
                </c:pt>
                <c:pt idx="90">
                  <c:v>1900</c:v>
                </c:pt>
                <c:pt idx="91">
                  <c:v>1910</c:v>
                </c:pt>
                <c:pt idx="92">
                  <c:v>1920</c:v>
                </c:pt>
                <c:pt idx="93">
                  <c:v>1930</c:v>
                </c:pt>
                <c:pt idx="94">
                  <c:v>1940</c:v>
                </c:pt>
                <c:pt idx="95">
                  <c:v>1950</c:v>
                </c:pt>
                <c:pt idx="96">
                  <c:v>2000</c:v>
                </c:pt>
                <c:pt idx="97">
                  <c:v>2010</c:v>
                </c:pt>
                <c:pt idx="98">
                  <c:v>2020</c:v>
                </c:pt>
                <c:pt idx="99">
                  <c:v>2030</c:v>
                </c:pt>
                <c:pt idx="100">
                  <c:v>2040</c:v>
                </c:pt>
                <c:pt idx="101">
                  <c:v>2050</c:v>
                </c:pt>
                <c:pt idx="102">
                  <c:v>2100</c:v>
                </c:pt>
                <c:pt idx="103">
                  <c:v>2110</c:v>
                </c:pt>
                <c:pt idx="104">
                  <c:v>2120</c:v>
                </c:pt>
                <c:pt idx="105">
                  <c:v>2130</c:v>
                </c:pt>
                <c:pt idx="106">
                  <c:v>2140</c:v>
                </c:pt>
                <c:pt idx="107">
                  <c:v>2150</c:v>
                </c:pt>
                <c:pt idx="108">
                  <c:v>2200</c:v>
                </c:pt>
                <c:pt idx="109">
                  <c:v>2210</c:v>
                </c:pt>
                <c:pt idx="110">
                  <c:v>2220</c:v>
                </c:pt>
                <c:pt idx="111">
                  <c:v>2230</c:v>
                </c:pt>
                <c:pt idx="112">
                  <c:v>2240</c:v>
                </c:pt>
                <c:pt idx="113">
                  <c:v>2250</c:v>
                </c:pt>
                <c:pt idx="114">
                  <c:v>2300</c:v>
                </c:pt>
                <c:pt idx="115">
                  <c:v>2310</c:v>
                </c:pt>
                <c:pt idx="116">
                  <c:v>2320</c:v>
                </c:pt>
                <c:pt idx="117">
                  <c:v>2330</c:v>
                </c:pt>
                <c:pt idx="118">
                  <c:v>2340</c:v>
                </c:pt>
                <c:pt idx="119">
                  <c:v>2350</c:v>
                </c:pt>
                <c:pt idx="120">
                  <c:v>0000</c:v>
                </c:pt>
                <c:pt idx="121">
                  <c:v>0010</c:v>
                </c:pt>
                <c:pt idx="122">
                  <c:v>0020</c:v>
                </c:pt>
                <c:pt idx="123">
                  <c:v>0030</c:v>
                </c:pt>
                <c:pt idx="124">
                  <c:v>0040</c:v>
                </c:pt>
                <c:pt idx="125">
                  <c:v>0050</c:v>
                </c:pt>
                <c:pt idx="126">
                  <c:v>0100</c:v>
                </c:pt>
                <c:pt idx="127">
                  <c:v>0110</c:v>
                </c:pt>
                <c:pt idx="128">
                  <c:v>0120</c:v>
                </c:pt>
                <c:pt idx="129">
                  <c:v>0130</c:v>
                </c:pt>
                <c:pt idx="130">
                  <c:v>0140</c:v>
                </c:pt>
                <c:pt idx="131">
                  <c:v>0150</c:v>
                </c:pt>
                <c:pt idx="132">
                  <c:v>0200</c:v>
                </c:pt>
                <c:pt idx="133">
                  <c:v>0210</c:v>
                </c:pt>
                <c:pt idx="134">
                  <c:v>0220</c:v>
                </c:pt>
                <c:pt idx="135">
                  <c:v>0230</c:v>
                </c:pt>
                <c:pt idx="136">
                  <c:v>0240</c:v>
                </c:pt>
                <c:pt idx="137">
                  <c:v>0250</c:v>
                </c:pt>
                <c:pt idx="138">
                  <c:v>0300</c:v>
                </c:pt>
                <c:pt idx="139">
                  <c:v>0310</c:v>
                </c:pt>
                <c:pt idx="140">
                  <c:v>0320</c:v>
                </c:pt>
                <c:pt idx="141">
                  <c:v>0330</c:v>
                </c:pt>
                <c:pt idx="142">
                  <c:v>0340</c:v>
                </c:pt>
                <c:pt idx="143">
                  <c:v>0350</c:v>
                </c:pt>
              </c:strCache>
            </c:strRef>
          </c:cat>
          <c:val>
            <c:numRef>
              <c:f>Variation_Over_Typical_Day!$B$3:$B$146</c:f>
              <c:numCache>
                <c:formatCode>0%</c:formatCode>
                <c:ptCount val="14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1.306599099189043E-2</c:v>
                </c:pt>
                <c:pt idx="17">
                  <c:v>6.909237802028656E-2</c:v>
                </c:pt>
                <c:pt idx="18">
                  <c:v>6.909237802028656E-2</c:v>
                </c:pt>
                <c:pt idx="19">
                  <c:v>0.15155905485153198</c:v>
                </c:pt>
                <c:pt idx="20">
                  <c:v>0.19457538425922394</c:v>
                </c:pt>
                <c:pt idx="21">
                  <c:v>0.25040629506111145</c:v>
                </c:pt>
                <c:pt idx="22">
                  <c:v>0.2868511974811554</c:v>
                </c:pt>
                <c:pt idx="23">
                  <c:v>0.49951496720314026</c:v>
                </c:pt>
                <c:pt idx="24">
                  <c:v>0.56143826246261597</c:v>
                </c:pt>
                <c:pt idx="25">
                  <c:v>0.6366732120513916</c:v>
                </c:pt>
                <c:pt idx="26">
                  <c:v>0.76733547449111938</c:v>
                </c:pt>
                <c:pt idx="27">
                  <c:v>0.81900888681411743</c:v>
                </c:pt>
                <c:pt idx="28">
                  <c:v>0.91335982084274292</c:v>
                </c:pt>
                <c:pt idx="29">
                  <c:v>0.95671021938323975</c:v>
                </c:pt>
                <c:pt idx="30">
                  <c:v>0.96144181489944458</c:v>
                </c:pt>
                <c:pt idx="31">
                  <c:v>0.96144181489944458</c:v>
                </c:pt>
                <c:pt idx="32">
                  <c:v>0.94953548908233643</c:v>
                </c:pt>
                <c:pt idx="33">
                  <c:v>0.94056969881057739</c:v>
                </c:pt>
                <c:pt idx="34">
                  <c:v>0.94953548908233643</c:v>
                </c:pt>
                <c:pt idx="35">
                  <c:v>0.91275113821029663</c:v>
                </c:pt>
                <c:pt idx="36">
                  <c:v>0.90111809968948364</c:v>
                </c:pt>
                <c:pt idx="37">
                  <c:v>0.87375229597091675</c:v>
                </c:pt>
                <c:pt idx="38">
                  <c:v>0.86324644088745117</c:v>
                </c:pt>
                <c:pt idx="39">
                  <c:v>0.92588740587234497</c:v>
                </c:pt>
                <c:pt idx="40">
                  <c:v>0.84626549482345581</c:v>
                </c:pt>
                <c:pt idx="41">
                  <c:v>0.89614188671112061</c:v>
                </c:pt>
                <c:pt idx="42">
                  <c:v>0.91796910762786865</c:v>
                </c:pt>
                <c:pt idx="43">
                  <c:v>1</c:v>
                </c:pt>
                <c:pt idx="44">
                  <c:v>0.98939180374145508</c:v>
                </c:pt>
                <c:pt idx="45">
                  <c:v>0.97308152914047241</c:v>
                </c:pt>
                <c:pt idx="46">
                  <c:v>0.9663349986076355</c:v>
                </c:pt>
                <c:pt idx="47">
                  <c:v>0.82979369163513184</c:v>
                </c:pt>
                <c:pt idx="48">
                  <c:v>0.75925195217132568</c:v>
                </c:pt>
                <c:pt idx="49">
                  <c:v>0.71605199575424194</c:v>
                </c:pt>
                <c:pt idx="50">
                  <c:v>0.68337869644165039</c:v>
                </c:pt>
                <c:pt idx="51">
                  <c:v>0.67053848505020142</c:v>
                </c:pt>
                <c:pt idx="52">
                  <c:v>0.64373540878295898</c:v>
                </c:pt>
                <c:pt idx="53">
                  <c:v>0.74865192174911499</c:v>
                </c:pt>
                <c:pt idx="54">
                  <c:v>0.76425337791442871</c:v>
                </c:pt>
                <c:pt idx="55">
                  <c:v>0.80808937549591064</c:v>
                </c:pt>
                <c:pt idx="56">
                  <c:v>0.86710768938064575</c:v>
                </c:pt>
                <c:pt idx="57">
                  <c:v>0.92676502466201782</c:v>
                </c:pt>
                <c:pt idx="58">
                  <c:v>0.9256095290184021</c:v>
                </c:pt>
                <c:pt idx="59">
                  <c:v>0.98102700710296631</c:v>
                </c:pt>
                <c:pt idx="60">
                  <c:v>0.96548354625701904</c:v>
                </c:pt>
                <c:pt idx="61">
                  <c:v>0.98445653915405273</c:v>
                </c:pt>
                <c:pt idx="62">
                  <c:v>1</c:v>
                </c:pt>
                <c:pt idx="63">
                  <c:v>1</c:v>
                </c:pt>
                <c:pt idx="64">
                  <c:v>0.99001538753509521</c:v>
                </c:pt>
                <c:pt idx="65">
                  <c:v>0.90751278400421143</c:v>
                </c:pt>
                <c:pt idx="66">
                  <c:v>0.87903469800949097</c:v>
                </c:pt>
                <c:pt idx="67">
                  <c:v>0.8661339282989502</c:v>
                </c:pt>
                <c:pt idx="68">
                  <c:v>0.81275308132171631</c:v>
                </c:pt>
                <c:pt idx="69">
                  <c:v>0.8122895359992981</c:v>
                </c:pt>
                <c:pt idx="70">
                  <c:v>0.77142292261123657</c:v>
                </c:pt>
                <c:pt idx="71">
                  <c:v>0.71019095182418823</c:v>
                </c:pt>
                <c:pt idx="72">
                  <c:v>0.73211878538131714</c:v>
                </c:pt>
                <c:pt idx="73">
                  <c:v>0.65445876121520996</c:v>
                </c:pt>
                <c:pt idx="74">
                  <c:v>0.59878343343734741</c:v>
                </c:pt>
                <c:pt idx="75">
                  <c:v>0.54234838485717773</c:v>
                </c:pt>
                <c:pt idx="76">
                  <c:v>0.49787992238998413</c:v>
                </c:pt>
                <c:pt idx="77">
                  <c:v>0.29463982582092285</c:v>
                </c:pt>
                <c:pt idx="78">
                  <c:v>0.2620144784450531</c:v>
                </c:pt>
                <c:pt idx="79">
                  <c:v>0.26820141077041626</c:v>
                </c:pt>
                <c:pt idx="80">
                  <c:v>0.24097283184528351</c:v>
                </c:pt>
                <c:pt idx="81">
                  <c:v>0.20112758874893188</c:v>
                </c:pt>
                <c:pt idx="82">
                  <c:v>0.19262115657329559</c:v>
                </c:pt>
                <c:pt idx="83">
                  <c:v>8.6531847715377808E-2</c:v>
                </c:pt>
                <c:pt idx="84">
                  <c:v>4.8148084431886673E-2</c:v>
                </c:pt>
                <c:pt idx="85">
                  <c:v>4.8148084431886673E-2</c:v>
                </c:pt>
                <c:pt idx="86">
                  <c:v>5.617319792509079E-2</c:v>
                </c:pt>
                <c:pt idx="87">
                  <c:v>6.8026453256607056E-2</c:v>
                </c:pt>
                <c:pt idx="88">
                  <c:v>6.6389545798301697E-2</c:v>
                </c:pt>
                <c:pt idx="89">
                  <c:v>7.9841688275337219E-2</c:v>
                </c:pt>
                <c:pt idx="90">
                  <c:v>0.10199117660522461</c:v>
                </c:pt>
                <c:pt idx="91">
                  <c:v>0.10563403367996216</c:v>
                </c:pt>
                <c:pt idx="92">
                  <c:v>0.14035183191299438</c:v>
                </c:pt>
                <c:pt idx="93">
                  <c:v>0.14035183191299438</c:v>
                </c:pt>
                <c:pt idx="94">
                  <c:v>0.1398356556892395</c:v>
                </c:pt>
                <c:pt idx="95">
                  <c:v>0.10976575314998627</c:v>
                </c:pt>
                <c:pt idx="96">
                  <c:v>0.11302641034126282</c:v>
                </c:pt>
                <c:pt idx="97">
                  <c:v>0.12629885971546173</c:v>
                </c:pt>
                <c:pt idx="98">
                  <c:v>0.10676407068967819</c:v>
                </c:pt>
                <c:pt idx="99">
                  <c:v>0.11535457521677017</c:v>
                </c:pt>
                <c:pt idx="100">
                  <c:v>0.11535457521677017</c:v>
                </c:pt>
                <c:pt idx="101">
                  <c:v>0.15408843755722046</c:v>
                </c:pt>
                <c:pt idx="102">
                  <c:v>0.13723139464855194</c:v>
                </c:pt>
                <c:pt idx="103">
                  <c:v>0.12871921062469482</c:v>
                </c:pt>
                <c:pt idx="104">
                  <c:v>0.15382066369056702</c:v>
                </c:pt>
                <c:pt idx="105">
                  <c:v>0.11767230182886124</c:v>
                </c:pt>
                <c:pt idx="106">
                  <c:v>0.10706410557031631</c:v>
                </c:pt>
                <c:pt idx="107">
                  <c:v>6.4283028244972229E-2</c:v>
                </c:pt>
                <c:pt idx="108">
                  <c:v>6.4283028244972229E-2</c:v>
                </c:pt>
                <c:pt idx="109">
                  <c:v>7.2962164878845215E-2</c:v>
                </c:pt>
                <c:pt idx="110">
                  <c:v>5.1676176488399506E-2</c:v>
                </c:pt>
                <c:pt idx="111">
                  <c:v>3.7466488778591156E-2</c:v>
                </c:pt>
                <c:pt idx="112">
                  <c:v>3.2897133380174637E-2</c:v>
                </c:pt>
                <c:pt idx="113">
                  <c:v>1.7191303893923759E-2</c:v>
                </c:pt>
                <c:pt idx="114">
                  <c:v>1.7191303893923759E-2</c:v>
                </c:pt>
                <c:pt idx="115">
                  <c:v>1.7191303893923759E-2</c:v>
                </c:pt>
                <c:pt idx="116">
                  <c:v>1.7191303893923759E-2</c:v>
                </c:pt>
                <c:pt idx="117">
                  <c:v>8.6791329085826874E-3</c:v>
                </c:pt>
                <c:pt idx="118">
                  <c:v>8.6791329085826874E-3</c:v>
                </c:pt>
                <c:pt idx="119">
                  <c:v>0</c:v>
                </c:pt>
                <c:pt idx="120">
                  <c:v>0</c:v>
                </c:pt>
                <c:pt idx="121">
                  <c:v>0</c:v>
                </c:pt>
                <c:pt idx="122">
                  <c:v>1.1682716198265553E-2</c:v>
                </c:pt>
                <c:pt idx="123">
                  <c:v>1.1682716198265553E-2</c:v>
                </c:pt>
                <c:pt idx="124">
                  <c:v>1.1682716198265553E-2</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numCache>
            </c:numRef>
          </c:val>
          <c:smooth val="0"/>
          <c:extLst>
            <c:ext xmlns:c16="http://schemas.microsoft.com/office/drawing/2014/chart" uri="{C3380CC4-5D6E-409C-BE32-E72D297353CC}">
              <c16:uniqueId val="{00000000-898E-470E-8BCC-486588B3D2B9}"/>
            </c:ext>
          </c:extLst>
        </c:ser>
        <c:ser>
          <c:idx val="3"/>
          <c:order val="1"/>
          <c:tx>
            <c:strRef>
              <c:f>Variation_Over_Typical_Day!$F$1</c:f>
              <c:strCache>
                <c:ptCount val="1"/>
                <c:pt idx="0">
                  <c:v>2000/01</c:v>
                </c:pt>
              </c:strCache>
            </c:strRef>
          </c:tx>
          <c:spPr>
            <a:ln>
              <a:solidFill>
                <a:schemeClr val="tx1"/>
              </a:solidFill>
            </a:ln>
          </c:spPr>
          <c:marker>
            <c:symbol val="none"/>
          </c:marker>
          <c:val>
            <c:numRef>
              <c:f>Variation_Over_Typical_Day!$F$2:$F$145</c:f>
              <c:numCache>
                <c:formatCode>General</c:formatCode>
                <c:ptCount val="14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1.0325930081307888E-2</c:v>
                </c:pt>
                <c:pt idx="20">
                  <c:v>3.2660089433193207E-2</c:v>
                </c:pt>
                <c:pt idx="21">
                  <c:v>4.4488519430160522E-2</c:v>
                </c:pt>
                <c:pt idx="22">
                  <c:v>8.0569393932819366E-2</c:v>
                </c:pt>
                <c:pt idx="23">
                  <c:v>0.13517451286315918</c:v>
                </c:pt>
                <c:pt idx="24">
                  <c:v>0.31098991632461548</c:v>
                </c:pt>
                <c:pt idx="25">
                  <c:v>0.46154478192329407</c:v>
                </c:pt>
                <c:pt idx="26">
                  <c:v>0.64411360025405884</c:v>
                </c:pt>
                <c:pt idx="27">
                  <c:v>0.77563285827636719</c:v>
                </c:pt>
                <c:pt idx="28">
                  <c:v>0.85460114479064941</c:v>
                </c:pt>
                <c:pt idx="29">
                  <c:v>0.94817602634429932</c:v>
                </c:pt>
                <c:pt idx="30">
                  <c:v>0.96680068969726563</c:v>
                </c:pt>
                <c:pt idx="31">
                  <c:v>0.98159950971603394</c:v>
                </c:pt>
                <c:pt idx="32">
                  <c:v>0.98159950971603394</c:v>
                </c:pt>
                <c:pt idx="33">
                  <c:v>0.98159950971603394</c:v>
                </c:pt>
                <c:pt idx="34">
                  <c:v>0.98159950971603394</c:v>
                </c:pt>
                <c:pt idx="35">
                  <c:v>0.98159950971603394</c:v>
                </c:pt>
                <c:pt idx="36">
                  <c:v>0.92382365465164185</c:v>
                </c:pt>
                <c:pt idx="37">
                  <c:v>0.93830776214599609</c:v>
                </c:pt>
                <c:pt idx="38">
                  <c:v>0.91184663772583008</c:v>
                </c:pt>
                <c:pt idx="39">
                  <c:v>0.79019391536712646</c:v>
                </c:pt>
                <c:pt idx="40">
                  <c:v>0.83514237403869629</c:v>
                </c:pt>
                <c:pt idx="41">
                  <c:v>0.87721395492553711</c:v>
                </c:pt>
                <c:pt idx="42">
                  <c:v>0.91421902179718018</c:v>
                </c:pt>
                <c:pt idx="43">
                  <c:v>0.94821006059646606</c:v>
                </c:pt>
                <c:pt idx="44">
                  <c:v>0.97091013193130493</c:v>
                </c:pt>
                <c:pt idx="45">
                  <c:v>0.98210614919662476</c:v>
                </c:pt>
                <c:pt idx="46">
                  <c:v>0.96675997972488403</c:v>
                </c:pt>
                <c:pt idx="47">
                  <c:v>0.95850026607513428</c:v>
                </c:pt>
                <c:pt idx="48">
                  <c:v>0.88537651300430298</c:v>
                </c:pt>
                <c:pt idx="49">
                  <c:v>0.84420925378799438</c:v>
                </c:pt>
                <c:pt idx="50">
                  <c:v>0.77065896987915039</c:v>
                </c:pt>
                <c:pt idx="51">
                  <c:v>0.63238382339477539</c:v>
                </c:pt>
                <c:pt idx="52">
                  <c:v>0.60718035697937012</c:v>
                </c:pt>
                <c:pt idx="53">
                  <c:v>0.59945946931838989</c:v>
                </c:pt>
                <c:pt idx="54">
                  <c:v>0.72435027360916138</c:v>
                </c:pt>
                <c:pt idx="55">
                  <c:v>0.74371457099914551</c:v>
                </c:pt>
                <c:pt idx="56">
                  <c:v>0.7976498007774353</c:v>
                </c:pt>
                <c:pt idx="57">
                  <c:v>0.86287158727645874</c:v>
                </c:pt>
                <c:pt idx="58">
                  <c:v>0.89603257179260254</c:v>
                </c:pt>
                <c:pt idx="59">
                  <c:v>0.89656287431716919</c:v>
                </c:pt>
                <c:pt idx="60">
                  <c:v>0.91521763801574707</c:v>
                </c:pt>
                <c:pt idx="61">
                  <c:v>0.91401642560958862</c:v>
                </c:pt>
                <c:pt idx="62">
                  <c:v>0.94178009033203125</c:v>
                </c:pt>
                <c:pt idx="63">
                  <c:v>0.96874850988388062</c:v>
                </c:pt>
                <c:pt idx="64">
                  <c:v>0.98370885848999023</c:v>
                </c:pt>
                <c:pt idx="65">
                  <c:v>0.96732908487319946</c:v>
                </c:pt>
                <c:pt idx="66">
                  <c:v>0.96120136976242065</c:v>
                </c:pt>
                <c:pt idx="67">
                  <c:v>0.96120136976242065</c:v>
                </c:pt>
                <c:pt idx="68">
                  <c:v>0.92584043741226196</c:v>
                </c:pt>
                <c:pt idx="69">
                  <c:v>0.80461126565933228</c:v>
                </c:pt>
                <c:pt idx="70">
                  <c:v>0.77413368225097656</c:v>
                </c:pt>
                <c:pt idx="71">
                  <c:v>0.70540595054626465</c:v>
                </c:pt>
                <c:pt idx="72">
                  <c:v>0.68012464046478271</c:v>
                </c:pt>
                <c:pt idx="73">
                  <c:v>0.65355384349822998</c:v>
                </c:pt>
                <c:pt idx="74">
                  <c:v>0.58074104785919189</c:v>
                </c:pt>
                <c:pt idx="75">
                  <c:v>0.49095025658607483</c:v>
                </c:pt>
                <c:pt idx="76">
                  <c:v>0.46908825635910034</c:v>
                </c:pt>
                <c:pt idx="77">
                  <c:v>0.43975919485092163</c:v>
                </c:pt>
                <c:pt idx="78">
                  <c:v>0.36767256259918213</c:v>
                </c:pt>
                <c:pt idx="79">
                  <c:v>0.31962242722511292</c:v>
                </c:pt>
                <c:pt idx="80">
                  <c:v>0.27056309580802917</c:v>
                </c:pt>
                <c:pt idx="81">
                  <c:v>0.21341677010059357</c:v>
                </c:pt>
                <c:pt idx="82">
                  <c:v>0.21153566241264343</c:v>
                </c:pt>
                <c:pt idx="83">
                  <c:v>0.19854635000228882</c:v>
                </c:pt>
                <c:pt idx="84">
                  <c:v>0.17298389971256256</c:v>
                </c:pt>
                <c:pt idx="85">
                  <c:v>0.16886855661869049</c:v>
                </c:pt>
                <c:pt idx="86">
                  <c:v>0.16812454164028168</c:v>
                </c:pt>
                <c:pt idx="87">
                  <c:v>0.10065650194883347</c:v>
                </c:pt>
                <c:pt idx="88">
                  <c:v>0.10065650194883347</c:v>
                </c:pt>
                <c:pt idx="89">
                  <c:v>0.1033540666103363</c:v>
                </c:pt>
                <c:pt idx="90">
                  <c:v>0.13189181685447693</c:v>
                </c:pt>
                <c:pt idx="91">
                  <c:v>0.14221774041652679</c:v>
                </c:pt>
                <c:pt idx="92">
                  <c:v>0.13201263546943665</c:v>
                </c:pt>
                <c:pt idx="93">
                  <c:v>0.17319658398628235</c:v>
                </c:pt>
                <c:pt idx="94">
                  <c:v>0.17319658398628235</c:v>
                </c:pt>
                <c:pt idx="95">
                  <c:v>0.15875084698200226</c:v>
                </c:pt>
                <c:pt idx="96">
                  <c:v>0.17885202169418335</c:v>
                </c:pt>
                <c:pt idx="97">
                  <c:v>0.22155652940273285</c:v>
                </c:pt>
                <c:pt idx="98">
                  <c:v>0.20394806563854218</c:v>
                </c:pt>
                <c:pt idx="99">
                  <c:v>0.25447952747344971</c:v>
                </c:pt>
                <c:pt idx="100">
                  <c:v>0.226040318608284</c:v>
                </c:pt>
                <c:pt idx="101">
                  <c:v>0.226040318608284</c:v>
                </c:pt>
                <c:pt idx="102">
                  <c:v>0.14487782120704651</c:v>
                </c:pt>
                <c:pt idx="103">
                  <c:v>0.14673060178756714</c:v>
                </c:pt>
                <c:pt idx="104">
                  <c:v>0.1486172080039978</c:v>
                </c:pt>
                <c:pt idx="105">
                  <c:v>0.12188482284545898</c:v>
                </c:pt>
                <c:pt idx="106">
                  <c:v>0.11163081228733063</c:v>
                </c:pt>
                <c:pt idx="107">
                  <c:v>0.10363664478063583</c:v>
                </c:pt>
                <c:pt idx="108">
                  <c:v>5.8020967990159988E-2</c:v>
                </c:pt>
                <c:pt idx="109">
                  <c:v>5.8020967990159988E-2</c:v>
                </c:pt>
                <c:pt idx="110">
                  <c:v>5.8020967990159988E-2</c:v>
                </c:pt>
                <c:pt idx="111">
                  <c:v>5.8020967990159988E-2</c:v>
                </c:pt>
                <c:pt idx="112">
                  <c:v>3.8879953324794769E-2</c:v>
                </c:pt>
                <c:pt idx="113">
                  <c:v>3.7110026925802231E-2</c:v>
                </c:pt>
                <c:pt idx="114">
                  <c:v>1.1256279423832893E-2</c:v>
                </c:pt>
                <c:pt idx="115">
                  <c:v>1.1256279423832893E-2</c:v>
                </c:pt>
                <c:pt idx="116">
                  <c:v>1.1256279423832893E-2</c:v>
                </c:pt>
                <c:pt idx="117">
                  <c:v>1.1256279423832893E-2</c:v>
                </c:pt>
                <c:pt idx="118">
                  <c:v>1.1256279423832893E-2</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numCache>
            </c:numRef>
          </c:val>
          <c:smooth val="0"/>
          <c:extLst>
            <c:ext xmlns:c16="http://schemas.microsoft.com/office/drawing/2014/chart" uri="{C3380CC4-5D6E-409C-BE32-E72D297353CC}">
              <c16:uniqueId val="{00000001-898E-470E-8BCC-486588B3D2B9}"/>
            </c:ext>
          </c:extLst>
        </c:ser>
        <c:dLbls>
          <c:showLegendKey val="0"/>
          <c:showVal val="0"/>
          <c:showCatName val="0"/>
          <c:showSerName val="0"/>
          <c:showPercent val="0"/>
          <c:showBubbleSize val="0"/>
        </c:dLbls>
        <c:smooth val="0"/>
        <c:axId val="436817152"/>
        <c:axId val="1"/>
      </c:lineChart>
      <c:catAx>
        <c:axId val="436817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
        <c:crosses val="autoZero"/>
        <c:auto val="1"/>
        <c:lblAlgn val="ctr"/>
        <c:lblOffset val="100"/>
        <c:tickLblSkip val="12"/>
        <c:noMultiLvlLbl val="0"/>
      </c:catAx>
      <c:valAx>
        <c:axId val="1"/>
        <c:scaling>
          <c:orientation val="minMax"/>
          <c:max val="1.05"/>
          <c:min val="0"/>
        </c:scaling>
        <c:delete val="0"/>
        <c:axPos val="l"/>
        <c:numFmt formatCode="0%" sourceLinked="1"/>
        <c:majorTickMark val="none"/>
        <c:minorTickMark val="none"/>
        <c:tickLblPos val="nextTo"/>
        <c:spPr>
          <a:ln w="6350">
            <a:noFill/>
          </a:ln>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36817152"/>
        <c:crosses val="autoZero"/>
        <c:crossBetween val="between"/>
        <c:majorUnit val="0.2"/>
      </c:valAx>
      <c:spPr>
        <a:noFill/>
        <a:ln w="25400">
          <a:noFill/>
        </a:ln>
      </c:spPr>
    </c:plotArea>
    <c:legend>
      <c:legendPos val="r"/>
      <c:layout>
        <c:manualLayout>
          <c:xMode val="edge"/>
          <c:yMode val="edge"/>
          <c:x val="0.71254224453939707"/>
          <c:y val="7.8752578462903428E-2"/>
          <c:w val="0.1999577772698643"/>
          <c:h val="0.14390299804073786"/>
        </c:manualLayout>
      </c:layout>
      <c:overlay val="0"/>
    </c:legend>
    <c:plotVisOnly val="1"/>
    <c:dispBlanksAs val="gap"/>
    <c:showDLblsOverMax val="0"/>
  </c:chart>
  <c:spPr>
    <a:noFill/>
    <a:ln w="6350">
      <a:noFill/>
    </a:ln>
  </c:spPr>
  <c:txPr>
    <a:bodyPr/>
    <a:lstStyle/>
    <a:p>
      <a:pPr>
        <a:defRPr sz="120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8448332114922594E-2"/>
          <c:y val="5.6075383750559073E-2"/>
          <c:w val="0.94367487799899152"/>
          <c:h val="0.82973292356173045"/>
        </c:manualLayout>
      </c:layout>
      <c:lineChart>
        <c:grouping val="standard"/>
        <c:varyColors val="0"/>
        <c:ser>
          <c:idx val="0"/>
          <c:order val="0"/>
          <c:tx>
            <c:strRef>
              <c:f>Sheet1!$B$1</c:f>
              <c:strCache>
                <c:ptCount val="1"/>
                <c:pt idx="0">
                  <c:v>Men</c:v>
                </c:pt>
              </c:strCache>
            </c:strRef>
          </c:tx>
          <c:spPr>
            <a:ln w="28575" cap="rnd">
              <a:solidFill>
                <a:srgbClr val="2DAAE1"/>
              </a:solidFill>
              <a:prstDash val="dash"/>
              <a:round/>
            </a:ln>
            <a:effectLst/>
          </c:spPr>
          <c:marker>
            <c:symbol val="none"/>
          </c:marker>
          <c:cat>
            <c:strRef>
              <c:f>Sheet1!$A$3:$A$18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Sheet1!$B$3:$B$18</c:f>
              <c:numCache>
                <c:formatCode>General</c:formatCode>
                <c:ptCount val="16"/>
                <c:pt idx="0">
                  <c:v>4.7435898780822754</c:v>
                </c:pt>
                <c:pt idx="1">
                  <c:v>2.8729603290557861</c:v>
                </c:pt>
                <c:pt idx="2">
                  <c:v>2.2564103603363037</c:v>
                </c:pt>
                <c:pt idx="5">
                  <c:v>2.9603729248046875</c:v>
                </c:pt>
                <c:pt idx="6">
                  <c:v>2.8962705135345459</c:v>
                </c:pt>
                <c:pt idx="7">
                  <c:v>2.8776223659515381</c:v>
                </c:pt>
                <c:pt idx="8">
                  <c:v>3.2167832851409912</c:v>
                </c:pt>
                <c:pt idx="9">
                  <c:v>3.2365968227386475</c:v>
                </c:pt>
                <c:pt idx="11">
                  <c:v>2.9988346099853516</c:v>
                </c:pt>
                <c:pt idx="12">
                  <c:v>2.9020979404449463</c:v>
                </c:pt>
                <c:pt idx="13">
                  <c:v>2.8904428482055664</c:v>
                </c:pt>
                <c:pt idx="14">
                  <c:v>2.7878787517547607</c:v>
                </c:pt>
                <c:pt idx="15">
                  <c:v>2.7051281929016113</c:v>
                </c:pt>
              </c:numCache>
            </c:numRef>
          </c:val>
          <c:smooth val="0"/>
          <c:extLst>
            <c:ext xmlns:c16="http://schemas.microsoft.com/office/drawing/2014/chart" uri="{C3380CC4-5D6E-409C-BE32-E72D297353CC}">
              <c16:uniqueId val="{00000000-60D7-4232-8A3E-23F4433F4247}"/>
            </c:ext>
          </c:extLst>
        </c:ser>
        <c:ser>
          <c:idx val="1"/>
          <c:order val="1"/>
          <c:tx>
            <c:strRef>
              <c:f>Sheet1!$C$1</c:f>
              <c:strCache>
                <c:ptCount val="1"/>
                <c:pt idx="0">
                  <c:v>Women</c:v>
                </c:pt>
              </c:strCache>
            </c:strRef>
          </c:tx>
          <c:spPr>
            <a:ln w="28575" cap="rnd">
              <a:solidFill>
                <a:srgbClr val="E6007E"/>
              </a:solidFill>
              <a:round/>
            </a:ln>
            <a:effectLst/>
          </c:spPr>
          <c:marker>
            <c:symbol val="none"/>
          </c:marker>
          <c:cat>
            <c:strRef>
              <c:f>Sheet1!$A$3:$A$18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Sheet1!$C$3:$C$18</c:f>
              <c:numCache>
                <c:formatCode>General</c:formatCode>
                <c:ptCount val="16"/>
                <c:pt idx="0">
                  <c:v>5.8129596710205078</c:v>
                </c:pt>
                <c:pt idx="1">
                  <c:v>3.7311580181121826</c:v>
                </c:pt>
                <c:pt idx="2">
                  <c:v>2.9802389144897461</c:v>
                </c:pt>
                <c:pt idx="5">
                  <c:v>3.5519301891326904</c:v>
                </c:pt>
                <c:pt idx="6">
                  <c:v>3.4609375</c:v>
                </c:pt>
                <c:pt idx="7">
                  <c:v>3.4338235855102539</c:v>
                </c:pt>
                <c:pt idx="8">
                  <c:v>4.1447610855102539</c:v>
                </c:pt>
                <c:pt idx="9">
                  <c:v>4.0101103782653809</c:v>
                </c:pt>
                <c:pt idx="11">
                  <c:v>3.5588235855102539</c:v>
                </c:pt>
                <c:pt idx="12">
                  <c:v>3.5542278289794922</c:v>
                </c:pt>
                <c:pt idx="13">
                  <c:v>3.4338235855102539</c:v>
                </c:pt>
                <c:pt idx="14">
                  <c:v>3.2408087253570557</c:v>
                </c:pt>
                <c:pt idx="15">
                  <c:v>3.3189337253570557</c:v>
                </c:pt>
              </c:numCache>
            </c:numRef>
          </c:val>
          <c:smooth val="0"/>
          <c:extLst>
            <c:ext xmlns:c16="http://schemas.microsoft.com/office/drawing/2014/chart" uri="{C3380CC4-5D6E-409C-BE32-E72D297353CC}">
              <c16:uniqueId val="{00000001-60D7-4232-8A3E-23F4433F4247}"/>
            </c:ext>
          </c:extLst>
        </c:ser>
        <c:dLbls>
          <c:showLegendKey val="0"/>
          <c:showVal val="0"/>
          <c:showCatName val="0"/>
          <c:showSerName val="0"/>
          <c:showPercent val="0"/>
          <c:showBubbleSize val="0"/>
        </c:dLbls>
        <c:smooth val="0"/>
        <c:axId val="1769041343"/>
        <c:axId val="1"/>
      </c:lineChart>
      <c:catAx>
        <c:axId val="176904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
        <c:crosses val="autoZero"/>
        <c:auto val="1"/>
        <c:lblAlgn val="ctr"/>
        <c:lblOffset val="100"/>
        <c:noMultiLvlLbl val="0"/>
      </c:catAx>
      <c:valAx>
        <c:axId val="1"/>
        <c:scaling>
          <c:orientation val="minMax"/>
        </c:scaling>
        <c:delete val="0"/>
        <c:axPos val="l"/>
        <c:title>
          <c:tx>
            <c:rich>
              <a:bodyPr rot="0" vert="horz"/>
              <a:lstStyle/>
              <a:p>
                <a:pPr algn="l">
                  <a:defRPr/>
                </a:pPr>
                <a:r>
                  <a:rPr lang="en-GB" b="0"/>
                  <a:t>Average anxiety score</a:t>
                </a:r>
              </a:p>
            </c:rich>
          </c:tx>
          <c:layout>
            <c:manualLayout>
              <c:xMode val="edge"/>
              <c:yMode val="edge"/>
              <c:x val="4.2970700565819482E-2"/>
              <c:y val="1.9568098542137626E-3"/>
            </c:manualLayout>
          </c:layout>
          <c:overlay val="0"/>
          <c:spPr>
            <a:noFill/>
            <a:ln w="25400">
              <a:noFill/>
            </a:ln>
          </c:spPr>
        </c:title>
        <c:numFmt formatCode="General" sourceLinked="1"/>
        <c:majorTickMark val="none"/>
        <c:minorTickMark val="none"/>
        <c:tickLblPos val="nextTo"/>
        <c:spPr>
          <a:ln w="6350">
            <a:noFill/>
          </a:ln>
        </c:spPr>
        <c:txPr>
          <a:bodyPr rot="-60000000" vert="horz"/>
          <a:lstStyle/>
          <a:p>
            <a:pPr>
              <a:defRPr/>
            </a:pPr>
            <a:endParaRPr lang="en-US"/>
          </a:p>
        </c:txPr>
        <c:crossAx val="1769041343"/>
        <c:crosses val="autoZero"/>
        <c:crossBetween val="between"/>
      </c:valAx>
      <c:spPr>
        <a:noFill/>
        <a:ln w="25400">
          <a:noFill/>
        </a:ln>
      </c:spPr>
    </c:plotArea>
    <c:legend>
      <c:legendPos val="r"/>
      <c:layout>
        <c:manualLayout>
          <c:xMode val="edge"/>
          <c:yMode val="edge"/>
          <c:x val="0.78983764048724681"/>
          <c:y val="2.1645745738093414E-2"/>
          <c:w val="0.19619158880253298"/>
          <c:h val="0.14567510129195019"/>
        </c:manualLayout>
      </c:layout>
      <c:overlay val="0"/>
      <c:spPr>
        <a:noFill/>
        <a:ln w="25400">
          <a:noFill/>
        </a:ln>
      </c:spPr>
      <c:txPr>
        <a:bodyPr rot="0" vert="horz"/>
        <a:lstStyle/>
        <a:p>
          <a:pPr>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Avenir LT Std 55 Roman" panose="020B0503020203020204" pitchFamily="34" charset="0"/>
          <a:cs typeface="Arial" panose="020B0604020202020204" pitchFamily="34" charset="0"/>
        </a:defRPr>
      </a:pPr>
      <a:endParaRPr lang="en-US"/>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5281313281962524E-2"/>
          <c:y val="4.0699602815134836E-2"/>
          <c:w val="0.94472323257074842"/>
          <c:h val="0.86233851299561004"/>
        </c:manualLayout>
      </c:layout>
      <c:lineChart>
        <c:grouping val="standard"/>
        <c:varyColors val="0"/>
        <c:ser>
          <c:idx val="0"/>
          <c:order val="0"/>
          <c:tx>
            <c:strRef>
              <c:f>Sheet1!$D$1</c:f>
              <c:strCache>
                <c:ptCount val="1"/>
                <c:pt idx="0">
                  <c:v>Men (conditional)</c:v>
                </c:pt>
              </c:strCache>
            </c:strRef>
          </c:tx>
          <c:spPr>
            <a:ln w="28575" cap="rnd">
              <a:solidFill>
                <a:srgbClr val="2DAAE1"/>
              </a:solidFill>
              <a:prstDash val="dash"/>
              <a:round/>
            </a:ln>
            <a:effectLst/>
          </c:spPr>
          <c:marker>
            <c:symbol val="none"/>
          </c:marker>
          <c:cat>
            <c:strRef>
              <c:f>Sheet1!$A$3:$A$18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Sheet1!$D$3:$D$18</c:f>
              <c:numCache>
                <c:formatCode>General</c:formatCode>
                <c:ptCount val="16"/>
                <c:pt idx="0">
                  <c:v>4.9239363670349121</c:v>
                </c:pt>
                <c:pt idx="1">
                  <c:v>3.055802583694458</c:v>
                </c:pt>
                <c:pt idx="2">
                  <c:v>2.439687967300415</c:v>
                </c:pt>
                <c:pt idx="5">
                  <c:v>3.097707986831665</c:v>
                </c:pt>
                <c:pt idx="6">
                  <c:v>3.0658485889434814</c:v>
                </c:pt>
                <c:pt idx="7">
                  <c:v>3.0640037059783936</c:v>
                </c:pt>
                <c:pt idx="8">
                  <c:v>3.4797632694244385</c:v>
                </c:pt>
                <c:pt idx="9">
                  <c:v>3.4892880916595459</c:v>
                </c:pt>
                <c:pt idx="11">
                  <c:v>3.2140209674835205</c:v>
                </c:pt>
                <c:pt idx="12">
                  <c:v>3.0964114665985107</c:v>
                </c:pt>
                <c:pt idx="13">
                  <c:v>3.0938453674316406</c:v>
                </c:pt>
                <c:pt idx="14">
                  <c:v>2.9928314685821533</c:v>
                </c:pt>
                <c:pt idx="15">
                  <c:v>2.9125001430511475</c:v>
                </c:pt>
              </c:numCache>
            </c:numRef>
          </c:val>
          <c:smooth val="0"/>
          <c:extLst>
            <c:ext xmlns:c16="http://schemas.microsoft.com/office/drawing/2014/chart" uri="{C3380CC4-5D6E-409C-BE32-E72D297353CC}">
              <c16:uniqueId val="{00000000-E172-40CA-94B1-6C6FA6F43BA0}"/>
            </c:ext>
          </c:extLst>
        </c:ser>
        <c:ser>
          <c:idx val="1"/>
          <c:order val="1"/>
          <c:tx>
            <c:strRef>
              <c:f>Sheet1!$E$1</c:f>
              <c:strCache>
                <c:ptCount val="1"/>
                <c:pt idx="0">
                  <c:v>Women (conditional)</c:v>
                </c:pt>
              </c:strCache>
            </c:strRef>
          </c:tx>
          <c:spPr>
            <a:ln w="28575" cap="rnd">
              <a:solidFill>
                <a:srgbClr val="E6007E"/>
              </a:solidFill>
              <a:round/>
            </a:ln>
            <a:effectLst/>
          </c:spPr>
          <c:marker>
            <c:symbol val="none"/>
          </c:marker>
          <c:cat>
            <c:strRef>
              <c:f>Sheet1!$A$3:$A$18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Sheet1!$E$3:$E$18</c:f>
              <c:numCache>
                <c:formatCode>General</c:formatCode>
                <c:ptCount val="16"/>
                <c:pt idx="0">
                  <c:v>5.7411680221557617</c:v>
                </c:pt>
                <c:pt idx="1">
                  <c:v>3.6604673862457275</c:v>
                </c:pt>
                <c:pt idx="2">
                  <c:v>2.9089188575744629</c:v>
                </c:pt>
                <c:pt idx="5">
                  <c:v>3.4948601722717285</c:v>
                </c:pt>
                <c:pt idx="6">
                  <c:v>3.3948471546173096</c:v>
                </c:pt>
                <c:pt idx="7">
                  <c:v>3.3577356338500977</c:v>
                </c:pt>
                <c:pt idx="8">
                  <c:v>4.0402965545654297</c:v>
                </c:pt>
                <c:pt idx="9">
                  <c:v>3.9096305370330811</c:v>
                </c:pt>
                <c:pt idx="11">
                  <c:v>3.4761412143707275</c:v>
                </c:pt>
                <c:pt idx="12">
                  <c:v>3.4741446971893311</c:v>
                </c:pt>
                <c:pt idx="13">
                  <c:v>3.3574843406677246</c:v>
                </c:pt>
                <c:pt idx="14">
                  <c:v>3.156038761138916</c:v>
                </c:pt>
                <c:pt idx="15">
                  <c:v>3.2339177131652832</c:v>
                </c:pt>
              </c:numCache>
            </c:numRef>
          </c:val>
          <c:smooth val="0"/>
          <c:extLst>
            <c:ext xmlns:c16="http://schemas.microsoft.com/office/drawing/2014/chart" uri="{C3380CC4-5D6E-409C-BE32-E72D297353CC}">
              <c16:uniqueId val="{00000001-E172-40CA-94B1-6C6FA6F43BA0}"/>
            </c:ext>
          </c:extLst>
        </c:ser>
        <c:dLbls>
          <c:showLegendKey val="0"/>
          <c:showVal val="0"/>
          <c:showCatName val="0"/>
          <c:showSerName val="0"/>
          <c:showPercent val="0"/>
          <c:showBubbleSize val="0"/>
        </c:dLbls>
        <c:smooth val="0"/>
        <c:axId val="1769036351"/>
        <c:axId val="1"/>
      </c:lineChart>
      <c:catAx>
        <c:axId val="176903635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
        <c:crosses val="autoZero"/>
        <c:auto val="1"/>
        <c:lblAlgn val="ctr"/>
        <c:lblOffset val="100"/>
        <c:noMultiLvlLbl val="0"/>
      </c:catAx>
      <c:valAx>
        <c:axId val="1"/>
        <c:scaling>
          <c:orientation val="minMax"/>
        </c:scaling>
        <c:delete val="0"/>
        <c:axPos val="l"/>
        <c:title>
          <c:tx>
            <c:rich>
              <a:bodyPr rot="0" vert="horz"/>
              <a:lstStyle/>
              <a:p>
                <a:pPr algn="l">
                  <a:defRPr/>
                </a:pPr>
                <a:r>
                  <a:rPr lang="en-GB" b="0"/>
                  <a:t>Average anxiety score</a:t>
                </a:r>
              </a:p>
            </c:rich>
          </c:tx>
          <c:layout>
            <c:manualLayout>
              <c:xMode val="edge"/>
              <c:yMode val="edge"/>
              <c:x val="3.271982593523428E-2"/>
              <c:y val="7.9632081388056591E-3"/>
            </c:manualLayout>
          </c:layout>
          <c:overlay val="0"/>
          <c:spPr>
            <a:noFill/>
            <a:ln w="25400">
              <a:noFill/>
            </a:ln>
          </c:spPr>
        </c:title>
        <c:numFmt formatCode="General" sourceLinked="1"/>
        <c:majorTickMark val="none"/>
        <c:minorTickMark val="none"/>
        <c:tickLblPos val="nextTo"/>
        <c:spPr>
          <a:ln w="6350">
            <a:noFill/>
          </a:ln>
        </c:spPr>
        <c:txPr>
          <a:bodyPr rot="-60000000" vert="horz"/>
          <a:lstStyle/>
          <a:p>
            <a:pPr>
              <a:defRPr/>
            </a:pPr>
            <a:endParaRPr lang="en-US"/>
          </a:p>
        </c:txPr>
        <c:crossAx val="1769036351"/>
        <c:crosses val="autoZero"/>
        <c:crossBetween val="between"/>
      </c:valAx>
      <c:spPr>
        <a:noFill/>
        <a:ln w="25400">
          <a:noFill/>
        </a:ln>
      </c:spPr>
    </c:plotArea>
    <c:legend>
      <c:legendPos val="r"/>
      <c:layout>
        <c:manualLayout>
          <c:xMode val="edge"/>
          <c:yMode val="edge"/>
          <c:x val="0.7293719898702109"/>
          <c:y val="3.3278517176503368E-2"/>
          <c:w val="0.25977219628483533"/>
          <c:h val="0.11825238659326877"/>
        </c:manualLayout>
      </c:layout>
      <c:overlay val="0"/>
      <c:spPr>
        <a:noFill/>
        <a:ln w="25400">
          <a:noFill/>
        </a:ln>
      </c:spPr>
      <c:txPr>
        <a:bodyPr rot="0" vert="horz"/>
        <a:lstStyle/>
        <a:p>
          <a:pPr>
            <a:defRPr sz="1000"/>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Avenir LT Std 55 Roman" panose="020B0503020203020204" pitchFamily="34" charset="0"/>
          <a:cs typeface="Arial" panose="020B0604020202020204" pitchFamily="34" charset="0"/>
        </a:defRPr>
      </a:pPr>
      <a:endParaRPr lang="en-US"/>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5281313281962524E-2"/>
          <c:y val="3.2958902289112586E-2"/>
          <c:w val="0.94472323257074842"/>
          <c:h val="0.87231236918170052"/>
        </c:manualLayout>
      </c:layout>
      <c:lineChart>
        <c:grouping val="standard"/>
        <c:varyColors val="0"/>
        <c:ser>
          <c:idx val="0"/>
          <c:order val="0"/>
          <c:tx>
            <c:strRef>
              <c:f>Kids!$B$1</c:f>
              <c:strCache>
                <c:ptCount val="1"/>
                <c:pt idx="0">
                  <c:v>men, no kids</c:v>
                </c:pt>
              </c:strCache>
            </c:strRef>
          </c:tx>
          <c:spPr>
            <a:ln w="28575" cap="rnd">
              <a:solidFill>
                <a:srgbClr val="2DAAE1"/>
              </a:solidFill>
              <a:prstDash val="solid"/>
              <a:round/>
            </a:ln>
            <a:effectLst/>
          </c:spPr>
          <c:marker>
            <c:symbol val="none"/>
          </c:marker>
          <c:cat>
            <c:strRef>
              <c:f>Kids!$A$3:$A$18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Kids!$B$3:$B$18</c:f>
              <c:numCache>
                <c:formatCode>General</c:formatCode>
                <c:ptCount val="16"/>
                <c:pt idx="0">
                  <c:v>4.732450008392334</c:v>
                </c:pt>
                <c:pt idx="1">
                  <c:v>2.8718488216400146</c:v>
                </c:pt>
                <c:pt idx="2">
                  <c:v>2.2074675559997559</c:v>
                </c:pt>
                <c:pt idx="5">
                  <c:v>2.7234599590301514</c:v>
                </c:pt>
                <c:pt idx="6">
                  <c:v>2.7489979267120361</c:v>
                </c:pt>
                <c:pt idx="7">
                  <c:v>2.6709175109863281</c:v>
                </c:pt>
                <c:pt idx="8">
                  <c:v>3.0191633701324463</c:v>
                </c:pt>
                <c:pt idx="9">
                  <c:v>3.1057043075561523</c:v>
                </c:pt>
                <c:pt idx="11">
                  <c:v>2.985318660736084</c:v>
                </c:pt>
                <c:pt idx="12">
                  <c:v>2.9286532402038574</c:v>
                </c:pt>
                <c:pt idx="13">
                  <c:v>2.9247884750366211</c:v>
                </c:pt>
                <c:pt idx="14">
                  <c:v>2.9013032913208008</c:v>
                </c:pt>
                <c:pt idx="15">
                  <c:v>2.7720320224761963</c:v>
                </c:pt>
              </c:numCache>
            </c:numRef>
          </c:val>
          <c:smooth val="0"/>
          <c:extLst>
            <c:ext xmlns:c16="http://schemas.microsoft.com/office/drawing/2014/chart" uri="{C3380CC4-5D6E-409C-BE32-E72D297353CC}">
              <c16:uniqueId val="{00000000-B2EF-4BDD-BF23-6EF1A09050EA}"/>
            </c:ext>
          </c:extLst>
        </c:ser>
        <c:ser>
          <c:idx val="1"/>
          <c:order val="1"/>
          <c:tx>
            <c:strRef>
              <c:f>Kids!$C$1</c:f>
              <c:strCache>
                <c:ptCount val="1"/>
                <c:pt idx="0">
                  <c:v>women, no kids</c:v>
                </c:pt>
              </c:strCache>
            </c:strRef>
          </c:tx>
          <c:spPr>
            <a:ln w="28575" cap="rnd">
              <a:solidFill>
                <a:srgbClr val="E6007E"/>
              </a:solidFill>
              <a:round/>
            </a:ln>
            <a:effectLst/>
          </c:spPr>
          <c:marker>
            <c:symbol val="none"/>
          </c:marker>
          <c:cat>
            <c:strRef>
              <c:f>Kids!$A$3:$A$18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Kids!$C$3:$C$18</c:f>
              <c:numCache>
                <c:formatCode>General</c:formatCode>
                <c:ptCount val="16"/>
                <c:pt idx="0">
                  <c:v>5.6803994178771973</c:v>
                </c:pt>
                <c:pt idx="1">
                  <c:v>3.3454248905181885</c:v>
                </c:pt>
                <c:pt idx="2">
                  <c:v>2.6571722030639648</c:v>
                </c:pt>
                <c:pt idx="5">
                  <c:v>3.33536696434021</c:v>
                </c:pt>
                <c:pt idx="6">
                  <c:v>3.1996972560882568</c:v>
                </c:pt>
                <c:pt idx="7">
                  <c:v>3.0958421230316162</c:v>
                </c:pt>
                <c:pt idx="8">
                  <c:v>3.6935923099517822</c:v>
                </c:pt>
                <c:pt idx="9">
                  <c:v>3.614112377166748</c:v>
                </c:pt>
                <c:pt idx="11">
                  <c:v>3.2322506904602051</c:v>
                </c:pt>
                <c:pt idx="12">
                  <c:v>3.2606682777404785</c:v>
                </c:pt>
                <c:pt idx="13">
                  <c:v>3.2040555477142334</c:v>
                </c:pt>
                <c:pt idx="14">
                  <c:v>2.9668984413146973</c:v>
                </c:pt>
                <c:pt idx="15">
                  <c:v>3.0765619277954102</c:v>
                </c:pt>
              </c:numCache>
            </c:numRef>
          </c:val>
          <c:smooth val="0"/>
          <c:extLst>
            <c:ext xmlns:c16="http://schemas.microsoft.com/office/drawing/2014/chart" uri="{C3380CC4-5D6E-409C-BE32-E72D297353CC}">
              <c16:uniqueId val="{00000001-B2EF-4BDD-BF23-6EF1A09050EA}"/>
            </c:ext>
          </c:extLst>
        </c:ser>
        <c:ser>
          <c:idx val="2"/>
          <c:order val="2"/>
          <c:tx>
            <c:strRef>
              <c:f>Kids!$D$1</c:f>
              <c:strCache>
                <c:ptCount val="1"/>
                <c:pt idx="0">
                  <c:v>men, kids</c:v>
                </c:pt>
              </c:strCache>
            </c:strRef>
          </c:tx>
          <c:spPr>
            <a:ln>
              <a:solidFill>
                <a:srgbClr val="2DAAE1"/>
              </a:solidFill>
              <a:prstDash val="dash"/>
            </a:ln>
          </c:spPr>
          <c:marker>
            <c:symbol val="none"/>
          </c:marker>
          <c:cat>
            <c:strRef>
              <c:f>Kids!$A$3:$A$18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Kids!$D$3:$D$18</c:f>
              <c:numCache>
                <c:formatCode>General</c:formatCode>
                <c:ptCount val="16"/>
                <c:pt idx="0">
                  <c:v>5.0930681228637695</c:v>
                </c:pt>
                <c:pt idx="1">
                  <c:v>3.2462446689605713</c:v>
                </c:pt>
                <c:pt idx="2">
                  <c:v>2.6649363040924072</c:v>
                </c:pt>
                <c:pt idx="5">
                  <c:v>3.4476523399353027</c:v>
                </c:pt>
                <c:pt idx="6">
                  <c:v>3.3565199375152588</c:v>
                </c:pt>
                <c:pt idx="7">
                  <c:v>3.436784029006958</c:v>
                </c:pt>
                <c:pt idx="8">
                  <c:v>3.8998258113861084</c:v>
                </c:pt>
                <c:pt idx="9">
                  <c:v>3.8548908233642578</c:v>
                </c:pt>
                <c:pt idx="11">
                  <c:v>3.4249939918518066</c:v>
                </c:pt>
                <c:pt idx="12">
                  <c:v>3.256373405456543</c:v>
                </c:pt>
                <c:pt idx="13">
                  <c:v>3.2609915733337402</c:v>
                </c:pt>
                <c:pt idx="14">
                  <c:v>3.0875167846679688</c:v>
                </c:pt>
                <c:pt idx="15">
                  <c:v>3.0416779518127441</c:v>
                </c:pt>
              </c:numCache>
            </c:numRef>
          </c:val>
          <c:smooth val="0"/>
          <c:extLst>
            <c:ext xmlns:c16="http://schemas.microsoft.com/office/drawing/2014/chart" uri="{C3380CC4-5D6E-409C-BE32-E72D297353CC}">
              <c16:uniqueId val="{00000002-B2EF-4BDD-BF23-6EF1A09050EA}"/>
            </c:ext>
          </c:extLst>
        </c:ser>
        <c:ser>
          <c:idx val="3"/>
          <c:order val="3"/>
          <c:tx>
            <c:strRef>
              <c:f>Kids!$E$1</c:f>
              <c:strCache>
                <c:ptCount val="1"/>
                <c:pt idx="0">
                  <c:v>women, kids</c:v>
                </c:pt>
              </c:strCache>
            </c:strRef>
          </c:tx>
          <c:spPr>
            <a:ln>
              <a:solidFill>
                <a:srgbClr val="E6007E"/>
              </a:solidFill>
              <a:prstDash val="dash"/>
            </a:ln>
          </c:spPr>
          <c:marker>
            <c:symbol val="none"/>
          </c:marker>
          <c:cat>
            <c:strRef>
              <c:f>Kids!$A$3:$A$18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Kids!$E$3:$E$18</c:f>
              <c:numCache>
                <c:formatCode>General</c:formatCode>
                <c:ptCount val="16"/>
                <c:pt idx="0">
                  <c:v>5.8426289558410645</c:v>
                </c:pt>
                <c:pt idx="1">
                  <c:v>4.1186056137084961</c:v>
                </c:pt>
                <c:pt idx="2">
                  <c:v>3.2763617038726807</c:v>
                </c:pt>
                <c:pt idx="5">
                  <c:v>3.7208683490753174</c:v>
                </c:pt>
                <c:pt idx="6">
                  <c:v>3.6866297721862793</c:v>
                </c:pt>
                <c:pt idx="7">
                  <c:v>3.7468626499176025</c:v>
                </c:pt>
                <c:pt idx="8">
                  <c:v>4.5547676086425781</c:v>
                </c:pt>
                <c:pt idx="9">
                  <c:v>4.3318524360656738</c:v>
                </c:pt>
                <c:pt idx="11">
                  <c:v>3.839529275894165</c:v>
                </c:pt>
                <c:pt idx="12">
                  <c:v>3.7893288135528564</c:v>
                </c:pt>
                <c:pt idx="13">
                  <c:v>3.5758271217346191</c:v>
                </c:pt>
                <c:pt idx="14">
                  <c:v>3.4207534790039063</c:v>
                </c:pt>
                <c:pt idx="15">
                  <c:v>3.456282377243042</c:v>
                </c:pt>
              </c:numCache>
            </c:numRef>
          </c:val>
          <c:smooth val="0"/>
          <c:extLst>
            <c:ext xmlns:c16="http://schemas.microsoft.com/office/drawing/2014/chart" uri="{C3380CC4-5D6E-409C-BE32-E72D297353CC}">
              <c16:uniqueId val="{00000003-B2EF-4BDD-BF23-6EF1A09050EA}"/>
            </c:ext>
          </c:extLst>
        </c:ser>
        <c:dLbls>
          <c:showLegendKey val="0"/>
          <c:showVal val="0"/>
          <c:showCatName val="0"/>
          <c:showSerName val="0"/>
          <c:showPercent val="0"/>
          <c:showBubbleSize val="0"/>
        </c:dLbls>
        <c:smooth val="0"/>
        <c:axId val="1769040927"/>
        <c:axId val="1"/>
      </c:lineChart>
      <c:catAx>
        <c:axId val="17690409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
        <c:crosses val="autoZero"/>
        <c:auto val="1"/>
        <c:lblAlgn val="ctr"/>
        <c:lblOffset val="100"/>
        <c:noMultiLvlLbl val="0"/>
      </c:catAx>
      <c:valAx>
        <c:axId val="1"/>
        <c:scaling>
          <c:orientation val="minMax"/>
          <c:max val="7"/>
          <c:min val="0"/>
        </c:scaling>
        <c:delete val="0"/>
        <c:axPos val="l"/>
        <c:title>
          <c:tx>
            <c:rich>
              <a:bodyPr rot="0" vert="horz"/>
              <a:lstStyle/>
              <a:p>
                <a:pPr algn="l">
                  <a:defRPr b="0"/>
                </a:pPr>
                <a:r>
                  <a:rPr lang="en-GB" b="0"/>
                  <a:t>Average anxiety score</a:t>
                </a:r>
              </a:p>
            </c:rich>
          </c:tx>
          <c:layout>
            <c:manualLayout>
              <c:xMode val="edge"/>
              <c:yMode val="edge"/>
              <c:x val="6.2873138033172057E-2"/>
              <c:y val="3.48187647430147E-2"/>
            </c:manualLayout>
          </c:layout>
          <c:overlay val="0"/>
          <c:spPr>
            <a:noFill/>
            <a:ln w="25400">
              <a:noFill/>
            </a:ln>
          </c:spPr>
        </c:title>
        <c:numFmt formatCode="General" sourceLinked="1"/>
        <c:majorTickMark val="none"/>
        <c:minorTickMark val="none"/>
        <c:tickLblPos val="nextTo"/>
        <c:spPr>
          <a:ln w="6350">
            <a:noFill/>
          </a:ln>
        </c:spPr>
        <c:txPr>
          <a:bodyPr rot="-60000000" vert="horz"/>
          <a:lstStyle/>
          <a:p>
            <a:pPr>
              <a:defRPr/>
            </a:pPr>
            <a:endParaRPr lang="en-US"/>
          </a:p>
        </c:txPr>
        <c:crossAx val="1769040927"/>
        <c:crosses val="autoZero"/>
        <c:crossBetween val="between"/>
      </c:valAx>
      <c:spPr>
        <a:noFill/>
        <a:ln w="25400">
          <a:noFill/>
        </a:ln>
      </c:spPr>
    </c:plotArea>
    <c:legend>
      <c:legendPos val="r"/>
      <c:layout>
        <c:manualLayout>
          <c:xMode val="edge"/>
          <c:yMode val="edge"/>
          <c:x val="0.77573313020125489"/>
          <c:y val="3.8107910561812668E-2"/>
          <c:w val="0.20017899305714643"/>
          <c:h val="0.22049766593560133"/>
        </c:manualLayout>
      </c:layout>
      <c:overlay val="0"/>
      <c:spPr>
        <a:noFill/>
        <a:ln w="25400">
          <a:noFill/>
        </a:ln>
      </c:spPr>
      <c:txPr>
        <a:bodyPr rot="0" vert="horz"/>
        <a:lstStyle/>
        <a:p>
          <a:pPr>
            <a:defRPr sz="800"/>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Avenir LT Std 55 Roman" panose="020B0503020203020204" pitchFamily="34" charset="0"/>
          <a:cs typeface="Arial" panose="020B0604020202020204" pitchFamily="34" charset="0"/>
        </a:defRPr>
      </a:pPr>
      <a:endParaRPr lang="en-US"/>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5281313281962524E-2"/>
          <c:y val="3.5111316967731974E-2"/>
          <c:w val="0.94472323257074842"/>
          <c:h val="0.85030888785960579"/>
        </c:manualLayout>
      </c:layout>
      <c:lineChart>
        <c:grouping val="standard"/>
        <c:varyColors val="0"/>
        <c:ser>
          <c:idx val="0"/>
          <c:order val="0"/>
          <c:tx>
            <c:strRef>
              <c:f>Single_Parent!$D$1</c:f>
              <c:strCache>
                <c:ptCount val="1"/>
                <c:pt idx="0">
                  <c:v>Two parent (conditional)</c:v>
                </c:pt>
              </c:strCache>
            </c:strRef>
          </c:tx>
          <c:spPr>
            <a:ln w="28575" cap="rnd">
              <a:solidFill>
                <a:srgbClr val="2DAAE1"/>
              </a:solidFill>
              <a:prstDash val="dash"/>
              <a:round/>
            </a:ln>
            <a:effectLst/>
          </c:spPr>
          <c:marker>
            <c:symbol val="none"/>
          </c:marker>
          <c:cat>
            <c:strRef>
              <c:f>Single_Parent!$A$3:$A$18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Single_Parent!$D$3:$D$18</c:f>
              <c:numCache>
                <c:formatCode>General</c:formatCode>
                <c:ptCount val="16"/>
                <c:pt idx="0">
                  <c:v>5.4637842178344727</c:v>
                </c:pt>
                <c:pt idx="1">
                  <c:v>3.8015251159667969</c:v>
                </c:pt>
                <c:pt idx="2">
                  <c:v>3.0325858592987061</c:v>
                </c:pt>
                <c:pt idx="5">
                  <c:v>3.6317803859710693</c:v>
                </c:pt>
                <c:pt idx="6">
                  <c:v>3.5645198822021484</c:v>
                </c:pt>
                <c:pt idx="7">
                  <c:v>3.5713727474212646</c:v>
                </c:pt>
                <c:pt idx="8">
                  <c:v>4.2753996849060059</c:v>
                </c:pt>
                <c:pt idx="9">
                  <c:v>4.1319708824157715</c:v>
                </c:pt>
                <c:pt idx="11">
                  <c:v>3.6652894020080566</c:v>
                </c:pt>
                <c:pt idx="12">
                  <c:v>3.644740104675293</c:v>
                </c:pt>
                <c:pt idx="13">
                  <c:v>3.5060067176818848</c:v>
                </c:pt>
                <c:pt idx="14">
                  <c:v>3.2798495292663574</c:v>
                </c:pt>
                <c:pt idx="15">
                  <c:v>3.2874035835266113</c:v>
                </c:pt>
              </c:numCache>
            </c:numRef>
          </c:val>
          <c:smooth val="0"/>
          <c:extLst>
            <c:ext xmlns:c16="http://schemas.microsoft.com/office/drawing/2014/chart" uri="{C3380CC4-5D6E-409C-BE32-E72D297353CC}">
              <c16:uniqueId val="{00000000-83D9-4DAF-8BE7-A07E27B7A7AF}"/>
            </c:ext>
          </c:extLst>
        </c:ser>
        <c:ser>
          <c:idx val="1"/>
          <c:order val="1"/>
          <c:tx>
            <c:strRef>
              <c:f>Single_Parent!$E$1</c:f>
              <c:strCache>
                <c:ptCount val="1"/>
                <c:pt idx="0">
                  <c:v>Single parent (conditional)</c:v>
                </c:pt>
              </c:strCache>
            </c:strRef>
          </c:tx>
          <c:spPr>
            <a:ln w="28575" cap="rnd">
              <a:solidFill>
                <a:srgbClr val="E6007E"/>
              </a:solidFill>
              <a:round/>
            </a:ln>
            <a:effectLst/>
          </c:spPr>
          <c:marker>
            <c:symbol val="none"/>
          </c:marker>
          <c:cat>
            <c:strRef>
              <c:f>Single_Parent!$A$3:$A$18</c:f>
              <c:strCache>
                <c:ptCount val="16"/>
                <c:pt idx="0">
                  <c:v>17/03</c:v>
                </c:pt>
                <c:pt idx="1">
                  <c:v>24/03</c:v>
                </c:pt>
                <c:pt idx="2">
                  <c:v>31/03</c:v>
                </c:pt>
                <c:pt idx="3">
                  <c:v>07/04</c:v>
                </c:pt>
                <c:pt idx="4">
                  <c:v>14/04</c:v>
                </c:pt>
                <c:pt idx="5">
                  <c:v>21/04</c:v>
                </c:pt>
                <c:pt idx="6">
                  <c:v>28/04</c:v>
                </c:pt>
                <c:pt idx="7">
                  <c:v>05/05</c:v>
                </c:pt>
                <c:pt idx="8">
                  <c:v>12/05</c:v>
                </c:pt>
                <c:pt idx="9">
                  <c:v>19/05</c:v>
                </c:pt>
                <c:pt idx="10">
                  <c:v>26/05</c:v>
                </c:pt>
                <c:pt idx="11">
                  <c:v>02/06</c:v>
                </c:pt>
                <c:pt idx="12">
                  <c:v>09/06</c:v>
                </c:pt>
                <c:pt idx="13">
                  <c:v>16/06</c:v>
                </c:pt>
                <c:pt idx="14">
                  <c:v>23/06</c:v>
                </c:pt>
                <c:pt idx="15">
                  <c:v>30/06</c:v>
                </c:pt>
              </c:strCache>
            </c:strRef>
          </c:cat>
          <c:val>
            <c:numRef>
              <c:f>Single_Parent!$E$3:$E$18</c:f>
              <c:numCache>
                <c:formatCode>General</c:formatCode>
                <c:ptCount val="16"/>
                <c:pt idx="0">
                  <c:v>5.8968105316162109</c:v>
                </c:pt>
                <c:pt idx="1">
                  <c:v>3.9040334224700928</c:v>
                </c:pt>
                <c:pt idx="2">
                  <c:v>2.9885351657867432</c:v>
                </c:pt>
                <c:pt idx="5">
                  <c:v>3.5663125514984131</c:v>
                </c:pt>
                <c:pt idx="6">
                  <c:v>3.7255349159240723</c:v>
                </c:pt>
                <c:pt idx="7">
                  <c:v>3.8040688037872314</c:v>
                </c:pt>
                <c:pt idx="8">
                  <c:v>4.4313597679138184</c:v>
                </c:pt>
                <c:pt idx="9">
                  <c:v>4.4249072074890137</c:v>
                </c:pt>
                <c:pt idx="11">
                  <c:v>3.7671968936920166</c:v>
                </c:pt>
                <c:pt idx="12">
                  <c:v>3.6638638973236084</c:v>
                </c:pt>
                <c:pt idx="13">
                  <c:v>3.4537351131439209</c:v>
                </c:pt>
                <c:pt idx="14">
                  <c:v>3.5092852115631104</c:v>
                </c:pt>
                <c:pt idx="15">
                  <c:v>3.4859704971313477</c:v>
                </c:pt>
              </c:numCache>
            </c:numRef>
          </c:val>
          <c:smooth val="0"/>
          <c:extLst>
            <c:ext xmlns:c16="http://schemas.microsoft.com/office/drawing/2014/chart" uri="{C3380CC4-5D6E-409C-BE32-E72D297353CC}">
              <c16:uniqueId val="{00000001-83D9-4DAF-8BE7-A07E27B7A7AF}"/>
            </c:ext>
          </c:extLst>
        </c:ser>
        <c:dLbls>
          <c:showLegendKey val="0"/>
          <c:showVal val="0"/>
          <c:showCatName val="0"/>
          <c:showSerName val="0"/>
          <c:showPercent val="0"/>
          <c:showBubbleSize val="0"/>
        </c:dLbls>
        <c:smooth val="0"/>
        <c:axId val="1769040095"/>
        <c:axId val="1"/>
      </c:lineChart>
      <c:catAx>
        <c:axId val="17690400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
        <c:crosses val="autoZero"/>
        <c:auto val="1"/>
        <c:lblAlgn val="ctr"/>
        <c:lblOffset val="100"/>
        <c:noMultiLvlLbl val="0"/>
      </c:catAx>
      <c:valAx>
        <c:axId val="1"/>
        <c:scaling>
          <c:orientation val="minMax"/>
        </c:scaling>
        <c:delete val="0"/>
        <c:axPos val="l"/>
        <c:title>
          <c:tx>
            <c:rich>
              <a:bodyPr rot="0" vert="horz"/>
              <a:lstStyle/>
              <a:p>
                <a:pPr algn="l">
                  <a:defRPr b="0"/>
                </a:pPr>
                <a:r>
                  <a:rPr lang="en-GB" b="0"/>
                  <a:t>Average anxiety score</a:t>
                </a:r>
              </a:p>
            </c:rich>
          </c:tx>
          <c:layout>
            <c:manualLayout>
              <c:xMode val="edge"/>
              <c:yMode val="edge"/>
              <c:x val="7.90327505317098E-2"/>
              <c:y val="1.03607637280634E-2"/>
            </c:manualLayout>
          </c:layout>
          <c:overlay val="0"/>
          <c:spPr>
            <a:noFill/>
            <a:ln w="25400">
              <a:noFill/>
            </a:ln>
          </c:spPr>
        </c:title>
        <c:numFmt formatCode="General" sourceLinked="1"/>
        <c:majorTickMark val="none"/>
        <c:minorTickMark val="none"/>
        <c:tickLblPos val="nextTo"/>
        <c:spPr>
          <a:ln w="6350">
            <a:noFill/>
          </a:ln>
        </c:spPr>
        <c:txPr>
          <a:bodyPr rot="-60000000" vert="horz"/>
          <a:lstStyle/>
          <a:p>
            <a:pPr>
              <a:defRPr/>
            </a:pPr>
            <a:endParaRPr lang="en-US"/>
          </a:p>
        </c:txPr>
        <c:crossAx val="1769040095"/>
        <c:crosses val="autoZero"/>
        <c:crossBetween val="between"/>
      </c:valAx>
      <c:spPr>
        <a:noFill/>
        <a:ln w="25400">
          <a:noFill/>
        </a:ln>
      </c:spPr>
    </c:plotArea>
    <c:legend>
      <c:legendPos val="r"/>
      <c:layout>
        <c:manualLayout>
          <c:xMode val="edge"/>
          <c:yMode val="edge"/>
          <c:x val="0.66175615152027989"/>
          <c:y val="2.6388760228500844E-2"/>
          <c:w val="0.33606892526359816"/>
          <c:h val="0.14922569310793221"/>
        </c:manualLayout>
      </c:layout>
      <c:overlay val="0"/>
      <c:spPr>
        <a:noFill/>
        <a:ln w="25400">
          <a:noFill/>
        </a:ln>
      </c:spPr>
      <c:txPr>
        <a:bodyPr rot="0" vert="horz"/>
        <a:lstStyle/>
        <a:p>
          <a:pPr>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100">
          <a:latin typeface="Avenir LT Std 55 Roman" panose="020B0503020203020204" pitchFamily="34" charset="0"/>
          <a:cs typeface="Arial" panose="020B0604020202020204" pitchFamily="34" charset="0"/>
        </a:defRPr>
      </a:pPr>
      <a:endParaRPr lang="en-US"/>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0.87838</cdr:x>
      <cdr:y>0.00288</cdr:y>
    </cdr:from>
    <cdr:to>
      <cdr:x>0.87988</cdr:x>
      <cdr:y>0.85591</cdr:y>
    </cdr:to>
    <cdr:cxnSp macro="">
      <cdr:nvCxnSpPr>
        <cdr:cNvPr id="3" name="Straight Connector 2">
          <a:extLst xmlns:a="http://schemas.openxmlformats.org/drawingml/2006/main">
            <a:ext uri="{FF2B5EF4-FFF2-40B4-BE49-F238E27FC236}">
              <a16:creationId xmlns:a16="http://schemas.microsoft.com/office/drawing/2014/main" id="{28576533-F2EB-403A-B8C5-C491190527DB}"/>
            </a:ext>
          </a:extLst>
        </cdr:cNvPr>
        <cdr:cNvCxnSpPr/>
      </cdr:nvCxnSpPr>
      <cdr:spPr>
        <a:xfrm xmlns:a="http://schemas.openxmlformats.org/drawingml/2006/main" flipH="1" flipV="1">
          <a:off x="5572126" y="9525"/>
          <a:ext cx="9525" cy="2819400"/>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0.19119</cdr:x>
      <cdr:y>0</cdr:y>
    </cdr:from>
    <cdr:to>
      <cdr:x>0.19269</cdr:x>
      <cdr:y>0.85303</cdr:y>
    </cdr:to>
    <cdr:cxnSp macro="">
      <cdr:nvCxnSpPr>
        <cdr:cNvPr id="4" name="Straight Connector 3">
          <a:extLst xmlns:a="http://schemas.openxmlformats.org/drawingml/2006/main">
            <a:ext uri="{FF2B5EF4-FFF2-40B4-BE49-F238E27FC236}">
              <a16:creationId xmlns:a16="http://schemas.microsoft.com/office/drawing/2014/main" id="{99A6985B-A3AB-4428-B768-FE870D46EFD3}"/>
            </a:ext>
          </a:extLst>
        </cdr:cNvPr>
        <cdr:cNvCxnSpPr/>
      </cdr:nvCxnSpPr>
      <cdr:spPr>
        <a:xfrm xmlns:a="http://schemas.openxmlformats.org/drawingml/2006/main" flipH="1" flipV="1">
          <a:off x="1212850" y="0"/>
          <a:ext cx="9525" cy="2819400"/>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0.21822</cdr:x>
      <cdr:y>0.00672</cdr:y>
    </cdr:from>
    <cdr:to>
      <cdr:x>0.21972</cdr:x>
      <cdr:y>0.85975</cdr:y>
    </cdr:to>
    <cdr:cxnSp macro="">
      <cdr:nvCxnSpPr>
        <cdr:cNvPr id="5" name="Straight Connector 4">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1384300" y="22225"/>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0.37287</cdr:x>
      <cdr:y>0.00096</cdr:y>
    </cdr:from>
    <cdr:to>
      <cdr:x>0.37437</cdr:x>
      <cdr:y>0.85399</cdr:y>
    </cdr:to>
    <cdr:cxnSp macro="">
      <cdr:nvCxnSpPr>
        <cdr:cNvPr id="6" name="Straight Connector 5">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2365375" y="3175"/>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0.33383</cdr:x>
      <cdr:y>0</cdr:y>
    </cdr:from>
    <cdr:to>
      <cdr:x>0.33533</cdr:x>
      <cdr:y>0.85303</cdr:y>
    </cdr:to>
    <cdr:cxnSp macro="">
      <cdr:nvCxnSpPr>
        <cdr:cNvPr id="7" name="Straight Connector 6">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2117725" y="0"/>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0.5035</cdr:x>
      <cdr:y>0.01249</cdr:y>
    </cdr:from>
    <cdr:to>
      <cdr:x>0.505</cdr:x>
      <cdr:y>0.86552</cdr:y>
    </cdr:to>
    <cdr:cxnSp macro="">
      <cdr:nvCxnSpPr>
        <cdr:cNvPr id="8" name="Straight Connector 7">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3194050" y="41275"/>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0.48398</cdr:x>
      <cdr:y>0</cdr:y>
    </cdr:from>
    <cdr:to>
      <cdr:x>0.48548</cdr:x>
      <cdr:y>0.85303</cdr:y>
    </cdr:to>
    <cdr:cxnSp macro="">
      <cdr:nvCxnSpPr>
        <cdr:cNvPr id="9" name="Straight Connector 8">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3070225" y="0"/>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0.61762</cdr:x>
      <cdr:y>0.00384</cdr:y>
    </cdr:from>
    <cdr:to>
      <cdr:x>0.61912</cdr:x>
      <cdr:y>0.85687</cdr:y>
    </cdr:to>
    <cdr:cxnSp macro="">
      <cdr:nvCxnSpPr>
        <cdr:cNvPr id="10" name="Straight Connector 9">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3917950" y="12700"/>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0.58609</cdr:x>
      <cdr:y>0</cdr:y>
    </cdr:from>
    <cdr:to>
      <cdr:x>0.58759</cdr:x>
      <cdr:y>0.85303</cdr:y>
    </cdr:to>
    <cdr:cxnSp macro="">
      <cdr:nvCxnSpPr>
        <cdr:cNvPr id="11" name="Straight Connector 10">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3717925" y="0"/>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0.73023</cdr:x>
      <cdr:y>0</cdr:y>
    </cdr:from>
    <cdr:to>
      <cdr:x>0.73173</cdr:x>
      <cdr:y>0.85303</cdr:y>
    </cdr:to>
    <cdr:cxnSp macro="">
      <cdr:nvCxnSpPr>
        <cdr:cNvPr id="12" name="Straight Connector 11">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4632325" y="0"/>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0.75425</cdr:x>
      <cdr:y>0</cdr:y>
    </cdr:from>
    <cdr:to>
      <cdr:x>0.75575</cdr:x>
      <cdr:y>0.85303</cdr:y>
    </cdr:to>
    <cdr:cxnSp macro="">
      <cdr:nvCxnSpPr>
        <cdr:cNvPr id="13" name="Straight Connector 12">
          <a:extLst xmlns:a="http://schemas.openxmlformats.org/drawingml/2006/main">
            <a:ext uri="{FF2B5EF4-FFF2-40B4-BE49-F238E27FC236}">
              <a16:creationId xmlns:a16="http://schemas.microsoft.com/office/drawing/2014/main" id="{829D3121-CCC5-4544-8684-A83F1FC8BF3C}"/>
            </a:ext>
          </a:extLst>
        </cdr:cNvPr>
        <cdr:cNvCxnSpPr/>
      </cdr:nvCxnSpPr>
      <cdr:spPr>
        <a:xfrm xmlns:a="http://schemas.openxmlformats.org/drawingml/2006/main" flipH="1" flipV="1">
          <a:off x="4784725" y="0"/>
          <a:ext cx="9515" cy="2819413"/>
        </a:xfrm>
        <a:prstGeom xmlns:a="http://schemas.openxmlformats.org/drawingml/2006/main" prst="line">
          <a:avLst/>
        </a:prstGeom>
        <a:ln xmlns:a="http://schemas.openxmlformats.org/drawingml/2006/main">
          <a:solidFill>
            <a:schemeClr val="bg1">
              <a:lumMod val="50000"/>
            </a:schemeClr>
          </a:solidFill>
          <a:prstDash val="dash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0.18018</cdr:x>
      <cdr:y>0.01441</cdr:y>
    </cdr:from>
    <cdr:to>
      <cdr:x>0.24324</cdr:x>
      <cdr:y>0.07205</cdr:y>
    </cdr:to>
    <cdr:sp macro="" textlink="">
      <cdr:nvSpPr>
        <cdr:cNvPr id="2" name="TextBox 1">
          <a:extLst xmlns:a="http://schemas.openxmlformats.org/drawingml/2006/main">
            <a:ext uri="{FF2B5EF4-FFF2-40B4-BE49-F238E27FC236}">
              <a16:creationId xmlns:a16="http://schemas.microsoft.com/office/drawing/2014/main" id="{4DB9E4BD-ECC3-4D9C-950A-97C2286C4505}"/>
            </a:ext>
          </a:extLst>
        </cdr:cNvPr>
        <cdr:cNvSpPr txBox="1"/>
      </cdr:nvSpPr>
      <cdr:spPr>
        <a:xfrm xmlns:a="http://schemas.openxmlformats.org/drawingml/2006/main">
          <a:off x="1143001" y="47625"/>
          <a:ext cx="400050" cy="1905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a:t>HT</a:t>
          </a:r>
        </a:p>
      </cdr:txBody>
    </cdr:sp>
  </cdr:relSizeAnchor>
  <cdr:relSizeAnchor xmlns:cdr="http://schemas.openxmlformats.org/drawingml/2006/chartDrawing">
    <cdr:from>
      <cdr:x>0.46747</cdr:x>
      <cdr:y>0</cdr:y>
    </cdr:from>
    <cdr:to>
      <cdr:x>0.53053</cdr:x>
      <cdr:y>0.05764</cdr:y>
    </cdr:to>
    <cdr:sp macro="" textlink="">
      <cdr:nvSpPr>
        <cdr:cNvPr id="14" name="TextBox 1">
          <a:extLst xmlns:a="http://schemas.openxmlformats.org/drawingml/2006/main">
            <a:ext uri="{FF2B5EF4-FFF2-40B4-BE49-F238E27FC236}">
              <a16:creationId xmlns:a16="http://schemas.microsoft.com/office/drawing/2014/main" id="{0E73844E-3193-4962-A4F0-9C5C0878FF04}"/>
            </a:ext>
          </a:extLst>
        </cdr:cNvPr>
        <cdr:cNvSpPr txBox="1"/>
      </cdr:nvSpPr>
      <cdr:spPr>
        <a:xfrm xmlns:a="http://schemas.openxmlformats.org/drawingml/2006/main">
          <a:off x="2965450" y="0"/>
          <a:ext cx="400050" cy="1905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t>HT</a:t>
          </a:r>
        </a:p>
      </cdr:txBody>
    </cdr:sp>
  </cdr:relSizeAnchor>
  <cdr:relSizeAnchor xmlns:cdr="http://schemas.openxmlformats.org/drawingml/2006/chartDrawing">
    <cdr:from>
      <cdr:x>0.71672</cdr:x>
      <cdr:y>0</cdr:y>
    </cdr:from>
    <cdr:to>
      <cdr:x>0.77978</cdr:x>
      <cdr:y>0.05764</cdr:y>
    </cdr:to>
    <cdr:sp macro="" textlink="">
      <cdr:nvSpPr>
        <cdr:cNvPr id="15" name="TextBox 1">
          <a:extLst xmlns:a="http://schemas.openxmlformats.org/drawingml/2006/main">
            <a:ext uri="{FF2B5EF4-FFF2-40B4-BE49-F238E27FC236}">
              <a16:creationId xmlns:a16="http://schemas.microsoft.com/office/drawing/2014/main" id="{0E73844E-3193-4962-A4F0-9C5C0878FF04}"/>
            </a:ext>
          </a:extLst>
        </cdr:cNvPr>
        <cdr:cNvSpPr txBox="1"/>
      </cdr:nvSpPr>
      <cdr:spPr>
        <a:xfrm xmlns:a="http://schemas.openxmlformats.org/drawingml/2006/main">
          <a:off x="4546600" y="0"/>
          <a:ext cx="400050" cy="19050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t>HT</a:t>
          </a:r>
        </a:p>
      </cdr:txBody>
    </cdr:sp>
  </cdr:relSizeAnchor>
  <cdr:relSizeAnchor xmlns:cdr="http://schemas.openxmlformats.org/drawingml/2006/chartDrawing">
    <cdr:from>
      <cdr:x>0.31381</cdr:x>
      <cdr:y>0</cdr:y>
    </cdr:from>
    <cdr:to>
      <cdr:x>0.4039</cdr:x>
      <cdr:y>0.05476</cdr:y>
    </cdr:to>
    <cdr:sp macro="" textlink="">
      <cdr:nvSpPr>
        <cdr:cNvPr id="16" name="TextBox 1">
          <a:extLst xmlns:a="http://schemas.openxmlformats.org/drawingml/2006/main">
            <a:ext uri="{FF2B5EF4-FFF2-40B4-BE49-F238E27FC236}">
              <a16:creationId xmlns:a16="http://schemas.microsoft.com/office/drawing/2014/main" id="{0E73844E-3193-4962-A4F0-9C5C0878FF04}"/>
            </a:ext>
          </a:extLst>
        </cdr:cNvPr>
        <cdr:cNvSpPr txBox="1"/>
      </cdr:nvSpPr>
      <cdr:spPr>
        <a:xfrm xmlns:a="http://schemas.openxmlformats.org/drawingml/2006/main">
          <a:off x="1990726" y="0"/>
          <a:ext cx="571500" cy="18097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t>Xmas</a:t>
          </a:r>
        </a:p>
      </cdr:txBody>
    </cdr:sp>
  </cdr:relSizeAnchor>
  <cdr:relSizeAnchor xmlns:cdr="http://schemas.openxmlformats.org/drawingml/2006/chartDrawing">
    <cdr:from>
      <cdr:x>0.56506</cdr:x>
      <cdr:y>0</cdr:y>
    </cdr:from>
    <cdr:to>
      <cdr:x>0.66142</cdr:x>
      <cdr:y>0.05422</cdr:y>
    </cdr:to>
    <cdr:sp macro="" textlink="">
      <cdr:nvSpPr>
        <cdr:cNvPr id="17" name="TextBox 1">
          <a:extLst xmlns:a="http://schemas.openxmlformats.org/drawingml/2006/main">
            <a:ext uri="{FF2B5EF4-FFF2-40B4-BE49-F238E27FC236}">
              <a16:creationId xmlns:a16="http://schemas.microsoft.com/office/drawing/2014/main" id="{D79B8F4C-2700-4C08-9863-E4FFE8062A9E}"/>
            </a:ext>
          </a:extLst>
        </cdr:cNvPr>
        <cdr:cNvSpPr txBox="1"/>
      </cdr:nvSpPr>
      <cdr:spPr>
        <a:xfrm xmlns:a="http://schemas.openxmlformats.org/drawingml/2006/main">
          <a:off x="3238647" y="0"/>
          <a:ext cx="552303" cy="16192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t>Easter</a:t>
          </a:r>
        </a:p>
      </cdr:txBody>
    </cdr:sp>
  </cdr:relSizeAnchor>
  <cdr:relSizeAnchor xmlns:cdr="http://schemas.openxmlformats.org/drawingml/2006/chartDrawing">
    <cdr:from>
      <cdr:x>0.87082</cdr:x>
      <cdr:y>0</cdr:y>
    </cdr:from>
    <cdr:to>
      <cdr:x>1</cdr:x>
      <cdr:y>0.05422</cdr:y>
    </cdr:to>
    <cdr:sp macro="" textlink="">
      <cdr:nvSpPr>
        <cdr:cNvPr id="18" name="TextBox 1">
          <a:extLst xmlns:a="http://schemas.openxmlformats.org/drawingml/2006/main">
            <a:ext uri="{FF2B5EF4-FFF2-40B4-BE49-F238E27FC236}">
              <a16:creationId xmlns:a16="http://schemas.microsoft.com/office/drawing/2014/main" id="{D79B8F4C-2700-4C08-9863-E4FFE8062A9E}"/>
            </a:ext>
          </a:extLst>
        </cdr:cNvPr>
        <cdr:cNvSpPr txBox="1"/>
      </cdr:nvSpPr>
      <cdr:spPr>
        <a:xfrm xmlns:a="http://schemas.openxmlformats.org/drawingml/2006/main">
          <a:off x="4991101" y="0"/>
          <a:ext cx="740409" cy="161925"/>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en-GB" sz="1100"/>
            <a:t>Summer</a:t>
          </a:r>
        </a:p>
      </cdr:txBody>
    </cdr:sp>
  </cdr:relSizeAnchor>
</c:userShapes>
</file>

<file path=word/drawings/drawing2.xml><?xml version="1.0" encoding="utf-8"?>
<c:userShapes xmlns:c="http://schemas.openxmlformats.org/drawingml/2006/chart">
  <cdr:relSizeAnchor xmlns:cdr="http://schemas.openxmlformats.org/drawingml/2006/chartDrawing">
    <cdr:from>
      <cdr:x>0.71687</cdr:x>
      <cdr:y>0.03415</cdr:y>
    </cdr:from>
    <cdr:to>
      <cdr:x>0.71845</cdr:x>
      <cdr:y>0.89649</cdr:y>
    </cdr:to>
    <cdr:cxnSp macro="">
      <cdr:nvCxnSpPr>
        <cdr:cNvPr id="3" name="Straight Connector 2">
          <a:extLst xmlns:a="http://schemas.openxmlformats.org/drawingml/2006/main">
            <a:ext uri="{FF2B5EF4-FFF2-40B4-BE49-F238E27FC236}">
              <a16:creationId xmlns:a16="http://schemas.microsoft.com/office/drawing/2014/main" id="{926E9911-A360-4C7D-8ECD-820D3841B72F}"/>
            </a:ext>
          </a:extLst>
        </cdr:cNvPr>
        <cdr:cNvCxnSpPr/>
      </cdr:nvCxnSpPr>
      <cdr:spPr>
        <a:xfrm xmlns:a="http://schemas.openxmlformats.org/drawingml/2006/main" flipV="1">
          <a:off x="4108726" y="119407"/>
          <a:ext cx="9056" cy="3015556"/>
        </a:xfrm>
        <a:prstGeom xmlns:a="http://schemas.openxmlformats.org/drawingml/2006/main" prst="line">
          <a:avLst/>
        </a:prstGeom>
        <a:ln xmlns:a="http://schemas.openxmlformats.org/drawingml/2006/main">
          <a:solidFill>
            <a:schemeClr val="tx1"/>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3.xml><?xml version="1.0" encoding="utf-8"?>
<c:userShapes xmlns:c="http://schemas.openxmlformats.org/drawingml/2006/chart">
  <cdr:relSizeAnchor xmlns:cdr="http://schemas.openxmlformats.org/drawingml/2006/chartDrawing">
    <cdr:from>
      <cdr:x>0.18382</cdr:x>
      <cdr:y>0.01807</cdr:y>
    </cdr:from>
    <cdr:to>
      <cdr:x>0.1875</cdr:x>
      <cdr:y>0.89458</cdr:y>
    </cdr:to>
    <cdr:cxnSp macro="">
      <cdr:nvCxnSpPr>
        <cdr:cNvPr id="3" name="Straight Connector 2">
          <a:extLst xmlns:a="http://schemas.openxmlformats.org/drawingml/2006/main">
            <a:ext uri="{FF2B5EF4-FFF2-40B4-BE49-F238E27FC236}">
              <a16:creationId xmlns:a16="http://schemas.microsoft.com/office/drawing/2014/main" id="{D3435044-466B-48B1-A802-2C58E0C5CA84}"/>
            </a:ext>
          </a:extLst>
        </cdr:cNvPr>
        <cdr:cNvCxnSpPr/>
      </cdr:nvCxnSpPr>
      <cdr:spPr>
        <a:xfrm xmlns:a="http://schemas.openxmlformats.org/drawingml/2006/main" flipH="1" flipV="1">
          <a:off x="952500" y="57150"/>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0.21201</cdr:x>
      <cdr:y>0.02209</cdr:y>
    </cdr:from>
    <cdr:to>
      <cdr:x>0.21569</cdr:x>
      <cdr:y>0.89859</cdr:y>
    </cdr:to>
    <cdr:cxnSp macro="">
      <cdr:nvCxnSpPr>
        <cdr:cNvPr id="4" name="Straight Connector 3">
          <a:extLst xmlns:a="http://schemas.openxmlformats.org/drawingml/2006/main">
            <a:ext uri="{FF2B5EF4-FFF2-40B4-BE49-F238E27FC236}">
              <a16:creationId xmlns:a16="http://schemas.microsoft.com/office/drawing/2014/main" id="{B932F533-F7BF-4523-BD46-9C2DAFB63B6B}"/>
            </a:ext>
          </a:extLst>
        </cdr:cNvPr>
        <cdr:cNvCxnSpPr/>
      </cdr:nvCxnSpPr>
      <cdr:spPr>
        <a:xfrm xmlns:a="http://schemas.openxmlformats.org/drawingml/2006/main" flipH="1" flipV="1">
          <a:off x="1098550" y="69850"/>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0.32414</cdr:x>
      <cdr:y>0.02209</cdr:y>
    </cdr:from>
    <cdr:to>
      <cdr:x>0.32782</cdr:x>
      <cdr:y>0.89859</cdr:y>
    </cdr:to>
    <cdr:cxnSp macro="">
      <cdr:nvCxnSpPr>
        <cdr:cNvPr id="5" name="Straight Connector 4">
          <a:extLst xmlns:a="http://schemas.openxmlformats.org/drawingml/2006/main">
            <a:ext uri="{FF2B5EF4-FFF2-40B4-BE49-F238E27FC236}">
              <a16:creationId xmlns:a16="http://schemas.microsoft.com/office/drawing/2014/main" id="{E1D0D1A9-D180-4D1C-B3EF-5748C5D0E092}"/>
            </a:ext>
          </a:extLst>
        </cdr:cNvPr>
        <cdr:cNvCxnSpPr/>
      </cdr:nvCxnSpPr>
      <cdr:spPr>
        <a:xfrm xmlns:a="http://schemas.openxmlformats.org/drawingml/2006/main" flipH="1" flipV="1">
          <a:off x="1679575" y="69850"/>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0.37194</cdr:x>
      <cdr:y>0.02811</cdr:y>
    </cdr:from>
    <cdr:to>
      <cdr:x>0.37561</cdr:x>
      <cdr:y>0.90462</cdr:y>
    </cdr:to>
    <cdr:cxnSp macro="">
      <cdr:nvCxnSpPr>
        <cdr:cNvPr id="6" name="Straight Connector 5">
          <a:extLst xmlns:a="http://schemas.openxmlformats.org/drawingml/2006/main">
            <a:ext uri="{FF2B5EF4-FFF2-40B4-BE49-F238E27FC236}">
              <a16:creationId xmlns:a16="http://schemas.microsoft.com/office/drawing/2014/main" id="{48E6D1F9-DF3D-4017-B582-46FD8F22A75E}"/>
            </a:ext>
          </a:extLst>
        </cdr:cNvPr>
        <cdr:cNvCxnSpPr/>
      </cdr:nvCxnSpPr>
      <cdr:spPr>
        <a:xfrm xmlns:a="http://schemas.openxmlformats.org/drawingml/2006/main" flipH="1" flipV="1">
          <a:off x="1927225" y="88900"/>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0.59988</cdr:x>
      <cdr:y>0.04618</cdr:y>
    </cdr:from>
    <cdr:to>
      <cdr:x>0.60355</cdr:x>
      <cdr:y>0.92269</cdr:y>
    </cdr:to>
    <cdr:cxnSp macro="">
      <cdr:nvCxnSpPr>
        <cdr:cNvPr id="7" name="Straight Connector 6">
          <a:extLst xmlns:a="http://schemas.openxmlformats.org/drawingml/2006/main">
            <a:ext uri="{FF2B5EF4-FFF2-40B4-BE49-F238E27FC236}">
              <a16:creationId xmlns:a16="http://schemas.microsoft.com/office/drawing/2014/main" id="{8C8B4F41-4B0D-4FE0-82D9-8F68A0CD2742}"/>
            </a:ext>
          </a:extLst>
        </cdr:cNvPr>
        <cdr:cNvCxnSpPr/>
      </cdr:nvCxnSpPr>
      <cdr:spPr>
        <a:xfrm xmlns:a="http://schemas.openxmlformats.org/drawingml/2006/main" flipH="1" flipV="1">
          <a:off x="3108325" y="146050"/>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0.47205</cdr:x>
      <cdr:y>0.02955</cdr:y>
    </cdr:from>
    <cdr:to>
      <cdr:x>0.47572</cdr:x>
      <cdr:y>0.90605</cdr:y>
    </cdr:to>
    <cdr:cxnSp macro="">
      <cdr:nvCxnSpPr>
        <cdr:cNvPr id="9" name="Straight Connector 8">
          <a:extLst xmlns:a="http://schemas.openxmlformats.org/drawingml/2006/main">
            <a:ext uri="{FF2B5EF4-FFF2-40B4-BE49-F238E27FC236}">
              <a16:creationId xmlns:a16="http://schemas.microsoft.com/office/drawing/2014/main" id="{E134518D-9FA1-485A-B99D-17033D122309}"/>
            </a:ext>
          </a:extLst>
        </cdr:cNvPr>
        <cdr:cNvCxnSpPr/>
      </cdr:nvCxnSpPr>
      <cdr:spPr>
        <a:xfrm xmlns:a="http://schemas.openxmlformats.org/drawingml/2006/main" flipH="1" flipV="1">
          <a:off x="2886592" y="113159"/>
          <a:ext cx="22442" cy="3356162"/>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0.64032</cdr:x>
      <cdr:y>0.04618</cdr:y>
    </cdr:from>
    <cdr:to>
      <cdr:x>0.644</cdr:x>
      <cdr:y>0.92269</cdr:y>
    </cdr:to>
    <cdr:cxnSp macro="">
      <cdr:nvCxnSpPr>
        <cdr:cNvPr id="10" name="Straight Connector 9">
          <a:extLst xmlns:a="http://schemas.openxmlformats.org/drawingml/2006/main">
            <a:ext uri="{FF2B5EF4-FFF2-40B4-BE49-F238E27FC236}">
              <a16:creationId xmlns:a16="http://schemas.microsoft.com/office/drawing/2014/main" id="{E4DB7E2F-F28D-46E0-97E3-209667262743}"/>
            </a:ext>
          </a:extLst>
        </cdr:cNvPr>
        <cdr:cNvCxnSpPr/>
      </cdr:nvCxnSpPr>
      <cdr:spPr>
        <a:xfrm xmlns:a="http://schemas.openxmlformats.org/drawingml/2006/main" flipH="1" flipV="1">
          <a:off x="3317875" y="146050"/>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0.74142</cdr:x>
      <cdr:y>0.0251</cdr:y>
    </cdr:from>
    <cdr:to>
      <cdr:x>0.7451</cdr:x>
      <cdr:y>0.90161</cdr:y>
    </cdr:to>
    <cdr:cxnSp macro="">
      <cdr:nvCxnSpPr>
        <cdr:cNvPr id="11" name="Straight Connector 10">
          <a:extLst xmlns:a="http://schemas.openxmlformats.org/drawingml/2006/main">
            <a:ext uri="{FF2B5EF4-FFF2-40B4-BE49-F238E27FC236}">
              <a16:creationId xmlns:a16="http://schemas.microsoft.com/office/drawing/2014/main" id="{04175B62-D279-4F6C-A994-462ECF4BB25D}"/>
            </a:ext>
          </a:extLst>
        </cdr:cNvPr>
        <cdr:cNvCxnSpPr/>
      </cdr:nvCxnSpPr>
      <cdr:spPr>
        <a:xfrm xmlns:a="http://schemas.openxmlformats.org/drawingml/2006/main" flipH="1" flipV="1">
          <a:off x="3841750" y="79375"/>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0.519</cdr:x>
      <cdr:y>0.03112</cdr:y>
    </cdr:from>
    <cdr:to>
      <cdr:x>0.52267</cdr:x>
      <cdr:y>0.90763</cdr:y>
    </cdr:to>
    <cdr:cxnSp macro="">
      <cdr:nvCxnSpPr>
        <cdr:cNvPr id="12" name="Straight Connector 11">
          <a:extLst xmlns:a="http://schemas.openxmlformats.org/drawingml/2006/main">
            <a:ext uri="{FF2B5EF4-FFF2-40B4-BE49-F238E27FC236}">
              <a16:creationId xmlns:a16="http://schemas.microsoft.com/office/drawing/2014/main" id="{AFC9E6C5-9030-45E0-8A38-CC9658EC5980}"/>
            </a:ext>
          </a:extLst>
        </cdr:cNvPr>
        <cdr:cNvCxnSpPr/>
      </cdr:nvCxnSpPr>
      <cdr:spPr>
        <a:xfrm xmlns:a="http://schemas.openxmlformats.org/drawingml/2006/main" flipH="1" flipV="1">
          <a:off x="2689225" y="98425"/>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0.77451</cdr:x>
      <cdr:y>0.02811</cdr:y>
    </cdr:from>
    <cdr:to>
      <cdr:x>0.77819</cdr:x>
      <cdr:y>0.90462</cdr:y>
    </cdr:to>
    <cdr:cxnSp macro="">
      <cdr:nvCxnSpPr>
        <cdr:cNvPr id="13" name="Straight Connector 12">
          <a:extLst xmlns:a="http://schemas.openxmlformats.org/drawingml/2006/main">
            <a:ext uri="{FF2B5EF4-FFF2-40B4-BE49-F238E27FC236}">
              <a16:creationId xmlns:a16="http://schemas.microsoft.com/office/drawing/2014/main" id="{9EE9CDE9-46BF-439B-8206-AB70A2A60C3B}"/>
            </a:ext>
          </a:extLst>
        </cdr:cNvPr>
        <cdr:cNvCxnSpPr/>
      </cdr:nvCxnSpPr>
      <cdr:spPr>
        <a:xfrm xmlns:a="http://schemas.openxmlformats.org/drawingml/2006/main" flipH="1" flipV="1">
          <a:off x="4013200" y="88900"/>
          <a:ext cx="19050" cy="2771775"/>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0.86727</cdr:x>
      <cdr:y>0.03702</cdr:y>
    </cdr:from>
    <cdr:to>
      <cdr:x>0.87094</cdr:x>
      <cdr:y>0.91352</cdr:y>
    </cdr:to>
    <cdr:cxnSp macro="">
      <cdr:nvCxnSpPr>
        <cdr:cNvPr id="14" name="Straight Connector 13">
          <a:extLst xmlns:a="http://schemas.openxmlformats.org/drawingml/2006/main">
            <a:ext uri="{FF2B5EF4-FFF2-40B4-BE49-F238E27FC236}">
              <a16:creationId xmlns:a16="http://schemas.microsoft.com/office/drawing/2014/main" id="{63810DE3-9E7E-4892-B999-7871D4D01893}"/>
            </a:ext>
          </a:extLst>
        </cdr:cNvPr>
        <cdr:cNvCxnSpPr/>
      </cdr:nvCxnSpPr>
      <cdr:spPr>
        <a:xfrm xmlns:a="http://schemas.openxmlformats.org/drawingml/2006/main" flipH="1" flipV="1">
          <a:off x="5303382" y="141734"/>
          <a:ext cx="22442" cy="3356162"/>
        </a:xfrm>
        <a:prstGeom xmlns:a="http://schemas.openxmlformats.org/drawingml/2006/main" prst="line">
          <a:avLst/>
        </a:prstGeom>
        <a:ln xmlns:a="http://schemas.openxmlformats.org/drawingml/2006/main" w="15875">
          <a:solidFill>
            <a:schemeClr val="tx1"/>
          </a:solidFill>
          <a:prstDash val="sysDot"/>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0.76774</cdr:x>
      <cdr:y>0.05995</cdr:y>
    </cdr:from>
    <cdr:to>
      <cdr:x>0.88871</cdr:x>
      <cdr:y>0.32425</cdr:y>
    </cdr:to>
    <cdr:sp macro="" textlink="">
      <cdr:nvSpPr>
        <cdr:cNvPr id="15" name="TextBox 14">
          <a:extLst xmlns:a="http://schemas.openxmlformats.org/drawingml/2006/main">
            <a:ext uri="{FF2B5EF4-FFF2-40B4-BE49-F238E27FC236}">
              <a16:creationId xmlns:a16="http://schemas.microsoft.com/office/drawing/2014/main" id="{D204430E-E0B8-4AEB-9A27-76101F0DFC65}"/>
            </a:ext>
          </a:extLst>
        </cdr:cNvPr>
        <cdr:cNvSpPr txBox="1"/>
      </cdr:nvSpPr>
      <cdr:spPr>
        <a:xfrm xmlns:a="http://schemas.openxmlformats.org/drawingml/2006/main">
          <a:off x="4533900" y="209550"/>
          <a:ext cx="714375" cy="92392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n-GB" sz="1100"/>
            <a:t>Summer term 2</a:t>
          </a:r>
        </a:p>
      </cdr:txBody>
    </cdr:sp>
  </cdr:relSizeAnchor>
  <cdr:relSizeAnchor xmlns:cdr="http://schemas.openxmlformats.org/drawingml/2006/chartDrawing">
    <cdr:from>
      <cdr:x>0.63118</cdr:x>
      <cdr:y>0.05268</cdr:y>
    </cdr:from>
    <cdr:to>
      <cdr:x>0.75215</cdr:x>
      <cdr:y>0.31698</cdr:y>
    </cdr:to>
    <cdr:sp macro="" textlink="">
      <cdr:nvSpPr>
        <cdr:cNvPr id="16" name="TextBox 1">
          <a:extLst xmlns:a="http://schemas.openxmlformats.org/drawingml/2006/main">
            <a:ext uri="{FF2B5EF4-FFF2-40B4-BE49-F238E27FC236}">
              <a16:creationId xmlns:a16="http://schemas.microsoft.com/office/drawing/2014/main" id="{A89160DE-2D5E-4DDC-B5E3-94B82A136D44}"/>
            </a:ext>
          </a:extLst>
        </cdr:cNvPr>
        <cdr:cNvSpPr txBox="1"/>
      </cdr:nvSpPr>
      <cdr:spPr>
        <a:xfrm xmlns:a="http://schemas.openxmlformats.org/drawingml/2006/main">
          <a:off x="3727450" y="184150"/>
          <a:ext cx="714375" cy="92392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GB" sz="1100"/>
            <a:t>Summer term 1</a:t>
          </a:r>
        </a:p>
      </cdr:txBody>
    </cdr:sp>
  </cdr:relSizeAnchor>
  <cdr:relSizeAnchor xmlns:cdr="http://schemas.openxmlformats.org/drawingml/2006/chartDrawing">
    <cdr:from>
      <cdr:x>0.50054</cdr:x>
      <cdr:y>0.04995</cdr:y>
    </cdr:from>
    <cdr:to>
      <cdr:x>0.62151</cdr:x>
      <cdr:y>0.31426</cdr:y>
    </cdr:to>
    <cdr:sp macro="" textlink="">
      <cdr:nvSpPr>
        <cdr:cNvPr id="17" name="TextBox 1">
          <a:extLst xmlns:a="http://schemas.openxmlformats.org/drawingml/2006/main">
            <a:ext uri="{FF2B5EF4-FFF2-40B4-BE49-F238E27FC236}">
              <a16:creationId xmlns:a16="http://schemas.microsoft.com/office/drawing/2014/main" id="{1553A5A7-9C18-4047-B815-0A8821434F70}"/>
            </a:ext>
          </a:extLst>
        </cdr:cNvPr>
        <cdr:cNvSpPr txBox="1"/>
      </cdr:nvSpPr>
      <cdr:spPr>
        <a:xfrm xmlns:a="http://schemas.openxmlformats.org/drawingml/2006/main">
          <a:off x="2955925" y="174625"/>
          <a:ext cx="714375" cy="92392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GB" sz="1100"/>
            <a:t>Spring term 2</a:t>
          </a:r>
        </a:p>
      </cdr:txBody>
    </cdr:sp>
  </cdr:relSizeAnchor>
  <cdr:relSizeAnchor xmlns:cdr="http://schemas.openxmlformats.org/drawingml/2006/chartDrawing">
    <cdr:from>
      <cdr:x>0.36183</cdr:x>
      <cdr:y>0.04723</cdr:y>
    </cdr:from>
    <cdr:to>
      <cdr:x>0.4828</cdr:x>
      <cdr:y>0.31154</cdr:y>
    </cdr:to>
    <cdr:sp macro="" textlink="">
      <cdr:nvSpPr>
        <cdr:cNvPr id="18" name="TextBox 1">
          <a:extLst xmlns:a="http://schemas.openxmlformats.org/drawingml/2006/main">
            <a:ext uri="{FF2B5EF4-FFF2-40B4-BE49-F238E27FC236}">
              <a16:creationId xmlns:a16="http://schemas.microsoft.com/office/drawing/2014/main" id="{87866640-CF84-4C1B-BCD9-D3163F41E842}"/>
            </a:ext>
          </a:extLst>
        </cdr:cNvPr>
        <cdr:cNvSpPr txBox="1"/>
      </cdr:nvSpPr>
      <cdr:spPr>
        <a:xfrm xmlns:a="http://schemas.openxmlformats.org/drawingml/2006/main">
          <a:off x="2136775" y="165100"/>
          <a:ext cx="714375" cy="92392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GB" sz="1100"/>
            <a:t>Spring term 1</a:t>
          </a:r>
        </a:p>
      </cdr:txBody>
    </cdr:sp>
  </cdr:relSizeAnchor>
  <cdr:relSizeAnchor xmlns:cdr="http://schemas.openxmlformats.org/drawingml/2006/chartDrawing">
    <cdr:from>
      <cdr:x>0.20215</cdr:x>
      <cdr:y>0.04723</cdr:y>
    </cdr:from>
    <cdr:to>
      <cdr:x>0.32312</cdr:x>
      <cdr:y>0.31154</cdr:y>
    </cdr:to>
    <cdr:sp macro="" textlink="">
      <cdr:nvSpPr>
        <cdr:cNvPr id="19" name="TextBox 1">
          <a:extLst xmlns:a="http://schemas.openxmlformats.org/drawingml/2006/main">
            <a:ext uri="{FF2B5EF4-FFF2-40B4-BE49-F238E27FC236}">
              <a16:creationId xmlns:a16="http://schemas.microsoft.com/office/drawing/2014/main" id="{87866640-CF84-4C1B-BCD9-D3163F41E842}"/>
            </a:ext>
          </a:extLst>
        </cdr:cNvPr>
        <cdr:cNvSpPr txBox="1"/>
      </cdr:nvSpPr>
      <cdr:spPr>
        <a:xfrm xmlns:a="http://schemas.openxmlformats.org/drawingml/2006/main">
          <a:off x="1193800" y="165100"/>
          <a:ext cx="714375" cy="92392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GB" sz="1100"/>
            <a:t>Autumn term 2</a:t>
          </a:r>
        </a:p>
      </cdr:txBody>
    </cdr:sp>
  </cdr:relSizeAnchor>
  <cdr:relSizeAnchor xmlns:cdr="http://schemas.openxmlformats.org/drawingml/2006/chartDrawing">
    <cdr:from>
      <cdr:x>0.0586</cdr:x>
      <cdr:y>0.04995</cdr:y>
    </cdr:from>
    <cdr:to>
      <cdr:x>0.17957</cdr:x>
      <cdr:y>0.31426</cdr:y>
    </cdr:to>
    <cdr:sp macro="" textlink="">
      <cdr:nvSpPr>
        <cdr:cNvPr id="20" name="TextBox 1">
          <a:extLst xmlns:a="http://schemas.openxmlformats.org/drawingml/2006/main">
            <a:ext uri="{FF2B5EF4-FFF2-40B4-BE49-F238E27FC236}">
              <a16:creationId xmlns:a16="http://schemas.microsoft.com/office/drawing/2014/main" id="{509D7D84-DD1B-416D-8C81-6C79045906A7}"/>
            </a:ext>
          </a:extLst>
        </cdr:cNvPr>
        <cdr:cNvSpPr txBox="1"/>
      </cdr:nvSpPr>
      <cdr:spPr>
        <a:xfrm xmlns:a="http://schemas.openxmlformats.org/drawingml/2006/main">
          <a:off x="346075" y="174625"/>
          <a:ext cx="714375" cy="923926"/>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GB" sz="1100"/>
            <a:t>Autumn term 1</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2DF6F-DA1B-4529-9431-A3200000B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1450</TotalTime>
  <Pages>163</Pages>
  <Words>49753</Words>
  <Characters>283594</Characters>
  <Application>Microsoft Office Word</Application>
  <DocSecurity>0</DocSecurity>
  <Lines>2363</Lines>
  <Paragraphs>665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jerrim</dc:creator>
  <cp:keywords/>
  <dc:description/>
  <cp:lastModifiedBy>John Jerrim</cp:lastModifiedBy>
  <cp:revision>709</cp:revision>
  <cp:lastPrinted>2021-03-31T11:34:00Z</cp:lastPrinted>
  <dcterms:created xsi:type="dcterms:W3CDTF">2021-03-01T15:13:00Z</dcterms:created>
  <dcterms:modified xsi:type="dcterms:W3CDTF">2021-03-31T12:10:00Z</dcterms:modified>
</cp:coreProperties>
</file>