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F138F" w14:textId="20BBADB0" w:rsidR="00CE371C" w:rsidRPr="00AB73DC" w:rsidRDefault="00FA295C" w:rsidP="00CE371C">
      <w:pPr>
        <w:spacing w:after="120" w:line="240" w:lineRule="auto"/>
        <w:jc w:val="center"/>
        <w:rPr>
          <w:rFonts w:cs="Times New Roman"/>
          <w:b/>
          <w:sz w:val="36"/>
          <w:szCs w:val="36"/>
        </w:rPr>
      </w:pPr>
      <w:r>
        <w:rPr>
          <w:rFonts w:cs="Times New Roman"/>
          <w:b/>
          <w:sz w:val="36"/>
          <w:szCs w:val="36"/>
        </w:rPr>
        <w:t>The White Working Class. How engaged are their children during secondary school?</w:t>
      </w:r>
    </w:p>
    <w:p w14:paraId="333E2499" w14:textId="77777777" w:rsidR="00CE371C" w:rsidRPr="00AB73DC" w:rsidRDefault="00CE371C" w:rsidP="00CE371C">
      <w:pPr>
        <w:spacing w:after="120" w:line="240" w:lineRule="auto"/>
        <w:jc w:val="center"/>
        <w:rPr>
          <w:rFonts w:cs="Times New Roman"/>
          <w:bCs/>
        </w:rPr>
      </w:pPr>
      <w:r w:rsidRPr="00AB73DC">
        <w:rPr>
          <w:rFonts w:cs="Times New Roman"/>
          <w:bCs/>
        </w:rPr>
        <w:t>John Jerrim</w:t>
      </w:r>
      <w:r w:rsidRPr="00AB73DC">
        <w:rPr>
          <w:rStyle w:val="FootnoteReference"/>
          <w:rFonts w:cs="Times New Roman"/>
          <w:bCs/>
        </w:rPr>
        <w:footnoteReference w:id="1"/>
      </w:r>
      <w:r w:rsidRPr="00AB73DC">
        <w:rPr>
          <w:rFonts w:cs="Times New Roman"/>
          <w:bCs/>
        </w:rPr>
        <w:t xml:space="preserve"> (UCL Social Research Institute and ImpactEd Group) </w:t>
      </w:r>
    </w:p>
    <w:p w14:paraId="720EDEA4" w14:textId="77777777" w:rsidR="00CE371C" w:rsidRPr="00AB73DC" w:rsidRDefault="00CE371C" w:rsidP="00CE371C">
      <w:pPr>
        <w:spacing w:after="120" w:line="240" w:lineRule="auto"/>
        <w:jc w:val="both"/>
        <w:rPr>
          <w:rFonts w:cs="Times New Roman"/>
          <w:b/>
        </w:rPr>
      </w:pPr>
      <w:r w:rsidRPr="00AB73DC">
        <w:rPr>
          <w:rFonts w:cs="Times New Roman"/>
          <w:b/>
        </w:rPr>
        <w:t>Abstract</w:t>
      </w:r>
    </w:p>
    <w:p w14:paraId="5882F87A" w14:textId="7D09F62B" w:rsidR="002755B0" w:rsidRPr="002755B0" w:rsidRDefault="002755B0" w:rsidP="002755B0">
      <w:pPr>
        <w:jc w:val="both"/>
        <w:rPr>
          <w:rFonts w:cs="Times New Roman"/>
          <w:color w:val="000000"/>
        </w:rPr>
      </w:pPr>
      <w:r w:rsidRPr="002755B0">
        <w:rPr>
          <w:rFonts w:cs="Times New Roman"/>
          <w:color w:val="000000"/>
        </w:rPr>
        <w:t xml:space="preserve">This study investigates the school engagement of White Working-Class (WWC) children in England, focusing on the intersectionality of socio-economic background, ethnicity, and gender. </w:t>
      </w:r>
      <w:r w:rsidR="00215CBB">
        <w:rPr>
          <w:rFonts w:cs="Times New Roman"/>
          <w:color w:val="000000"/>
        </w:rPr>
        <w:t>Drawing upon</w:t>
      </w:r>
      <w:r w:rsidRPr="002755B0">
        <w:rPr>
          <w:rFonts w:cs="Times New Roman"/>
          <w:color w:val="000000"/>
        </w:rPr>
        <w:t xml:space="preserve"> data from The Engagement Platform (TEP), </w:t>
      </w:r>
      <w:r>
        <w:rPr>
          <w:rFonts w:cs="Times New Roman"/>
          <w:color w:val="000000"/>
        </w:rPr>
        <w:t>we</w:t>
      </w:r>
      <w:r w:rsidRPr="002755B0">
        <w:rPr>
          <w:rFonts w:cs="Times New Roman"/>
          <w:color w:val="000000"/>
        </w:rPr>
        <w:t xml:space="preserve"> examine</w:t>
      </w:r>
      <w:r>
        <w:rPr>
          <w:rFonts w:cs="Times New Roman"/>
          <w:color w:val="000000"/>
        </w:rPr>
        <w:t xml:space="preserve"> how </w:t>
      </w:r>
      <w:r w:rsidRPr="002755B0">
        <w:rPr>
          <w:rFonts w:cs="Times New Roman"/>
          <w:color w:val="000000"/>
        </w:rPr>
        <w:t>cognitive, emotional and behavioural engagement among</w:t>
      </w:r>
      <w:r>
        <w:rPr>
          <w:rFonts w:cs="Times New Roman"/>
          <w:color w:val="000000"/>
        </w:rPr>
        <w:t>st</w:t>
      </w:r>
      <w:r w:rsidRPr="002755B0">
        <w:rPr>
          <w:rFonts w:cs="Times New Roman"/>
          <w:color w:val="000000"/>
        </w:rPr>
        <w:t xml:space="preserve"> WWC pupils compare</w:t>
      </w:r>
      <w:r>
        <w:rPr>
          <w:rFonts w:cs="Times New Roman"/>
          <w:color w:val="000000"/>
        </w:rPr>
        <w:t>s</w:t>
      </w:r>
      <w:r w:rsidRPr="002755B0">
        <w:rPr>
          <w:rFonts w:cs="Times New Roman"/>
          <w:color w:val="000000"/>
        </w:rPr>
        <w:t xml:space="preserve"> to their peers from other ethnic and socio-economic backgrounds. WWC pupils</w:t>
      </w:r>
      <w:r>
        <w:rPr>
          <w:rFonts w:cs="Times New Roman"/>
          <w:color w:val="000000"/>
        </w:rPr>
        <w:t xml:space="preserve"> are found to</w:t>
      </w:r>
      <w:r w:rsidRPr="002755B0">
        <w:rPr>
          <w:rFonts w:cs="Times New Roman"/>
          <w:color w:val="000000"/>
        </w:rPr>
        <w:t xml:space="preserve"> exhibit significantly lower levels of engagement</w:t>
      </w:r>
      <w:r>
        <w:rPr>
          <w:rFonts w:cs="Times New Roman"/>
          <w:color w:val="000000"/>
        </w:rPr>
        <w:t xml:space="preserve"> than other socio-economic-by-ethnic groups</w:t>
      </w:r>
      <w:r w:rsidRPr="002755B0">
        <w:rPr>
          <w:rFonts w:cs="Times New Roman"/>
          <w:color w:val="000000"/>
        </w:rPr>
        <w:t>, with WWC girls particularly lacking interest in lessons and a sense of academic agency. Emotional engagement, especially enjoyment of school, is also low among WWC pupils, with girls again being the most affected.</w:t>
      </w:r>
      <w:r>
        <w:rPr>
          <w:rFonts w:cs="Times New Roman"/>
          <w:color w:val="000000"/>
        </w:rPr>
        <w:t xml:space="preserve"> We also find that</w:t>
      </w:r>
      <w:r w:rsidRPr="002755B0">
        <w:rPr>
          <w:rFonts w:cs="Times New Roman"/>
          <w:color w:val="000000"/>
        </w:rPr>
        <w:t xml:space="preserve"> WWC pupils</w:t>
      </w:r>
      <w:r>
        <w:rPr>
          <w:rFonts w:cs="Times New Roman"/>
          <w:color w:val="000000"/>
        </w:rPr>
        <w:t xml:space="preserve"> tend to</w:t>
      </w:r>
      <w:r w:rsidRPr="002755B0">
        <w:rPr>
          <w:rFonts w:cs="Times New Roman"/>
          <w:color w:val="000000"/>
        </w:rPr>
        <w:t xml:space="preserve"> enter secondary school</w:t>
      </w:r>
      <w:r>
        <w:rPr>
          <w:rFonts w:cs="Times New Roman"/>
          <w:color w:val="000000"/>
        </w:rPr>
        <w:t xml:space="preserve"> with lower levels of engagement than other groups</w:t>
      </w:r>
      <w:r w:rsidRPr="002755B0">
        <w:rPr>
          <w:rFonts w:cs="Times New Roman"/>
          <w:color w:val="000000"/>
        </w:rPr>
        <w:t xml:space="preserve">. </w:t>
      </w:r>
      <w:r>
        <w:rPr>
          <w:rFonts w:cs="Times New Roman"/>
          <w:color w:val="000000"/>
        </w:rPr>
        <w:t>T</w:t>
      </w:r>
      <w:r w:rsidRPr="002755B0">
        <w:rPr>
          <w:rFonts w:cs="Times New Roman"/>
          <w:color w:val="000000"/>
        </w:rPr>
        <w:t>he challenges faced by WWC pupils</w:t>
      </w:r>
      <w:r>
        <w:rPr>
          <w:rFonts w:cs="Times New Roman"/>
          <w:color w:val="000000"/>
        </w:rPr>
        <w:t xml:space="preserve"> appear</w:t>
      </w:r>
      <w:r w:rsidRPr="002755B0">
        <w:rPr>
          <w:rFonts w:cs="Times New Roman"/>
          <w:color w:val="000000"/>
        </w:rPr>
        <w:t xml:space="preserve"> </w:t>
      </w:r>
      <w:r>
        <w:rPr>
          <w:rFonts w:cs="Times New Roman"/>
          <w:color w:val="000000"/>
        </w:rPr>
        <w:t>to be</w:t>
      </w:r>
      <w:r w:rsidR="00F85BA0">
        <w:rPr>
          <w:rFonts w:cs="Times New Roman"/>
          <w:color w:val="000000"/>
        </w:rPr>
        <w:t xml:space="preserve"> mainly</w:t>
      </w:r>
      <w:r>
        <w:rPr>
          <w:rFonts w:cs="Times New Roman"/>
          <w:color w:val="000000"/>
        </w:rPr>
        <w:t xml:space="preserve"> due </w:t>
      </w:r>
      <w:r w:rsidRPr="002755B0">
        <w:rPr>
          <w:rFonts w:cs="Times New Roman"/>
          <w:color w:val="000000"/>
        </w:rPr>
        <w:t>to the additive effects of being both White and socio-economically disadvantaged, rather than these factors interacting</w:t>
      </w:r>
      <w:r w:rsidR="00F85BA0">
        <w:rPr>
          <w:rFonts w:cs="Times New Roman"/>
          <w:color w:val="000000"/>
        </w:rPr>
        <w:t xml:space="preserve"> (with the important exception of effort at school</w:t>
      </w:r>
      <w:r w:rsidR="00D20679">
        <w:rPr>
          <w:rFonts w:cs="Times New Roman"/>
          <w:color w:val="000000"/>
        </w:rPr>
        <w:t>)</w:t>
      </w:r>
      <w:r w:rsidRPr="002755B0">
        <w:rPr>
          <w:rFonts w:cs="Times New Roman"/>
          <w:color w:val="000000"/>
        </w:rPr>
        <w:t xml:space="preserve">. </w:t>
      </w:r>
      <w:r>
        <w:rPr>
          <w:rFonts w:cs="Times New Roman"/>
          <w:color w:val="000000"/>
        </w:rPr>
        <w:t>T</w:t>
      </w:r>
      <w:r w:rsidRPr="002755B0">
        <w:rPr>
          <w:rFonts w:cs="Times New Roman"/>
          <w:color w:val="000000"/>
        </w:rPr>
        <w:t>argeted interventions</w:t>
      </w:r>
      <w:r>
        <w:rPr>
          <w:rFonts w:cs="Times New Roman"/>
          <w:color w:val="000000"/>
        </w:rPr>
        <w:t xml:space="preserve"> may nevertheless be needed</w:t>
      </w:r>
      <w:r w:rsidRPr="002755B0">
        <w:rPr>
          <w:rFonts w:cs="Times New Roman"/>
          <w:color w:val="000000"/>
        </w:rPr>
        <w:t xml:space="preserve"> to address the unique </w:t>
      </w:r>
      <w:r>
        <w:rPr>
          <w:rFonts w:cs="Times New Roman"/>
          <w:color w:val="000000"/>
        </w:rPr>
        <w:t>difficulties</w:t>
      </w:r>
      <w:r w:rsidRPr="002755B0">
        <w:rPr>
          <w:rFonts w:cs="Times New Roman"/>
          <w:color w:val="000000"/>
        </w:rPr>
        <w:t xml:space="preserve"> faced by WWC pupils.</w:t>
      </w:r>
    </w:p>
    <w:p w14:paraId="33835715" w14:textId="77777777" w:rsidR="002755B0" w:rsidRPr="002755B0" w:rsidRDefault="002755B0" w:rsidP="002755B0">
      <w:pPr>
        <w:jc w:val="both"/>
        <w:rPr>
          <w:rFonts w:cs="Times New Roman"/>
          <w:b/>
          <w:bCs/>
          <w:color w:val="000000"/>
        </w:rPr>
      </w:pPr>
      <w:r w:rsidRPr="002755B0">
        <w:rPr>
          <w:rFonts w:cs="Times New Roman"/>
          <w:b/>
          <w:bCs/>
          <w:color w:val="000000"/>
        </w:rPr>
        <w:t xml:space="preserve">Keywords: </w:t>
      </w:r>
      <w:r w:rsidRPr="002755B0">
        <w:rPr>
          <w:rFonts w:cs="Times New Roman"/>
          <w:color w:val="000000"/>
        </w:rPr>
        <w:t>School engagement, White Working Class, intersectionality, socio-economic disadvantage, gender differences.</w:t>
      </w:r>
    </w:p>
    <w:p w14:paraId="1A21F52C" w14:textId="1E783943" w:rsidR="00CE371C" w:rsidRPr="00AB73DC" w:rsidRDefault="00CE371C" w:rsidP="007155B6">
      <w:pPr>
        <w:jc w:val="both"/>
        <w:rPr>
          <w:rFonts w:cs="Times New Roman"/>
          <w:color w:val="000000"/>
        </w:rPr>
      </w:pPr>
      <w:r w:rsidRPr="00AB73DC">
        <w:rPr>
          <w:rFonts w:cs="Times New Roman"/>
          <w:b/>
          <w:bCs/>
          <w:color w:val="000000"/>
        </w:rPr>
        <w:t>Conflict of interest statement</w:t>
      </w:r>
      <w:r w:rsidRPr="00AB73DC">
        <w:rPr>
          <w:rFonts w:cs="Times New Roman"/>
          <w:color w:val="000000"/>
        </w:rPr>
        <w:t xml:space="preserve">: The author is Research Director at ImpactEd Group which owns </w:t>
      </w:r>
      <w:r w:rsidR="00433625">
        <w:rPr>
          <w:rFonts w:cs="Times New Roman"/>
          <w:color w:val="000000"/>
        </w:rPr>
        <w:t>TEP</w:t>
      </w:r>
      <w:r w:rsidRPr="00AB73DC">
        <w:rPr>
          <w:rFonts w:cs="Times New Roman"/>
          <w:color w:val="000000"/>
        </w:rPr>
        <w:t>.</w:t>
      </w:r>
    </w:p>
    <w:p w14:paraId="5D5EB99B" w14:textId="77777777" w:rsidR="00FA295C" w:rsidRDefault="00FA295C" w:rsidP="005A6139">
      <w:pPr>
        <w:ind w:left="720" w:hanging="360"/>
        <w:sectPr w:rsidR="00FA295C" w:rsidSect="005A6139">
          <w:footerReference w:type="default" r:id="rId8"/>
          <w:pgSz w:w="11906" w:h="16838"/>
          <w:pgMar w:top="1440" w:right="1440" w:bottom="1440" w:left="1440" w:header="708" w:footer="708" w:gutter="0"/>
          <w:cols w:space="708"/>
          <w:docGrid w:linePitch="360"/>
        </w:sectPr>
      </w:pPr>
    </w:p>
    <w:p w14:paraId="0538AE77" w14:textId="2999B22A" w:rsidR="005A6139" w:rsidRPr="005A6139" w:rsidRDefault="005A6139" w:rsidP="005A6139">
      <w:pPr>
        <w:pStyle w:val="ListParagraph"/>
        <w:numPr>
          <w:ilvl w:val="0"/>
          <w:numId w:val="3"/>
        </w:numPr>
        <w:rPr>
          <w:b/>
          <w:bCs/>
        </w:rPr>
      </w:pPr>
      <w:r>
        <w:rPr>
          <w:b/>
          <w:bCs/>
        </w:rPr>
        <w:lastRenderedPageBreak/>
        <w:t>Introduction</w:t>
      </w:r>
    </w:p>
    <w:p w14:paraId="5250D139" w14:textId="71A89E8B" w:rsidR="00740C9E" w:rsidRDefault="00AE7F3C" w:rsidP="00AE7F3C">
      <w:pPr>
        <w:spacing w:line="360" w:lineRule="auto"/>
        <w:jc w:val="both"/>
      </w:pPr>
      <w:r>
        <w:t>There has long been interest in educational inequalities amongst policymakers and academics.</w:t>
      </w:r>
      <w:r w:rsidR="00FB10D4">
        <w:t xml:space="preserve"> A host of international evidence illustrates how – even during the first stages of primary school – there are sizeable differences in achievement across genders, ethnicities and socio-economic groups (</w:t>
      </w:r>
      <w:r w:rsidR="00183C0A" w:rsidRPr="00B54720">
        <w:rPr>
          <w:rFonts w:cs="Times New Roman"/>
        </w:rPr>
        <w:t>Farquharson</w:t>
      </w:r>
      <w:r w:rsidR="00183C0A">
        <w:rPr>
          <w:rFonts w:cs="Times New Roman"/>
        </w:rPr>
        <w:t xml:space="preserve"> et al., 2024</w:t>
      </w:r>
      <w:r w:rsidR="00FB10D4">
        <w:t>).</w:t>
      </w:r>
      <w:r w:rsidR="00B406BE">
        <w:t xml:space="preserve"> This has also led to interest in the intersectionality between these characteristics (</w:t>
      </w:r>
      <w:r w:rsidR="00183C0A">
        <w:t>Keller et al., 2023</w:t>
      </w:r>
      <w:r w:rsidR="00B406BE">
        <w:t>)</w:t>
      </w:r>
      <w:r w:rsidR="00107A20">
        <w:t>.</w:t>
      </w:r>
      <w:r w:rsidR="00A6773A">
        <w:t xml:space="preserve"> One such group that has received particular attention in England – the empirical setting </w:t>
      </w:r>
      <w:r w:rsidR="007C7467">
        <w:t>of</w:t>
      </w:r>
      <w:r w:rsidR="00A6773A">
        <w:t xml:space="preserve"> this paper – is the White Working Class (WWC) </w:t>
      </w:r>
      <w:r w:rsidR="00966465">
        <w:t>– particularly WWC boys</w:t>
      </w:r>
      <w:r w:rsidR="00D81FB6">
        <w:t xml:space="preserve"> </w:t>
      </w:r>
      <w:r w:rsidR="00966465">
        <w:t>(</w:t>
      </w:r>
      <w:r w:rsidR="005A536A">
        <w:t>Stahl</w:t>
      </w:r>
      <w:r w:rsidR="00966465">
        <w:t xml:space="preserve">, </w:t>
      </w:r>
      <w:r w:rsidR="005A536A">
        <w:t>2015</w:t>
      </w:r>
      <w:r w:rsidR="00A6773A">
        <w:t>).</w:t>
      </w:r>
      <w:r w:rsidR="00C57955">
        <w:t xml:space="preserve"> Research has suggested that this group is at particular risk of not reaching their potential at school</w:t>
      </w:r>
      <w:r w:rsidR="00183C0A">
        <w:t xml:space="preserve">, </w:t>
      </w:r>
      <w:r w:rsidR="00647FEC">
        <w:t>which then negatively impact</w:t>
      </w:r>
      <w:r w:rsidR="00D81FB6">
        <w:t>s</w:t>
      </w:r>
      <w:r w:rsidR="00647FEC">
        <w:t xml:space="preserve"> their chances in later life (</w:t>
      </w:r>
      <w:r w:rsidR="00183C0A">
        <w:t>Battu et al., 2019</w:t>
      </w:r>
      <w:r w:rsidR="00647FEC">
        <w:t>).</w:t>
      </w:r>
      <w:r w:rsidR="003D06B6">
        <w:t xml:space="preserve"> Thus, while disadvantaged </w:t>
      </w:r>
      <w:r w:rsidR="009F0F28">
        <w:t>boys of other ethnicities face other problems (e.g. disadvantaged Black boys are</w:t>
      </w:r>
      <w:r w:rsidR="00206527">
        <w:t xml:space="preserve"> disproportionately</w:t>
      </w:r>
      <w:r w:rsidR="009F0F28">
        <w:t xml:space="preserve"> likely group to be excluded from school– </w:t>
      </w:r>
      <w:r w:rsidR="006C18E8">
        <w:t>Jerrim, 2025a</w:t>
      </w:r>
      <w:r w:rsidR="009F0F28">
        <w:t>)</w:t>
      </w:r>
      <w:r w:rsidR="00D82305">
        <w:t xml:space="preserve">, successive governments in England have paid </w:t>
      </w:r>
      <w:r w:rsidR="00CA6318">
        <w:t>much</w:t>
      </w:r>
      <w:r w:rsidR="00D82305">
        <w:t xml:space="preserve"> attention to the plight of the </w:t>
      </w:r>
      <w:r w:rsidR="00CA6318">
        <w:t>WWC</w:t>
      </w:r>
      <w:r w:rsidR="00D82305">
        <w:t xml:space="preserve"> (</w:t>
      </w:r>
      <w:r w:rsidR="004559C4">
        <w:t>House of Commons Education Committee, 2021</w:t>
      </w:r>
      <w:r w:rsidR="00D82305">
        <w:t>).</w:t>
      </w:r>
    </w:p>
    <w:p w14:paraId="2480784A" w14:textId="074919AD" w:rsidR="00AE7F3C" w:rsidRDefault="006C6EE0" w:rsidP="00AE7F3C">
      <w:pPr>
        <w:spacing w:line="360" w:lineRule="auto"/>
        <w:jc w:val="both"/>
      </w:pPr>
      <w:r>
        <w:t>While many factors</w:t>
      </w:r>
      <w:r w:rsidR="004014FF">
        <w:t xml:space="preserve"> are</w:t>
      </w:r>
      <w:r>
        <w:t xml:space="preserve"> likely to </w:t>
      </w:r>
      <w:r w:rsidR="004014FF">
        <w:t>drive</w:t>
      </w:r>
      <w:r>
        <w:t xml:space="preserve"> underachievement amongst </w:t>
      </w:r>
      <w:r w:rsidR="004014FF">
        <w:t xml:space="preserve">the </w:t>
      </w:r>
      <w:r>
        <w:t>WWC,</w:t>
      </w:r>
      <w:r w:rsidR="00094038">
        <w:t xml:space="preserve"> the</w:t>
      </w:r>
      <w:r w:rsidR="004014FF">
        <w:t>ir</w:t>
      </w:r>
      <w:r w:rsidR="00094038">
        <w:t xml:space="preserve"> </w:t>
      </w:r>
      <w:r w:rsidR="004014FF">
        <w:t>(dis)</w:t>
      </w:r>
      <w:r w:rsidR="00094038">
        <w:t>engagement at school is potentially key (</w:t>
      </w:r>
      <w:r w:rsidR="00EA0A7D">
        <w:t>House of Commons Education Committee, 2021</w:t>
      </w:r>
      <w:r w:rsidR="00094038">
        <w:t>).</w:t>
      </w:r>
      <w:r w:rsidR="006A6C60">
        <w:t xml:space="preserve"> Indeed, evidence from the US has pointed towards a link between school engagement, attendance and achievement (</w:t>
      </w:r>
      <w:r w:rsidR="00A614F4">
        <w:t>Wang &amp; Fredricks, 2014</w:t>
      </w:r>
      <w:r w:rsidR="006A6C60">
        <w:t>),</w:t>
      </w:r>
      <w:r w:rsidR="00420959">
        <w:t xml:space="preserve"> with a smaller number of studies pointing in a similar direction in England (</w:t>
      </w:r>
      <w:r w:rsidR="00A614F4">
        <w:t xml:space="preserve">Gutman &amp; </w:t>
      </w:r>
      <w:r w:rsidR="00A614F4" w:rsidRPr="00A614F4">
        <w:t>Vorhaus</w:t>
      </w:r>
      <w:r w:rsidR="00A614F4">
        <w:t>, 2013</w:t>
      </w:r>
      <w:r w:rsidR="00420959">
        <w:t>).</w:t>
      </w:r>
      <w:r w:rsidR="00FC1A44">
        <w:t xml:space="preserve"> Recent research in England has also shown how pupil’s engagement with school drops markedly during Year </w:t>
      </w:r>
      <w:r w:rsidR="00A614F4">
        <w:t>7 (Jerrim, 2025b)</w:t>
      </w:r>
      <w:r w:rsidR="00FC1A44">
        <w:t>,</w:t>
      </w:r>
      <w:r w:rsidR="00277B18">
        <w:t xml:space="preserve"> that this drop varies across demographic groups (</w:t>
      </w:r>
      <w:r w:rsidR="00A614F4">
        <w:t>Jerrim, 2025b</w:t>
      </w:r>
      <w:r w:rsidR="00277B18">
        <w:t>), and that declines in emotional engagement with school between ages 10 and 14 are more pronounced in England than in other countries (</w:t>
      </w:r>
      <w:r w:rsidR="00A614F4">
        <w:t>Jerrim &amp; Kaye, 2025</w:t>
      </w:r>
      <w:r w:rsidR="00277B18">
        <w:t>).</w:t>
      </w:r>
      <w:r w:rsidR="00603518">
        <w:t xml:space="preserve"> It is hence plausible that one of the key drivers of underachievement amongst the WWC is their lack of</w:t>
      </w:r>
      <w:r w:rsidR="00574737">
        <w:t xml:space="preserve"> school</w:t>
      </w:r>
      <w:r w:rsidR="00603518">
        <w:t xml:space="preserve"> engagement.</w:t>
      </w:r>
    </w:p>
    <w:p w14:paraId="3FBEF842" w14:textId="037E4851" w:rsidR="00CB2838" w:rsidRPr="00740C9E" w:rsidRDefault="00603518" w:rsidP="00AE7F3C">
      <w:pPr>
        <w:spacing w:line="360" w:lineRule="auto"/>
        <w:jc w:val="both"/>
      </w:pPr>
      <w:r>
        <w:t xml:space="preserve">The overarching aim of this paper is to provide </w:t>
      </w:r>
      <w:r w:rsidR="009A5D30">
        <w:t>new</w:t>
      </w:r>
      <w:r w:rsidR="00574737">
        <w:t xml:space="preserve"> empirical</w:t>
      </w:r>
      <w:r w:rsidR="009A5D30">
        <w:t xml:space="preserve"> evidence on </w:t>
      </w:r>
      <w:r w:rsidR="00574737">
        <w:t>this</w:t>
      </w:r>
      <w:r w:rsidR="009A5D30">
        <w:t xml:space="preserve"> matter. Specifically, it attempts to present the most in-depth study of intersectionality between socio-economic background, ethnicity and gender with respect to school engagement to date. In doing so, it documents how school engagement amongst WWC children compares to</w:t>
      </w:r>
      <w:r w:rsidR="00CB2838">
        <w:t xml:space="preserve"> their peers of other ethnic and family background combinations, and how this varies by gender. Particular attention is paid to the drop in engagement that occurs </w:t>
      </w:r>
      <w:r w:rsidR="00CB2838">
        <w:lastRenderedPageBreak/>
        <w:t>during Year 7</w:t>
      </w:r>
      <w:r w:rsidR="00076972">
        <w:t xml:space="preserve"> – a key period when many children in England</w:t>
      </w:r>
      <w:r w:rsidR="002462B3">
        <w:t xml:space="preserve"> start to disengage with school (Jerrim, 2025b)</w:t>
      </w:r>
      <w:r w:rsidR="00CB2838">
        <w:t>. In doing so, the study presents novel insights into the challenges faced by children of the WWC.</w:t>
      </w:r>
      <w:r w:rsidR="009A5D30">
        <w:t xml:space="preserve"> </w:t>
      </w:r>
    </w:p>
    <w:p w14:paraId="78F832E0" w14:textId="68CA7F8F" w:rsidR="004C3BBF" w:rsidRPr="005A6139" w:rsidRDefault="004C3BBF" w:rsidP="004C3BBF">
      <w:pPr>
        <w:rPr>
          <w:u w:val="single"/>
        </w:rPr>
      </w:pPr>
      <w:r>
        <w:rPr>
          <w:u w:val="single"/>
        </w:rPr>
        <w:t>Underachievement amongst the WWC</w:t>
      </w:r>
    </w:p>
    <w:p w14:paraId="56D2BA5B" w14:textId="1C3382A6" w:rsidR="00B54720" w:rsidRDefault="00B54720" w:rsidP="00B54720">
      <w:pPr>
        <w:spacing w:line="360" w:lineRule="auto"/>
        <w:jc w:val="both"/>
      </w:pPr>
      <w:r>
        <w:t>R</w:t>
      </w:r>
      <w:r w:rsidRPr="00246FCF">
        <w:t>esearch</w:t>
      </w:r>
      <w:r>
        <w:t xml:space="preserve"> spanning</w:t>
      </w:r>
      <w:r w:rsidRPr="00246FCF">
        <w:t xml:space="preserve"> education</w:t>
      </w:r>
      <w:r>
        <w:t>,</w:t>
      </w:r>
      <w:r w:rsidRPr="00246FCF">
        <w:t xml:space="preserve"> sociology</w:t>
      </w:r>
      <w:r>
        <w:t>, economics</w:t>
      </w:r>
      <w:r w:rsidRPr="00246FCF">
        <w:t xml:space="preserve"> and developmental psychology has demonstrated that socioeconomically disadvantaged students are, on average, less </w:t>
      </w:r>
      <w:r w:rsidRPr="008F0959">
        <w:t xml:space="preserve">likely to </w:t>
      </w:r>
      <w:r w:rsidR="00157BC1">
        <w:t>achieve well</w:t>
      </w:r>
      <w:r w:rsidRPr="008F0959">
        <w:t xml:space="preserve"> in school compared to their more advantaged peers (see Farquharson, 2024,</w:t>
      </w:r>
      <w:r>
        <w:t xml:space="preserve"> for a recent review). Moreover, in England, evidence has consistently demonstrated how </w:t>
      </w:r>
      <w:r w:rsidRPr="00246FCF">
        <w:t>White British</w:t>
      </w:r>
      <w:r>
        <w:t xml:space="preserve"> pupils</w:t>
      </w:r>
      <w:r w:rsidRPr="00246FCF">
        <w:t xml:space="preserve"> eligible for free school meals (FSM) underperform relative to disadvantaged peers from most</w:t>
      </w:r>
      <w:r w:rsidR="00A70B72">
        <w:t xml:space="preserve"> other</w:t>
      </w:r>
      <w:r w:rsidRPr="00246FCF">
        <w:t xml:space="preserve"> </w:t>
      </w:r>
      <w:r w:rsidRPr="00C1055B">
        <w:t>ethnic backgrounds (Strand, 2014). Several factors have been proposed to explain</w:t>
      </w:r>
      <w:r w:rsidR="00A70B72">
        <w:t xml:space="preserve"> this</w:t>
      </w:r>
      <w:r w:rsidRPr="00C1055B">
        <w:t xml:space="preserve"> attainment gap</w:t>
      </w:r>
      <w:r w:rsidR="00A70B72">
        <w:t xml:space="preserve">, which </w:t>
      </w:r>
      <w:r>
        <w:t xml:space="preserve">can be divided into three broad groups – </w:t>
      </w:r>
      <w:r w:rsidR="00AD158E">
        <w:t xml:space="preserve">(a) </w:t>
      </w:r>
      <w:r>
        <w:t xml:space="preserve">cultural, </w:t>
      </w:r>
      <w:r w:rsidR="00AD158E">
        <w:t xml:space="preserve">(b) </w:t>
      </w:r>
      <w:r>
        <w:t xml:space="preserve">societal and </w:t>
      </w:r>
      <w:r w:rsidR="00AD158E">
        <w:t xml:space="preserve">(c) </w:t>
      </w:r>
      <w:r>
        <w:t>school-level factors.</w:t>
      </w:r>
    </w:p>
    <w:p w14:paraId="6D44156A" w14:textId="4C5D0F70" w:rsidR="00B54720" w:rsidRDefault="00B54720" w:rsidP="00B54720">
      <w:pPr>
        <w:spacing w:line="360" w:lineRule="auto"/>
        <w:jc w:val="both"/>
      </w:pPr>
      <w:r w:rsidRPr="00434DFB">
        <w:t>Cultural explanations</w:t>
      </w:r>
      <w:r w:rsidR="00AD158E">
        <w:t xml:space="preserve"> for WWC underachievement</w:t>
      </w:r>
      <w:r w:rsidRPr="00434DFB">
        <w:t xml:space="preserve"> focus on the values, attitudes, and dispositions that </w:t>
      </w:r>
      <w:r w:rsidR="0037036A">
        <w:t>this group</w:t>
      </w:r>
      <w:r>
        <w:t xml:space="preserve"> </w:t>
      </w:r>
      <w:r w:rsidRPr="00434DFB">
        <w:t>inherit from their families and communities. Following Bourdieu</w:t>
      </w:r>
      <w:r>
        <w:t xml:space="preserve"> (1997)</w:t>
      </w:r>
      <w:r w:rsidRPr="00434DFB">
        <w:t xml:space="preserve">, </w:t>
      </w:r>
      <w:r>
        <w:t>socio-economically disadvantaged</w:t>
      </w:r>
      <w:r w:rsidRPr="00434DFB">
        <w:t xml:space="preserve"> families possess less of the </w:t>
      </w:r>
      <w:r w:rsidRPr="0037036A">
        <w:t>cultural capital</w:t>
      </w:r>
      <w:r w:rsidRPr="00434DFB">
        <w:t xml:space="preserve"> (e.g. linguistic skills, familiarity with academic norms) valued by schools. Working-class habitus may</w:t>
      </w:r>
      <w:r>
        <w:t xml:space="preserve"> thus</w:t>
      </w:r>
      <w:r w:rsidRPr="00434DFB">
        <w:t xml:space="preserve"> be misaligned with middle-class school culture</w:t>
      </w:r>
      <w:r>
        <w:t xml:space="preserve"> (Wilson &amp; </w:t>
      </w:r>
      <w:r w:rsidRPr="00C50EA6">
        <w:t>McGuire</w:t>
      </w:r>
      <w:r>
        <w:t>, 2022)</w:t>
      </w:r>
      <w:r w:rsidR="009416E9">
        <w:t>, which may also</w:t>
      </w:r>
      <w:r>
        <w:t xml:space="preserve"> differ across ethnic and immigrant groups. Indeed, Simpson (2024) focused on this issue with respect to the </w:t>
      </w:r>
      <w:r w:rsidR="001212B2">
        <w:t>WWC</w:t>
      </w:r>
      <w:r>
        <w:t>, finding that this groups lack of cultural capital may undermine their identity as learners and – more generally- their engagement at school.</w:t>
      </w:r>
    </w:p>
    <w:p w14:paraId="67F673F9" w14:textId="576FC25E" w:rsidR="00B54720" w:rsidRDefault="00B54720" w:rsidP="00B54720">
      <w:pPr>
        <w:spacing w:line="360" w:lineRule="auto"/>
        <w:jc w:val="both"/>
      </w:pPr>
      <w:r>
        <w:t xml:space="preserve">An important subset of such cultural explanations for </w:t>
      </w:r>
      <w:r w:rsidR="001212B2">
        <w:t xml:space="preserve">WWC </w:t>
      </w:r>
      <w:r>
        <w:t xml:space="preserve">underachievement centres </w:t>
      </w:r>
      <w:r w:rsidR="001B0E0D">
        <w:t>on</w:t>
      </w:r>
      <w:r>
        <w:t xml:space="preserve"> </w:t>
      </w:r>
      <w:r w:rsidRPr="00246FCF">
        <w:t xml:space="preserve">the role of community and family expectations. Ethnic minority communities, particularly those </w:t>
      </w:r>
      <w:r>
        <w:t>from</w:t>
      </w:r>
      <w:r w:rsidRPr="00246FCF">
        <w:t xml:space="preserve"> immigrant backgrounds, </w:t>
      </w:r>
      <w:r>
        <w:t xml:space="preserve">may place </w:t>
      </w:r>
      <w:r w:rsidRPr="00246FCF">
        <w:t>a strong</w:t>
      </w:r>
      <w:r>
        <w:t>er</w:t>
      </w:r>
      <w:r w:rsidRPr="00246FCF">
        <w:t xml:space="preserve"> emphasis on education as a vehicle for social mobility</w:t>
      </w:r>
      <w:r>
        <w:t xml:space="preserve"> than White families (Stokes et al., 2015)</w:t>
      </w:r>
      <w:r w:rsidRPr="00246FCF">
        <w:t xml:space="preserve">. </w:t>
      </w:r>
      <w:r>
        <w:t xml:space="preserve">For instance, </w:t>
      </w:r>
      <w:r w:rsidRPr="00434DFB">
        <w:t>Reay</w:t>
      </w:r>
      <w:r>
        <w:t xml:space="preserve"> (2002, 2006) </w:t>
      </w:r>
      <w:r w:rsidRPr="00434DFB">
        <w:t xml:space="preserve">found that </w:t>
      </w:r>
      <w:r>
        <w:t>WWC</w:t>
      </w:r>
      <w:r w:rsidRPr="00434DFB">
        <w:t xml:space="preserve"> identities</w:t>
      </w:r>
      <w:r>
        <w:t xml:space="preserve"> in England</w:t>
      </w:r>
      <w:r w:rsidRPr="00434DFB">
        <w:t xml:space="preserve"> can be shaped by oppositional attitudes (valuing practical trades or street culture over schoolwork), whereas many immigrant-origin families actively encourage academic attainment.</w:t>
      </w:r>
      <w:r>
        <w:t xml:space="preserve"> Prior research has also found that many </w:t>
      </w:r>
      <w:r w:rsidRPr="00246FCF">
        <w:t>South Asian, African, and Eastern European</w:t>
      </w:r>
      <w:r>
        <w:t xml:space="preserve"> families</w:t>
      </w:r>
      <w:r w:rsidRPr="00246FCF">
        <w:t xml:space="preserve"> express high educational aspirations for their children (</w:t>
      </w:r>
      <w:r>
        <w:t xml:space="preserve">e.g. </w:t>
      </w:r>
      <w:r w:rsidRPr="00D84383">
        <w:t>Modood, 2004</w:t>
      </w:r>
      <w:r w:rsidRPr="00246FCF">
        <w:t>).</w:t>
      </w:r>
      <w:r>
        <w:t xml:space="preserve"> In England, it </w:t>
      </w:r>
      <w:r>
        <w:lastRenderedPageBreak/>
        <w:t xml:space="preserve">has been argued that </w:t>
      </w:r>
      <w:r w:rsidRPr="00434DFB">
        <w:t xml:space="preserve">many ethnic-minority parents instil high educational aspirations in their children, which </w:t>
      </w:r>
      <w:r>
        <w:t xml:space="preserve">drive </w:t>
      </w:r>
      <w:r w:rsidRPr="00434DFB">
        <w:t>disadvantaged pupils</w:t>
      </w:r>
      <w:r>
        <w:t xml:space="preserve"> from minority background</w:t>
      </w:r>
      <w:r w:rsidR="00E65D8E">
        <w:t>s</w:t>
      </w:r>
      <w:r>
        <w:t xml:space="preserve"> to</w:t>
      </w:r>
      <w:r w:rsidRPr="00434DFB">
        <w:t xml:space="preserve"> remain engaged</w:t>
      </w:r>
      <w:r>
        <w:t xml:space="preserve"> at school and </w:t>
      </w:r>
      <w:r w:rsidR="00E65D8E">
        <w:t>subsequently</w:t>
      </w:r>
      <w:r>
        <w:t xml:space="preserve"> achieve good </w:t>
      </w:r>
      <w:r w:rsidRPr="00AE49F8">
        <w:t xml:space="preserve">grades (House of Commons Education Committee, 2015). Such strong belief in the power of education as a facilitator of economic and social success are then transmitted from parents to children – a phenomenon that Basit (2012) </w:t>
      </w:r>
      <w:r>
        <w:t>labelled “aspirational capital”</w:t>
      </w:r>
      <w:r w:rsidRPr="00246FCF">
        <w:t>.</w:t>
      </w:r>
    </w:p>
    <w:p w14:paraId="74CC0A05" w14:textId="77777777" w:rsidR="00B54720" w:rsidRDefault="00B54720" w:rsidP="00B54720">
      <w:pPr>
        <w:spacing w:line="360" w:lineRule="auto"/>
        <w:jc w:val="both"/>
      </w:pPr>
      <w:r>
        <w:t xml:space="preserve">Structural explanations for underachievement amongst the WWC focus on the unique </w:t>
      </w:r>
      <w:r w:rsidRPr="00434DFB">
        <w:t xml:space="preserve">material contexts that </w:t>
      </w:r>
      <w:r>
        <w:t xml:space="preserve">pupils from such backgrounds face. </w:t>
      </w:r>
      <w:r w:rsidRPr="00434DFB">
        <w:t>Poverty</w:t>
      </w:r>
      <w:r>
        <w:t xml:space="preserve"> amongst the WWC may</w:t>
      </w:r>
      <w:r w:rsidRPr="00434DFB">
        <w:t xml:space="preserve"> create chronic stress</w:t>
      </w:r>
      <w:r>
        <w:t xml:space="preserve"> (Knifton &amp; Inglis, 2020)</w:t>
      </w:r>
      <w:r w:rsidRPr="00434DFB">
        <w:t xml:space="preserve"> and</w:t>
      </w:r>
      <w:r>
        <w:t xml:space="preserve"> lead to</w:t>
      </w:r>
      <w:r w:rsidRPr="00434DFB">
        <w:t xml:space="preserve"> unstable home environments</w:t>
      </w:r>
      <w:r>
        <w:t xml:space="preserve"> (McCoy &amp; Raver, 2014), including poor housing (Garner, 2011), family health problems (both </w:t>
      </w:r>
      <w:r w:rsidRPr="00C8371D">
        <w:t>physical and mental) and a lack of resources to support children’s learning (Carneiro et al., 2025</w:t>
      </w:r>
      <w:r>
        <w:t xml:space="preserve">). This may be a particular issue for WWC children, as their socio-economic disadvantaged </w:t>
      </w:r>
      <w:r w:rsidRPr="00434DFB">
        <w:t xml:space="preserve">is often </w:t>
      </w:r>
      <w:r w:rsidRPr="008C75E5">
        <w:t>persistent and multigenerational</w:t>
      </w:r>
      <w:r w:rsidRPr="00434DFB">
        <w:t>: families experience long-term poverty that is “passed down” and deeply entrench</w:t>
      </w:r>
      <w:r w:rsidRPr="00D303F7">
        <w:t>ed (House of Commons Education Committee, 2021).</w:t>
      </w:r>
    </w:p>
    <w:p w14:paraId="52A9579A" w14:textId="10E48E61" w:rsidR="00B54720" w:rsidRDefault="00B54720" w:rsidP="00B54720">
      <w:pPr>
        <w:spacing w:line="360" w:lineRule="auto"/>
        <w:jc w:val="both"/>
      </w:pPr>
      <w:r w:rsidRPr="00434DFB">
        <w:t xml:space="preserve">Such structural poverty may </w:t>
      </w:r>
      <w:r>
        <w:t xml:space="preserve">also </w:t>
      </w:r>
      <w:r w:rsidRPr="00434DFB">
        <w:t>be compounded by location</w:t>
      </w:r>
      <w:r>
        <w:t xml:space="preserve"> and geographical differences. </w:t>
      </w:r>
      <w:r w:rsidRPr="00434DFB">
        <w:t>Disadvantaged white families</w:t>
      </w:r>
      <w:r>
        <w:t xml:space="preserve"> in England</w:t>
      </w:r>
      <w:r w:rsidRPr="00434DFB">
        <w:t xml:space="preserve"> disproportionately live in deprived regions (post-industrial towns, coastal or rural areas) that have suffered economic decline and under-investment</w:t>
      </w:r>
      <w:r>
        <w:t xml:space="preserve"> (Garner, 2011)</w:t>
      </w:r>
      <w:r w:rsidRPr="00434DFB">
        <w:t xml:space="preserve">. </w:t>
      </w:r>
      <w:r>
        <w:t xml:space="preserve">In contrast, </w:t>
      </w:r>
      <w:r w:rsidRPr="00434DFB">
        <w:t>ethnic-minority pupils tend to be concentrated in</w:t>
      </w:r>
      <w:r>
        <w:t xml:space="preserve"> </w:t>
      </w:r>
      <w:r w:rsidRPr="00434DFB">
        <w:t xml:space="preserve">urban or suburban areas </w:t>
      </w:r>
      <w:r>
        <w:t xml:space="preserve">(e.g. </w:t>
      </w:r>
      <w:r w:rsidRPr="00434DFB">
        <w:t>London and the West Midlands</w:t>
      </w:r>
      <w:r>
        <w:t xml:space="preserve">). These areas differ in their local employment opportunities, communities and accessibility of resources/programmes (e.g. distances to universities and the outreach activities that they may offer). </w:t>
      </w:r>
      <w:r w:rsidRPr="00434DFB">
        <w:t>In effect, place-based disadvantage</w:t>
      </w:r>
      <w:r>
        <w:t xml:space="preserve"> may</w:t>
      </w:r>
      <w:r w:rsidRPr="00434DFB">
        <w:t xml:space="preserve"> magnif</w:t>
      </w:r>
      <w:r>
        <w:t>y</w:t>
      </w:r>
      <w:r w:rsidRPr="00434DFB">
        <w:t xml:space="preserve"> </w:t>
      </w:r>
      <w:r>
        <w:t xml:space="preserve">social </w:t>
      </w:r>
      <w:r w:rsidRPr="00434DFB">
        <w:t xml:space="preserve">class disadvantage </w:t>
      </w:r>
      <w:r>
        <w:t>amongst</w:t>
      </w:r>
      <w:r w:rsidRPr="00434DFB">
        <w:t xml:space="preserve"> white pupils</w:t>
      </w:r>
      <w:r>
        <w:t xml:space="preserve"> (Bright, 2011); they disproportionately live in areas where well-paying jobs have declined and unemployment has increased, leading</w:t>
      </w:r>
      <w:r w:rsidR="000E1A09">
        <w:t xml:space="preserve"> them</w:t>
      </w:r>
      <w:r>
        <w:t xml:space="preserve"> </w:t>
      </w:r>
      <w:r w:rsidRPr="00557EA1">
        <w:t>to undervalue education and schooling (House of Commons Education Committee, 2021).</w:t>
      </w:r>
      <w:r w:rsidR="00450FAD">
        <w:t xml:space="preserve"> </w:t>
      </w:r>
      <w:r w:rsidRPr="00557EA1">
        <w:t>This</w:t>
      </w:r>
      <w:r>
        <w:t xml:space="preserve"> may also interact with the cultural explanations discussed above;</w:t>
      </w:r>
      <w:r w:rsidRPr="00434DFB">
        <w:t xml:space="preserve"> </w:t>
      </w:r>
      <w:r>
        <w:t>as</w:t>
      </w:r>
      <w:r w:rsidRPr="00434DFB">
        <w:t xml:space="preserve"> many</w:t>
      </w:r>
      <w:r>
        <w:t xml:space="preserve"> WWC</w:t>
      </w:r>
      <w:r w:rsidRPr="00434DFB">
        <w:t xml:space="preserve"> families have long histories of low-skill employment,</w:t>
      </w:r>
      <w:r>
        <w:t xml:space="preserve"> place-based inequalities may lead young people from these backgrounds to grow up in low-aspiration families and local communities (Bright, 0211).</w:t>
      </w:r>
    </w:p>
    <w:p w14:paraId="45929D77" w14:textId="507896F3" w:rsidR="00B54720" w:rsidRDefault="00B54720" w:rsidP="00B54720">
      <w:pPr>
        <w:spacing w:line="360" w:lineRule="auto"/>
        <w:jc w:val="both"/>
      </w:pPr>
      <w:r>
        <w:lastRenderedPageBreak/>
        <w:t xml:space="preserve">Finally, school-level factors may also play a key role. For instance, socio-economically disadvantaged pupils may face </w:t>
      </w:r>
      <w:r w:rsidRPr="00434DFB">
        <w:t xml:space="preserve">lower teacher expectations and </w:t>
      </w:r>
      <w:r>
        <w:t xml:space="preserve">be more likely to experience </w:t>
      </w:r>
      <w:r w:rsidRPr="00434DFB">
        <w:t>subconscious biases</w:t>
      </w:r>
      <w:r>
        <w:t xml:space="preserve"> than more advantaged pupils (Doyle, 2023). Such differences in biases and expectations may also </w:t>
      </w:r>
      <w:r w:rsidRPr="00434DFB">
        <w:t>operate along ethnic lines</w:t>
      </w:r>
      <w:r>
        <w:t xml:space="preserve"> (Doyle, 2024)</w:t>
      </w:r>
      <w:r w:rsidRPr="00434DFB">
        <w:t>.</w:t>
      </w:r>
      <w:r>
        <w:t xml:space="preserve"> This </w:t>
      </w:r>
      <w:r w:rsidR="00F31B46">
        <w:t>may</w:t>
      </w:r>
      <w:r>
        <w:t xml:space="preserve"> then </w:t>
      </w:r>
      <w:r w:rsidR="00F31B46">
        <w:t>be</w:t>
      </w:r>
      <w:r>
        <w:t xml:space="preserve"> compounded by more general negative stereotyping across society of the WWC (Taylor-Hill, 2024). These differences may then lead to tangible differences in important decisions made within schools, including pupils from certain backgrounds being more </w:t>
      </w:r>
      <w:r w:rsidRPr="003F1CD1">
        <w:t>likely to be misallocated into the wrong achievement group (Connolley et al., 2019)</w:t>
      </w:r>
      <w:r w:rsidR="00E966F7">
        <w:t>. This may lead</w:t>
      </w:r>
      <w:r w:rsidRPr="003F1CD1">
        <w:t xml:space="preserve"> </w:t>
      </w:r>
      <w:r w:rsidRPr="003F1CD1">
        <w:rPr>
          <w:color w:val="000000" w:themeColor="text1"/>
        </w:rPr>
        <w:t>to self-fulfilling prophecies (</w:t>
      </w:r>
      <w:r w:rsidRPr="003F1CD1">
        <w:rPr>
          <w:rFonts w:cs="Times New Roman"/>
          <w:color w:val="000000" w:themeColor="text1"/>
        </w:rPr>
        <w:t>Jussim, 1989; Turetsky, 2021</w:t>
      </w:r>
      <w:r w:rsidRPr="003F1CD1">
        <w:rPr>
          <w:color w:val="000000" w:themeColor="text1"/>
        </w:rPr>
        <w:t xml:space="preserve">), </w:t>
      </w:r>
      <w:r w:rsidR="00E966F7">
        <w:rPr>
          <w:color w:val="000000" w:themeColor="text1"/>
        </w:rPr>
        <w:t>with</w:t>
      </w:r>
      <w:r w:rsidRPr="003F1CD1">
        <w:rPr>
          <w:color w:val="000000" w:themeColor="text1"/>
        </w:rPr>
        <w:t xml:space="preserve"> </w:t>
      </w:r>
      <w:r>
        <w:t>WWC pupils</w:t>
      </w:r>
      <w:r w:rsidR="00E966F7">
        <w:t xml:space="preserve"> disengaging</w:t>
      </w:r>
      <w:r>
        <w:t xml:space="preserve"> from school and</w:t>
      </w:r>
      <w:r w:rsidR="00E966F7">
        <w:t xml:space="preserve"> going on</w:t>
      </w:r>
      <w:r>
        <w:t xml:space="preserve"> to underachieve. Again, </w:t>
      </w:r>
      <w:r w:rsidR="000D3C79">
        <w:t>these school-level</w:t>
      </w:r>
      <w:r>
        <w:t xml:space="preserve"> factors </w:t>
      </w:r>
      <w:r w:rsidR="000D3C79">
        <w:t>may</w:t>
      </w:r>
      <w:r>
        <w:t xml:space="preserve"> interact with cultural explanations for WWC underachievement. For instance, The WWC’s </w:t>
      </w:r>
      <w:r w:rsidRPr="00434DFB">
        <w:t xml:space="preserve">street-savvy form of knowledge and identity may be </w:t>
      </w:r>
      <w:r w:rsidRPr="00557EA1">
        <w:t>labelled as disruptive by teachers, rather than valued as legitimate learning disposition. Indeed, Simpson (2023) notes</w:t>
      </w:r>
      <w:r>
        <w:t xml:space="preserve"> how </w:t>
      </w:r>
      <w:r w:rsidRPr="00333439">
        <w:t xml:space="preserve">middle-class schooling habitus </w:t>
      </w:r>
      <w:r>
        <w:t>may interpret aspects of</w:t>
      </w:r>
      <w:r w:rsidRPr="00333439">
        <w:t xml:space="preserve"> working-class cultur</w:t>
      </w:r>
      <w:r>
        <w:t>e</w:t>
      </w:r>
      <w:r w:rsidRPr="00333439">
        <w:t xml:space="preserve"> </w:t>
      </w:r>
      <w:r>
        <w:t>(e.g. leisure interests) as deficits, which then lead to WWC pupils becoming less emotionally engaged with school.</w:t>
      </w:r>
    </w:p>
    <w:p w14:paraId="1352494D" w14:textId="203ABF68" w:rsidR="00B54720" w:rsidRPr="00B54720" w:rsidRDefault="00B54720" w:rsidP="00B54720">
      <w:pPr>
        <w:spacing w:line="360" w:lineRule="auto"/>
        <w:jc w:val="both"/>
      </w:pPr>
      <w:r>
        <w:t xml:space="preserve">Other aspects of the school environment have also been highlighted as potential factors contributing to the underachievement of the WWC. This includes the curriculum and pedagogy, </w:t>
      </w:r>
      <w:r w:rsidR="0088013D">
        <w:t>with</w:t>
      </w:r>
      <w:r>
        <w:t xml:space="preserve"> </w:t>
      </w:r>
      <w:r w:rsidRPr="00434DFB">
        <w:t>rigid, academic-focused curricu</w:t>
      </w:r>
      <w:r>
        <w:t xml:space="preserve">la </w:t>
      </w:r>
      <w:r w:rsidRPr="00434DFB">
        <w:t>feel</w:t>
      </w:r>
      <w:r>
        <w:t>ing</w:t>
      </w:r>
      <w:r w:rsidRPr="00434DFB">
        <w:t xml:space="preserve"> irrelevant to many.</w:t>
      </w:r>
      <w:r>
        <w:t xml:space="preserve"> Indeed, evidence submitted into a parliamentary enquiry suggested that part of the reason why </w:t>
      </w:r>
      <w:r w:rsidR="0088013D">
        <w:t>the WWC</w:t>
      </w:r>
      <w:r>
        <w:t xml:space="preserve"> become disengaged is that</w:t>
      </w:r>
      <w:r w:rsidRPr="00434DFB">
        <w:t xml:space="preserve"> “</w:t>
      </w:r>
      <w:r w:rsidRPr="001B4AEC">
        <w:rPr>
          <w:i/>
          <w:iCs/>
        </w:rPr>
        <w:t xml:space="preserve">schools offer them nothing they can see as relevant to </w:t>
      </w:r>
      <w:r w:rsidRPr="00616788">
        <w:rPr>
          <w:i/>
          <w:iCs/>
        </w:rPr>
        <w:t>their lives</w:t>
      </w:r>
      <w:r w:rsidRPr="00616788">
        <w:t>” (House of Commons Education Committee, 2015). This</w:t>
      </w:r>
      <w:r>
        <w:t xml:space="preserve"> may be compounded by the fact that schools serving WWC communities often face the greatest challenges with teacher </w:t>
      </w:r>
      <w:r w:rsidRPr="00333439">
        <w:t xml:space="preserve">recruitment and retention, </w:t>
      </w:r>
      <w:r>
        <w:t xml:space="preserve">resulting in </w:t>
      </w:r>
      <w:r w:rsidR="00A70B71">
        <w:t>WWC</w:t>
      </w:r>
      <w:r>
        <w:t xml:space="preserve"> pupils being taught</w:t>
      </w:r>
      <w:r w:rsidR="00455B47">
        <w:t xml:space="preserve"> high-turnover schools with</w:t>
      </w:r>
      <w:r>
        <w:t xml:space="preserve"> less experienced teachers (Arthur &amp; Bradley, 2023).</w:t>
      </w:r>
    </w:p>
    <w:p w14:paraId="59E89433" w14:textId="13AA9CE9" w:rsidR="005A6139" w:rsidRPr="00B54720" w:rsidRDefault="005A6139" w:rsidP="00B54720">
      <w:pPr>
        <w:rPr>
          <w:u w:val="single"/>
        </w:rPr>
      </w:pPr>
      <w:r w:rsidRPr="00B54720">
        <w:rPr>
          <w:u w:val="single"/>
        </w:rPr>
        <w:t>School engagement</w:t>
      </w:r>
    </w:p>
    <w:p w14:paraId="129C489E" w14:textId="26A11C9E" w:rsidR="005A6139" w:rsidRDefault="00CB2838" w:rsidP="008F1BF2">
      <w:pPr>
        <w:spacing w:line="360" w:lineRule="auto"/>
        <w:jc w:val="both"/>
      </w:pPr>
      <w:r>
        <w:t xml:space="preserve">The theoretical basis for our work has its foundations in </w:t>
      </w:r>
      <w:r w:rsidR="00993BBB">
        <w:t>the</w:t>
      </w:r>
      <w:r>
        <w:t xml:space="preserve"> school engagement</w:t>
      </w:r>
      <w:r w:rsidR="00993BBB">
        <w:t xml:space="preserve"> literature</w:t>
      </w:r>
      <w:r>
        <w:t>, originating from the US (</w:t>
      </w:r>
      <w:r w:rsidR="00584E2D">
        <w:t>Fredricks et al, 2004</w:t>
      </w:r>
      <w:r>
        <w:t>).</w:t>
      </w:r>
      <w:r w:rsidR="00C26782">
        <w:t xml:space="preserve"> </w:t>
      </w:r>
      <w:r w:rsidR="00993BBB">
        <w:t>This</w:t>
      </w:r>
      <w:r w:rsidR="00C26782">
        <w:t xml:space="preserve"> conceptualise</w:t>
      </w:r>
      <w:r w:rsidR="00993BBB">
        <w:t>s engagement</w:t>
      </w:r>
      <w:r w:rsidR="00C26782">
        <w:t xml:space="preserve"> </w:t>
      </w:r>
      <w:r w:rsidR="006F15F0">
        <w:t>as being formed of three components: cognitive, emotional and behavioural. Jerrim (2025</w:t>
      </w:r>
      <w:r w:rsidR="00993BBB">
        <w:t>b</w:t>
      </w:r>
      <w:r w:rsidR="006F15F0">
        <w:t>) illustrat</w:t>
      </w:r>
      <w:r w:rsidR="00FC5B4B">
        <w:t>es</w:t>
      </w:r>
      <w:r w:rsidR="006F15F0">
        <w:t xml:space="preserve"> the link between these components, displayed in Figure 1 below.</w:t>
      </w:r>
    </w:p>
    <w:p w14:paraId="2CAC5BF0" w14:textId="44F97E05" w:rsidR="006F15F0" w:rsidRPr="003D3834" w:rsidRDefault="006F15F0" w:rsidP="006F15F0">
      <w:pPr>
        <w:spacing w:line="360" w:lineRule="auto"/>
        <w:jc w:val="center"/>
        <w:rPr>
          <w:b/>
          <w:bCs/>
        </w:rPr>
      </w:pPr>
      <w:r w:rsidRPr="003D3834">
        <w:rPr>
          <w:b/>
          <w:bCs/>
        </w:rPr>
        <w:lastRenderedPageBreak/>
        <w:t>&lt;&lt; Figure 1 &gt;&gt;</w:t>
      </w:r>
    </w:p>
    <w:p w14:paraId="22A32F9C" w14:textId="45273581" w:rsidR="00CB2838" w:rsidRDefault="00FC5B4B" w:rsidP="003D3834">
      <w:pPr>
        <w:spacing w:line="360" w:lineRule="auto"/>
        <w:jc w:val="both"/>
      </w:pPr>
      <w:r>
        <w:t>C</w:t>
      </w:r>
      <w:r w:rsidR="006F15F0">
        <w:t xml:space="preserve">ognitive engagement refers to what a young person </w:t>
      </w:r>
      <w:r w:rsidR="006F15F0">
        <w:rPr>
          <w:i/>
          <w:iCs/>
          <w:u w:val="single"/>
        </w:rPr>
        <w:t>thinks</w:t>
      </w:r>
      <w:r w:rsidR="006F15F0">
        <w:t xml:space="preserve"> about education and their school.</w:t>
      </w:r>
      <w:r w:rsidR="00575815">
        <w:t xml:space="preserve"> This in itself is formed of several sub-components.</w:t>
      </w:r>
      <w:r w:rsidR="0075115A">
        <w:t xml:space="preserve"> It includes the extent that young people value education (i.e. the extent they believe school is worthwhile) and their sense of agency (i.e. the extent they believe they can influence their school outcomes). This </w:t>
      </w:r>
      <w:r w:rsidR="003D3834">
        <w:t>is built on a long line of research illustrating the importance of value, locus of control and agency in leading individuals to take the actions needed to achiev</w:t>
      </w:r>
      <w:r w:rsidR="00480F9F">
        <w:t xml:space="preserve">e </w:t>
      </w:r>
      <w:r w:rsidR="003D3834">
        <w:t>their goals</w:t>
      </w:r>
      <w:r w:rsidR="008D7D3D">
        <w:t xml:space="preserve"> (see </w:t>
      </w:r>
      <w:r w:rsidR="008D7D3D" w:rsidRPr="008D7D3D">
        <w:t>Haidari</w:t>
      </w:r>
      <w:r w:rsidR="008D7D3D">
        <w:t xml:space="preserve"> et al., 2023, for a review)</w:t>
      </w:r>
      <w:r w:rsidR="003D3834">
        <w:t xml:space="preserve">. </w:t>
      </w:r>
    </w:p>
    <w:p w14:paraId="5B627E48" w14:textId="041692F2" w:rsidR="003D3834" w:rsidRDefault="003D3834" w:rsidP="003D3834">
      <w:pPr>
        <w:spacing w:line="360" w:lineRule="auto"/>
        <w:jc w:val="both"/>
      </w:pPr>
      <w:r>
        <w:t xml:space="preserve">The second component is young people’s emotional engagement with school. This captures what they </w:t>
      </w:r>
      <w:r>
        <w:rPr>
          <w:u w:val="single"/>
        </w:rPr>
        <w:t>feel</w:t>
      </w:r>
      <w:r>
        <w:t xml:space="preserve"> about being in school, including the extent they enjoy it and the quality of their inter-personal relationships (e.g. with teachers, with their peers). </w:t>
      </w:r>
      <w:r w:rsidR="00BF0B17">
        <w:t xml:space="preserve"> Research has suggested that stronger relationships with others plays an important role in supporting pupil attendance and potentially their achievement (</w:t>
      </w:r>
      <w:r w:rsidR="002317AD">
        <w:t>Gubbels et al., 2019</w:t>
      </w:r>
      <w:r w:rsidR="00BF0B17">
        <w:t xml:space="preserve">). </w:t>
      </w:r>
      <w:r w:rsidR="00BF7056">
        <w:t xml:space="preserve">Likewise, various studies – based on a selection of theories within positive psychology (e.g. </w:t>
      </w:r>
      <w:r w:rsidR="00DE101B">
        <w:t>Fredrickson, 2001</w:t>
      </w:r>
      <w:r w:rsidR="00BF7056">
        <w:t xml:space="preserve">) </w:t>
      </w:r>
      <w:r w:rsidR="00C16A9C">
        <w:t>– have linke</w:t>
      </w:r>
      <w:r w:rsidR="00C16A9C" w:rsidRPr="002B0FC5">
        <w:t>d positive emotions to better future outcomes (</w:t>
      </w:r>
      <w:r w:rsidR="002B0FC5" w:rsidRPr="002B0FC5">
        <w:t>Lyubomirsky et al., 2005</w:t>
      </w:r>
      <w:r w:rsidR="00C16A9C">
        <w:t>). This</w:t>
      </w:r>
      <w:r w:rsidR="00340456">
        <w:t xml:space="preserve"> includes work documenting links between positive emotions towards school and subsequent gains in young people’s cognitive and socio-emotional skills (</w:t>
      </w:r>
      <w:r w:rsidR="002317AD">
        <w:t>Pekrun et al., 2017</w:t>
      </w:r>
      <w:r w:rsidR="00340456">
        <w:t>).</w:t>
      </w:r>
    </w:p>
    <w:p w14:paraId="18982343" w14:textId="37A8D462" w:rsidR="00030E96" w:rsidRDefault="00030E96" w:rsidP="003D3834">
      <w:pPr>
        <w:spacing w:line="360" w:lineRule="auto"/>
        <w:jc w:val="both"/>
      </w:pPr>
      <w:r>
        <w:t xml:space="preserve">These two components (cognitive and emotional) then combine to influence pupil’s behavioural engagement at and towards school. In essence, it is these behavioural </w:t>
      </w:r>
      <w:r>
        <w:rPr>
          <w:u w:val="single"/>
        </w:rPr>
        <w:t>actions</w:t>
      </w:r>
      <w:r>
        <w:t xml:space="preserve"> that </w:t>
      </w:r>
      <w:r w:rsidR="00510B3D">
        <w:t>convert young people’s cognitive and emotional engagement into academic and socio-emotional outcomes. For instance, a young person who is cognitively and emotionally engaged with school will be more likely to attend (a measure of behavioural engagement), with evidence suggesting that each day of school absence</w:t>
      </w:r>
      <w:r w:rsidR="00F40823">
        <w:t xml:space="preserve"> is</w:t>
      </w:r>
      <w:r w:rsidR="00510B3D">
        <w:t xml:space="preserve"> linked with </w:t>
      </w:r>
      <w:r w:rsidR="00DE101B">
        <w:t>0.3% of a</w:t>
      </w:r>
      <w:r w:rsidR="00510B3D">
        <w:t xml:space="preserve"> standard deviation decline in pupil achievement (</w:t>
      </w:r>
      <w:r w:rsidR="00DE101B">
        <w:t>Sims, 2020</w:t>
      </w:r>
      <w:r w:rsidR="00510B3D">
        <w:t>).</w:t>
      </w:r>
      <w:r w:rsidR="00F8766A">
        <w:t xml:space="preserve"> Yet behavioural engagement also encompass</w:t>
      </w:r>
      <w:r w:rsidR="00F40823">
        <w:t>es</w:t>
      </w:r>
      <w:r w:rsidR="00F8766A">
        <w:t xml:space="preserve"> a wide array of other actions teachers expect of pupils, including concentrating and working hard during lessons, following school rules and handing in homework on time.</w:t>
      </w:r>
    </w:p>
    <w:p w14:paraId="04248EFA" w14:textId="1200D1F7" w:rsidR="005A6139" w:rsidRPr="00F8766A" w:rsidRDefault="00BB1F58" w:rsidP="00F8766A">
      <w:pPr>
        <w:spacing w:line="360" w:lineRule="auto"/>
        <w:jc w:val="both"/>
      </w:pPr>
      <w:r>
        <w:lastRenderedPageBreak/>
        <w:t>W</w:t>
      </w:r>
      <w:r w:rsidR="00F8766A">
        <w:t>e draw on this</w:t>
      </w:r>
      <w:r>
        <w:t xml:space="preserve"> broad</w:t>
      </w:r>
      <w:r w:rsidR="00F8766A">
        <w:t xml:space="preserve"> framework</w:t>
      </w:r>
      <w:r>
        <w:t xml:space="preserve"> throughout this paper</w:t>
      </w:r>
      <w:r w:rsidR="00F8766A">
        <w:t xml:space="preserve"> to document how the cognitive, emotional and behavioural engagement of WWC pupils compares to their peers of other ethnicities from different socio-economic backgrounds.</w:t>
      </w:r>
    </w:p>
    <w:p w14:paraId="1501968E" w14:textId="4DBB1822" w:rsidR="005A6139" w:rsidRPr="005A6139" w:rsidRDefault="005A6139" w:rsidP="00450FAD">
      <w:pPr>
        <w:spacing w:line="360" w:lineRule="auto"/>
        <w:rPr>
          <w:u w:val="single"/>
        </w:rPr>
      </w:pPr>
      <w:r>
        <w:rPr>
          <w:u w:val="single"/>
        </w:rPr>
        <w:t>Existing literature</w:t>
      </w:r>
    </w:p>
    <w:p w14:paraId="34440078" w14:textId="0BD649FE" w:rsidR="00450FAD" w:rsidRDefault="00450FAD" w:rsidP="00450FAD">
      <w:pPr>
        <w:spacing w:line="360" w:lineRule="auto"/>
        <w:jc w:val="both"/>
      </w:pPr>
      <w:r w:rsidRPr="005A624A">
        <w:t xml:space="preserve">A host of studies have documented the underachievement of </w:t>
      </w:r>
      <w:r w:rsidRPr="00B720B9">
        <w:t>White working-class (WWC) pupils in England</w:t>
      </w:r>
      <w:r w:rsidRPr="005A624A">
        <w:t xml:space="preserve">. Quantitative </w:t>
      </w:r>
      <w:r w:rsidR="00F304D6">
        <w:t>research</w:t>
      </w:r>
      <w:r w:rsidRPr="005A624A">
        <w:t xml:space="preserve"> in this area </w:t>
      </w:r>
      <w:r w:rsidR="00F304D6">
        <w:t>has</w:t>
      </w:r>
      <w:r w:rsidRPr="005A624A">
        <w:t xml:space="preserve"> largely drawn upon administrative data and focused on performance in national examinations, in order to achieve the required sample sizes. For instance, a recent analysis of the National Pupil Database (NPD) </w:t>
      </w:r>
      <w:r w:rsidRPr="00B720B9">
        <w:t xml:space="preserve">by Prior et al. (2022) </w:t>
      </w:r>
      <w:r w:rsidRPr="005A624A">
        <w:t>illustrated how</w:t>
      </w:r>
      <w:r w:rsidRPr="00B720B9">
        <w:t xml:space="preserve"> WWC pupils </w:t>
      </w:r>
      <w:r w:rsidR="004039CE">
        <w:t>underachievement are</w:t>
      </w:r>
      <w:r w:rsidRPr="00B720B9">
        <w:t xml:space="preserve"> due to </w:t>
      </w:r>
      <w:r w:rsidRPr="005A624A">
        <w:t>additive effects of socio-economic disadvantage, ethnicity and special educational needs. The work of Strand (2014) is similar, in that he also finds WWC – along with Black Caribbean – pupils to achieve the lowest grades in England’s age 16 national examinations. However, he also suggests that the socio-economic gradient in achievement is steeper amongst White pupils than other ethnic groups.</w:t>
      </w:r>
      <w:r>
        <w:t xml:space="preserve"> His analysis also considers factors such as differences in parental attitudes and measures of pupil’s behavioural engagement with school (e.g. absences; completing homework on time), though</w:t>
      </w:r>
      <w:r w:rsidR="00056B1A">
        <w:t xml:space="preserve"> thi</w:t>
      </w:r>
      <w:r w:rsidR="00085337">
        <w:t>s</w:t>
      </w:r>
      <w:r>
        <w:t xml:space="preserve"> is limited by </w:t>
      </w:r>
      <w:r w:rsidR="00085337">
        <w:t>the</w:t>
      </w:r>
      <w:r>
        <w:t xml:space="preserve"> small</w:t>
      </w:r>
      <w:r w:rsidR="00085337">
        <w:t xml:space="preserve"> sample size available (being based on survey data)</w:t>
      </w:r>
      <w:r>
        <w:t>.</w:t>
      </w:r>
    </w:p>
    <w:p w14:paraId="489C6E65" w14:textId="180766C9" w:rsidR="00450FAD" w:rsidRPr="00450FAD" w:rsidRDefault="00450FAD" w:rsidP="00450FAD">
      <w:pPr>
        <w:spacing w:line="360" w:lineRule="auto"/>
        <w:jc w:val="both"/>
      </w:pPr>
      <w:r>
        <w:t xml:space="preserve">Otherwise, investigations into WWC pupils in England has often drawn heavily upon qualitative research. </w:t>
      </w:r>
      <w:r w:rsidRPr="00715E26">
        <w:t>E</w:t>
      </w:r>
      <w:r w:rsidRPr="00B720B9">
        <w:t>arly sociological work by Willis (1977) pointed to the reproduction of working-class identities through resistance to schooling</w:t>
      </w:r>
      <w:r>
        <w:t xml:space="preserve">. These ideas have been built on more recently, with the </w:t>
      </w:r>
      <w:r w:rsidRPr="00EE3E0E">
        <w:t xml:space="preserve">work of </w:t>
      </w:r>
      <w:r w:rsidRPr="00B720B9">
        <w:t xml:space="preserve">Sode (2021) </w:t>
      </w:r>
      <w:r w:rsidRPr="00EE3E0E">
        <w:t>suggest</w:t>
      </w:r>
      <w:r>
        <w:t>ing</w:t>
      </w:r>
      <w:r w:rsidRPr="00EE3E0E">
        <w:t xml:space="preserve"> that underachievement by the WWC </w:t>
      </w:r>
      <w:r w:rsidR="00B927B5">
        <w:t>is</w:t>
      </w:r>
      <w:r w:rsidRPr="00EE3E0E">
        <w:t xml:space="preserve"> driven by hidden curriculum in schools, misrecognised aspirations, </w:t>
      </w:r>
      <w:r w:rsidRPr="004C2CC9">
        <w:t xml:space="preserve">parental influences and negative perceptions of education. This is consistent with the research of </w:t>
      </w:r>
      <w:r w:rsidRPr="00B720B9">
        <w:t>Reay (2017)</w:t>
      </w:r>
      <w:r w:rsidRPr="004C2CC9">
        <w:t>, who suggests</w:t>
      </w:r>
      <w:r>
        <w:t xml:space="preserve"> that </w:t>
      </w:r>
      <w:r w:rsidR="00712B1A">
        <w:t xml:space="preserve">WWC </w:t>
      </w:r>
      <w:r>
        <w:t xml:space="preserve">underachievement is related to </w:t>
      </w:r>
      <w:r w:rsidRPr="00B720B9">
        <w:t>misrecognition, institutional bias, and a lack of cultural capital</w:t>
      </w:r>
      <w:r>
        <w:t>. Based on case studies and focus groups, Demie and Lewis (2010) conclude the low parental aspirations, f</w:t>
      </w:r>
      <w:r w:rsidRPr="003E7201">
        <w:t>eelings of marginalisation</w:t>
      </w:r>
      <w:r>
        <w:t xml:space="preserve"> and a lack of school engagement amongst WWC children and their families is responsible for their </w:t>
      </w:r>
      <w:r w:rsidR="00380A32">
        <w:t>poor outcomes at school</w:t>
      </w:r>
      <w:r>
        <w:t xml:space="preserve">. Using focus groups, Simpson (2024) finds that </w:t>
      </w:r>
      <w:r w:rsidRPr="00DB4D7F">
        <w:t>pedagogic practices</w:t>
      </w:r>
      <w:r>
        <w:t xml:space="preserve"> used in schools limited how safe WWC pupils feel and limit their opportunities to actively engage in class. Similarly, drawing </w:t>
      </w:r>
      <w:r w:rsidR="00BC6827">
        <w:t>upon</w:t>
      </w:r>
      <w:r>
        <w:t xml:space="preserve"> case studies, </w:t>
      </w:r>
      <w:r w:rsidRPr="00DB4D7F">
        <w:t>Wilson &amp; McGuire</w:t>
      </w:r>
      <w:r>
        <w:t xml:space="preserve"> (2022) find that misalignment between values of WWC </w:t>
      </w:r>
      <w:r>
        <w:lastRenderedPageBreak/>
        <w:t>mothers and schools leads these mothers to develop negative</w:t>
      </w:r>
      <w:r w:rsidR="002364DD">
        <w:t xml:space="preserve"> school</w:t>
      </w:r>
      <w:r>
        <w:t xml:space="preserve"> attitudes and</w:t>
      </w:r>
      <w:r w:rsidR="00EA2851">
        <w:t xml:space="preserve"> making</w:t>
      </w:r>
      <w:r>
        <w:t xml:space="preserve"> </w:t>
      </w:r>
      <w:r w:rsidRPr="00A53309">
        <w:t xml:space="preserve">them feel unable to navigate the </w:t>
      </w:r>
      <w:r>
        <w:t>education</w:t>
      </w:r>
      <w:r w:rsidRPr="00A53309">
        <w:t xml:space="preserve"> system</w:t>
      </w:r>
      <w:r>
        <w:t>.</w:t>
      </w:r>
    </w:p>
    <w:p w14:paraId="7F76AD48" w14:textId="2DCA6549" w:rsidR="005A6139" w:rsidRPr="005A6139" w:rsidRDefault="005A6139" w:rsidP="005A6139">
      <w:pPr>
        <w:rPr>
          <w:u w:val="single"/>
        </w:rPr>
      </w:pPr>
      <w:r>
        <w:rPr>
          <w:u w:val="single"/>
        </w:rPr>
        <w:t>Research questions</w:t>
      </w:r>
    </w:p>
    <w:p w14:paraId="37208ACD" w14:textId="6A62E5B6" w:rsidR="005A6139" w:rsidRDefault="00DF36D8" w:rsidP="00F8766A">
      <w:pPr>
        <w:spacing w:line="360" w:lineRule="auto"/>
        <w:jc w:val="both"/>
      </w:pPr>
      <w:r>
        <w:t xml:space="preserve">The aforementioned research has made important contributions to our understanding of school outcomes amongst WWC pupils, and more broadly intersectionality across demographic characteristics. However, some clear gaps in the evidence base </w:t>
      </w:r>
      <w:r w:rsidR="004342BF">
        <w:t>remain</w:t>
      </w:r>
      <w:r>
        <w:t xml:space="preserve">. For instance, </w:t>
      </w:r>
      <w:r w:rsidR="00C233BC">
        <w:t xml:space="preserve">while prior research has documented how educational outcomes vary across different combinations of gender, family background and ethnicities, little analogous evidence is available on potential antecedents of these outcomes such as school engagement. Are WWC pupils less cognitively, emotionally and behaviourally engaged during secondary school than other groups, for example, and at what point do these differences emerge (e.g. are they apparent at the start of Year 7, or do they only become apparent as young people progress during Key Stage 3)? This gap in the evidence base is likely due to the demanding data requirements, where rich survey data is required from a large sample of pupils, ideally at multiple points during </w:t>
      </w:r>
      <w:r w:rsidR="003957BA">
        <w:t>the</w:t>
      </w:r>
      <w:r w:rsidR="00C233BC">
        <w:t xml:space="preserve"> academic year. </w:t>
      </w:r>
    </w:p>
    <w:p w14:paraId="1E3CB08B" w14:textId="52F64E52" w:rsidR="00F8766A" w:rsidRPr="00E3727C" w:rsidRDefault="00C233BC" w:rsidP="00E3727C">
      <w:pPr>
        <w:spacing w:line="360" w:lineRule="auto"/>
        <w:jc w:val="both"/>
      </w:pPr>
      <w:r>
        <w:t xml:space="preserve">This paper </w:t>
      </w:r>
      <w:r w:rsidR="009C77A3">
        <w:t xml:space="preserve">aims to fill this gap in the evidence base. Drawing on longitudinal data collected </w:t>
      </w:r>
      <w:r w:rsidR="007956C5">
        <w:t>via The Engagement Platform (TEP)</w:t>
      </w:r>
      <w:r w:rsidR="009C77A3">
        <w:t xml:space="preserve"> we investigate how school engagement amongst WWC pupils compares to other ethnic and socio-economic groups. Where possible, this includes breakdowns by gender, with</w:t>
      </w:r>
      <w:r w:rsidR="00B3567B">
        <w:t xml:space="preserve"> there being a particular dearth of </w:t>
      </w:r>
      <w:r w:rsidR="00674DAA">
        <w:t xml:space="preserve">quantitative </w:t>
      </w:r>
      <w:r w:rsidR="00B3567B">
        <w:t>research exploring</w:t>
      </w:r>
      <w:r w:rsidR="009C77A3">
        <w:t xml:space="preserve"> intersectionality</w:t>
      </w:r>
      <w:r w:rsidR="00B3567B">
        <w:t xml:space="preserve"> in school engagement</w:t>
      </w:r>
      <w:r w:rsidR="009C77A3">
        <w:t xml:space="preserve"> </w:t>
      </w:r>
      <w:r w:rsidR="00B3567B">
        <w:t>across</w:t>
      </w:r>
      <w:r w:rsidR="009C77A3">
        <w:t xml:space="preserve"> these three characteristics (gender, ethnicity and socio-economic status).</w:t>
      </w:r>
      <w:r w:rsidR="00E3727C">
        <w:t xml:space="preserve"> Uniquely, we are also able to document changes in pupil’s engagement levels as the academic year progresses, including whether the Year 7 engagement drop is particularly severe amongst the WWC. Thus, in summary, the paper will attempt to address the following RQs:</w:t>
      </w:r>
    </w:p>
    <w:p w14:paraId="609EEB9D" w14:textId="0276EFF2" w:rsidR="005A6139" w:rsidRDefault="005A6139" w:rsidP="00E3727C">
      <w:pPr>
        <w:pStyle w:val="ListParagraph"/>
        <w:numPr>
          <w:ilvl w:val="0"/>
          <w:numId w:val="4"/>
        </w:numPr>
        <w:spacing w:line="360" w:lineRule="auto"/>
        <w:jc w:val="both"/>
      </w:pPr>
      <w:r w:rsidRPr="005A6139">
        <w:t xml:space="preserve">RQ1. </w:t>
      </w:r>
      <w:r>
        <w:t xml:space="preserve">How does White Working-Class pupils’ </w:t>
      </w:r>
      <w:r w:rsidRPr="005A6139">
        <w:rPr>
          <w:u w:val="single"/>
        </w:rPr>
        <w:t>cognitive</w:t>
      </w:r>
      <w:r>
        <w:t xml:space="preserve"> engagement with school compare to other ethnic and socio-economic groups? </w:t>
      </w:r>
      <w:r w:rsidR="00FA18CE">
        <w:t>Is the drop in cognitive engagement particularly pronounced amongst the WWC?</w:t>
      </w:r>
    </w:p>
    <w:p w14:paraId="4E1C7D3D" w14:textId="7FCB6BAA" w:rsidR="005A6139" w:rsidRPr="005A6139" w:rsidRDefault="005A6139" w:rsidP="00E3727C">
      <w:pPr>
        <w:pStyle w:val="ListParagraph"/>
        <w:numPr>
          <w:ilvl w:val="0"/>
          <w:numId w:val="4"/>
        </w:numPr>
        <w:spacing w:line="360" w:lineRule="auto"/>
        <w:jc w:val="both"/>
      </w:pPr>
      <w:r w:rsidRPr="005A6139">
        <w:t>RQ</w:t>
      </w:r>
      <w:r>
        <w:t>2</w:t>
      </w:r>
      <w:r w:rsidRPr="005A6139">
        <w:t xml:space="preserve">. </w:t>
      </w:r>
      <w:r>
        <w:t xml:space="preserve">How does White Working-Class pupils’ </w:t>
      </w:r>
      <w:r>
        <w:rPr>
          <w:u w:val="single"/>
        </w:rPr>
        <w:t>emotional</w:t>
      </w:r>
      <w:r>
        <w:t xml:space="preserve"> engagement with school compare to other ethnic and socio-economic groups? </w:t>
      </w:r>
      <w:r w:rsidR="00FA18CE">
        <w:t>Is the drop in emotional engagement particularly pronounced amongst the WWC?</w:t>
      </w:r>
    </w:p>
    <w:p w14:paraId="7DF8BAAE" w14:textId="01CA3E4C" w:rsidR="00DE0022" w:rsidRDefault="005A6139" w:rsidP="007956C5">
      <w:pPr>
        <w:pStyle w:val="ListParagraph"/>
        <w:numPr>
          <w:ilvl w:val="0"/>
          <w:numId w:val="4"/>
        </w:numPr>
        <w:spacing w:line="360" w:lineRule="auto"/>
        <w:jc w:val="both"/>
      </w:pPr>
      <w:r w:rsidRPr="005A6139">
        <w:lastRenderedPageBreak/>
        <w:t>RQ</w:t>
      </w:r>
      <w:r>
        <w:t>3</w:t>
      </w:r>
      <w:r w:rsidRPr="005A6139">
        <w:t xml:space="preserve">. </w:t>
      </w:r>
      <w:r>
        <w:t xml:space="preserve">How does White Working-Class pupils’ </w:t>
      </w:r>
      <w:r>
        <w:rPr>
          <w:u w:val="single"/>
        </w:rPr>
        <w:t>behavioural</w:t>
      </w:r>
      <w:r>
        <w:t xml:space="preserve"> engagement with school compare to other ethnic and socio-economic groups? </w:t>
      </w:r>
      <w:r w:rsidR="00FA18CE">
        <w:t>Is the drop in behavioural engagement particularly pronounced amongst the WWC?</w:t>
      </w:r>
    </w:p>
    <w:p w14:paraId="7744E620" w14:textId="77777777" w:rsidR="00FA18CE" w:rsidRPr="005A6139" w:rsidRDefault="00FA18CE" w:rsidP="00FA18CE">
      <w:pPr>
        <w:pStyle w:val="ListParagraph"/>
        <w:spacing w:line="360" w:lineRule="auto"/>
        <w:jc w:val="both"/>
      </w:pPr>
    </w:p>
    <w:p w14:paraId="6BFDFC25" w14:textId="77777777" w:rsidR="005A6139" w:rsidRDefault="005A6139" w:rsidP="005A6139">
      <w:pPr>
        <w:pStyle w:val="ListParagraph"/>
        <w:numPr>
          <w:ilvl w:val="0"/>
          <w:numId w:val="3"/>
        </w:numPr>
        <w:rPr>
          <w:b/>
          <w:bCs/>
        </w:rPr>
      </w:pPr>
      <w:r>
        <w:rPr>
          <w:b/>
          <w:bCs/>
        </w:rPr>
        <w:t>Data and methodology</w:t>
      </w:r>
    </w:p>
    <w:p w14:paraId="616CE2A7" w14:textId="0C4C554E" w:rsidR="003904C6" w:rsidRDefault="00D43C68" w:rsidP="003904C6">
      <w:pPr>
        <w:spacing w:line="360" w:lineRule="auto"/>
        <w:jc w:val="both"/>
      </w:pPr>
      <w:r>
        <w:t>The data we use are drawn from The Engagement Platform (TEP). This is a commercial tool that surveys pupils at regular points during the academic year</w:t>
      </w:r>
      <w:r w:rsidR="006A6A30">
        <w:t>, designed</w:t>
      </w:r>
      <w:r>
        <w:t xml:space="preserve"> to inform school’s improvement plans. </w:t>
      </w:r>
      <w:r w:rsidR="000E2DD9">
        <w:t xml:space="preserve">It is a paid-for service, with the participating schools forming a convenience sample from the broader population. Nevertheless, as Appendix </w:t>
      </w:r>
      <w:r w:rsidR="00F43AFE">
        <w:t>A</w:t>
      </w:r>
      <w:r w:rsidR="000E2DD9">
        <w:t xml:space="preserve"> illustrates,</w:t>
      </w:r>
      <w:r w:rsidR="00D068E0">
        <w:t xml:space="preserve"> the distribution of participating secondary schools is very similar to the national population in terms of several observable characteristics. Our analysis </w:t>
      </w:r>
      <w:r w:rsidR="006A6A30">
        <w:t>uses</w:t>
      </w:r>
      <w:r w:rsidR="00D068E0">
        <w:t xml:space="preserve"> data collected </w:t>
      </w:r>
      <w:r w:rsidR="004E5351">
        <w:t>during</w:t>
      </w:r>
      <w:r w:rsidR="00D068E0">
        <w:t xml:space="preserve"> the 2024/25 academic year from across </w:t>
      </w:r>
      <w:r w:rsidR="00D303A2">
        <w:t>129</w:t>
      </w:r>
      <w:r w:rsidR="00D068E0">
        <w:t xml:space="preserve"> participating secondary schools.</w:t>
      </w:r>
    </w:p>
    <w:p w14:paraId="1DB71127" w14:textId="74FCA2FC" w:rsidR="00CD6C0D" w:rsidRDefault="00F25732" w:rsidP="003904C6">
      <w:pPr>
        <w:spacing w:line="360" w:lineRule="auto"/>
        <w:jc w:val="both"/>
      </w:pPr>
      <w:r>
        <w:t>Response rates within participating schools are relatively high. The TEP survey was completed by pupils three times (November, March and June) with average response rates standing around 70-80%. Moreover, these averages are dragged down</w:t>
      </w:r>
      <w:r w:rsidR="002412E1">
        <w:t>wards</w:t>
      </w:r>
      <w:r>
        <w:t xml:space="preserve"> by a small number of schools (</w:t>
      </w:r>
      <w:r w:rsidR="007A0675">
        <w:t>around 10%</w:t>
      </w:r>
      <w:r>
        <w:t xml:space="preserve">) with very low response rates (below </w:t>
      </w:r>
      <w:r w:rsidR="007A0675">
        <w:t>3</w:t>
      </w:r>
      <w:r>
        <w:t>5%)</w:t>
      </w:r>
      <w:r w:rsidR="002412E1">
        <w:t>. Th</w:t>
      </w:r>
      <w:r w:rsidR="007304AD">
        <w:t>e</w:t>
      </w:r>
      <w:r w:rsidR="002412E1">
        <w:t xml:space="preserve"> high pupil response rate should ensure</w:t>
      </w:r>
      <w:r>
        <w:t xml:space="preserve"> a high level of representativeness of pupils within participating schools.</w:t>
      </w:r>
      <w:r w:rsidR="006005EC">
        <w:t xml:space="preserve"> </w:t>
      </w:r>
    </w:p>
    <w:p w14:paraId="39A3A71B" w14:textId="0F7D28D4" w:rsidR="00AE6AE4" w:rsidRDefault="00AE6AE4" w:rsidP="003904C6">
      <w:pPr>
        <w:spacing w:line="360" w:lineRule="auto"/>
        <w:jc w:val="both"/>
      </w:pPr>
      <w:r>
        <w:t>TEP includes a set of</w:t>
      </w:r>
      <w:r w:rsidR="006A6A30">
        <w:t xml:space="preserve"> around</w:t>
      </w:r>
      <w:r>
        <w:t xml:space="preserve"> </w:t>
      </w:r>
      <w:r w:rsidR="006A6A30">
        <w:t>40</w:t>
      </w:r>
      <w:r>
        <w:t xml:space="preserve"> questions,</w:t>
      </w:r>
      <w:r w:rsidR="0024632B">
        <w:t xml:space="preserve"> with pupil’s responding to each using a 0-10 scale. These questions are designed to capture various aspects of pupil’s </w:t>
      </w:r>
      <w:r w:rsidR="00B7659D">
        <w:t xml:space="preserve">school </w:t>
      </w:r>
      <w:r w:rsidR="0024632B">
        <w:t xml:space="preserve">engagement. For cognitive engagement this </w:t>
      </w:r>
      <w:r w:rsidR="00B7659D">
        <w:t>encompasses</w:t>
      </w:r>
      <w:r w:rsidR="0024632B">
        <w:t>:</w:t>
      </w:r>
    </w:p>
    <w:p w14:paraId="27953327" w14:textId="1D7E0D12" w:rsidR="0024632B" w:rsidRDefault="0024632B" w:rsidP="0024632B">
      <w:pPr>
        <w:pStyle w:val="ListParagraph"/>
        <w:numPr>
          <w:ilvl w:val="0"/>
          <w:numId w:val="4"/>
        </w:numPr>
        <w:spacing w:line="360" w:lineRule="auto"/>
        <w:jc w:val="both"/>
      </w:pPr>
      <w:r>
        <w:t>The value pupil’s place on education (e.g.</w:t>
      </w:r>
      <w:r w:rsidR="006A6A30">
        <w:t xml:space="preserve"> “</w:t>
      </w:r>
      <w:r w:rsidR="006A6A30" w:rsidRPr="006A6A30">
        <w:rPr>
          <w:i/>
          <w:iCs/>
        </w:rPr>
        <w:t>What I learn at school will help me in the future</w:t>
      </w:r>
      <w:r w:rsidR="006A6A30">
        <w:t>”</w:t>
      </w:r>
      <w:r>
        <w:t>).</w:t>
      </w:r>
      <w:r w:rsidR="004C24BF">
        <w:t xml:space="preserve"> Cronbach’s alpha = </w:t>
      </w:r>
      <w:r w:rsidR="00A27C49">
        <w:t>0.86</w:t>
      </w:r>
      <w:r w:rsidR="004C24BF">
        <w:t>.</w:t>
      </w:r>
      <w:r w:rsidR="00EE1743">
        <w:t xml:space="preserve"> Mean = </w:t>
      </w:r>
      <w:r w:rsidR="00D7103C">
        <w:t>6.7</w:t>
      </w:r>
      <w:r w:rsidR="00EE1743">
        <w:t xml:space="preserve">, standard deviation = </w:t>
      </w:r>
      <w:r w:rsidR="00D7103C">
        <w:t>2.3</w:t>
      </w:r>
      <w:r w:rsidR="00EE1743">
        <w:t>.</w:t>
      </w:r>
    </w:p>
    <w:p w14:paraId="10081240" w14:textId="56FCE0A6" w:rsidR="0024632B" w:rsidRDefault="0024632B" w:rsidP="0024632B">
      <w:pPr>
        <w:pStyle w:val="ListParagraph"/>
        <w:numPr>
          <w:ilvl w:val="0"/>
          <w:numId w:val="4"/>
        </w:numPr>
        <w:spacing w:line="360" w:lineRule="auto"/>
        <w:jc w:val="both"/>
      </w:pPr>
      <w:r>
        <w:t>Pupil’s sense of agency (e.g.</w:t>
      </w:r>
      <w:r w:rsidR="006A6A30">
        <w:t xml:space="preserve"> “</w:t>
      </w:r>
      <w:r w:rsidR="006A6A30" w:rsidRPr="006A6A30">
        <w:rPr>
          <w:i/>
          <w:iCs/>
        </w:rPr>
        <w:t>My marks are my responsibility</w:t>
      </w:r>
      <w:r w:rsidR="006A6A30">
        <w:t>”</w:t>
      </w:r>
      <w:r>
        <w:t>).</w:t>
      </w:r>
      <w:r w:rsidR="004C24BF">
        <w:t xml:space="preserve"> Cronbach’s alpha = </w:t>
      </w:r>
      <w:r w:rsidR="00A27C49">
        <w:t>0.87</w:t>
      </w:r>
      <w:r w:rsidR="004C24BF">
        <w:t>.</w:t>
      </w:r>
      <w:r w:rsidR="00EE1743">
        <w:t xml:space="preserve"> Mean = 7.2, standard deviation = 2.1.</w:t>
      </w:r>
    </w:p>
    <w:p w14:paraId="21021743" w14:textId="5A773C29" w:rsidR="0024632B" w:rsidRDefault="0024632B" w:rsidP="0024632B">
      <w:pPr>
        <w:pStyle w:val="ListParagraph"/>
        <w:numPr>
          <w:ilvl w:val="0"/>
          <w:numId w:val="4"/>
        </w:numPr>
        <w:spacing w:line="360" w:lineRule="auto"/>
        <w:jc w:val="both"/>
      </w:pPr>
      <w:r>
        <w:t>Interest in their lessons (e.g.</w:t>
      </w:r>
      <w:r w:rsidR="006A6A30">
        <w:t xml:space="preserve"> “</w:t>
      </w:r>
      <w:r w:rsidR="006A6A30" w:rsidRPr="006A6A30">
        <w:rPr>
          <w:i/>
          <w:iCs/>
        </w:rPr>
        <w:t>I don't feel bored at school</w:t>
      </w:r>
      <w:r w:rsidR="006A6A30">
        <w:t>”</w:t>
      </w:r>
      <w:r>
        <w:t>).</w:t>
      </w:r>
      <w:r w:rsidR="004C24BF">
        <w:t xml:space="preserve"> Cronbach’s alpha = </w:t>
      </w:r>
      <w:r w:rsidR="00A27C49">
        <w:t>0.70</w:t>
      </w:r>
      <w:r w:rsidR="004C24BF">
        <w:t>.</w:t>
      </w:r>
      <w:r w:rsidR="00EE1743">
        <w:t xml:space="preserve"> Mean = </w:t>
      </w:r>
      <w:r w:rsidR="00E322CF">
        <w:t>5.0</w:t>
      </w:r>
      <w:r w:rsidR="00EE1743">
        <w:t xml:space="preserve">, standard deviation = </w:t>
      </w:r>
      <w:r w:rsidR="003D086A">
        <w:t>1.9</w:t>
      </w:r>
      <w:r w:rsidR="00EE1743">
        <w:t>.</w:t>
      </w:r>
    </w:p>
    <w:p w14:paraId="403BC2EB" w14:textId="15E7A375" w:rsidR="0024632B" w:rsidRDefault="0024632B" w:rsidP="0024632B">
      <w:pPr>
        <w:pStyle w:val="ListParagraph"/>
        <w:numPr>
          <w:ilvl w:val="0"/>
          <w:numId w:val="4"/>
        </w:numPr>
        <w:spacing w:line="360" w:lineRule="auto"/>
        <w:jc w:val="both"/>
      </w:pPr>
      <w:r>
        <w:t>Views of behaviour in the school (e.g.</w:t>
      </w:r>
      <w:r w:rsidR="006A6A30">
        <w:t xml:space="preserve"> “</w:t>
      </w:r>
      <w:r w:rsidR="006A6A30" w:rsidRPr="006A6A30">
        <w:rPr>
          <w:i/>
          <w:iCs/>
        </w:rPr>
        <w:t>I feel safe at school</w:t>
      </w:r>
      <w:r w:rsidR="006A6A30">
        <w:t>”</w:t>
      </w:r>
      <w:r>
        <w:t xml:space="preserve">). </w:t>
      </w:r>
      <w:r w:rsidR="004C24BF">
        <w:t xml:space="preserve">Cronbach’s alpha = </w:t>
      </w:r>
      <w:r w:rsidR="00A27C49">
        <w:t>0.84</w:t>
      </w:r>
      <w:r w:rsidR="004C24BF">
        <w:t>.</w:t>
      </w:r>
      <w:r w:rsidR="00EE1743">
        <w:t xml:space="preserve"> Mean = </w:t>
      </w:r>
      <w:r w:rsidR="003D086A">
        <w:t>5.0</w:t>
      </w:r>
      <w:r w:rsidR="00EE1743">
        <w:t xml:space="preserve">, standard deviation = </w:t>
      </w:r>
      <w:r w:rsidR="003D086A">
        <w:t>2.1</w:t>
      </w:r>
      <w:r w:rsidR="00EE1743">
        <w:t>.</w:t>
      </w:r>
    </w:p>
    <w:p w14:paraId="4943AB87" w14:textId="709B22E1" w:rsidR="00F25732" w:rsidRDefault="0024632B" w:rsidP="003904C6">
      <w:pPr>
        <w:spacing w:line="360" w:lineRule="auto"/>
        <w:jc w:val="both"/>
      </w:pPr>
      <w:r>
        <w:lastRenderedPageBreak/>
        <w:t>With emotional engagement also encompassing four constructs:</w:t>
      </w:r>
    </w:p>
    <w:p w14:paraId="3583D29E" w14:textId="3828C6FB" w:rsidR="0024632B" w:rsidRDefault="0024632B" w:rsidP="0024632B">
      <w:pPr>
        <w:pStyle w:val="ListParagraph"/>
        <w:numPr>
          <w:ilvl w:val="0"/>
          <w:numId w:val="4"/>
        </w:numPr>
        <w:spacing w:line="360" w:lineRule="auto"/>
        <w:jc w:val="both"/>
      </w:pPr>
      <w:r>
        <w:t>Pupil-teacher relationships (e.g.</w:t>
      </w:r>
      <w:r w:rsidR="006A6A30">
        <w:t xml:space="preserve"> “</w:t>
      </w:r>
      <w:r w:rsidR="006A6A30" w:rsidRPr="006A6A30">
        <w:rPr>
          <w:i/>
          <w:iCs/>
        </w:rPr>
        <w:t>I trust the teachers at school</w:t>
      </w:r>
      <w:r w:rsidR="006A6A30">
        <w:t>”</w:t>
      </w:r>
      <w:r>
        <w:t>).</w:t>
      </w:r>
      <w:r w:rsidR="004C24BF">
        <w:t xml:space="preserve"> Cronbach’s alpha = </w:t>
      </w:r>
      <w:r w:rsidR="00A27C49">
        <w:t>0.88</w:t>
      </w:r>
      <w:r w:rsidR="004C24BF">
        <w:t>.</w:t>
      </w:r>
      <w:r w:rsidR="00EE1743">
        <w:t xml:space="preserve"> Mean = </w:t>
      </w:r>
      <w:r w:rsidR="003D086A">
        <w:t>6.1</w:t>
      </w:r>
      <w:r w:rsidR="00EE1743">
        <w:t xml:space="preserve">, standard deviation = </w:t>
      </w:r>
      <w:r w:rsidR="003D086A">
        <w:t>2.5</w:t>
      </w:r>
      <w:r w:rsidR="00EE1743">
        <w:t>.</w:t>
      </w:r>
    </w:p>
    <w:p w14:paraId="01809C4B" w14:textId="2AC735D3" w:rsidR="0024632B" w:rsidRDefault="0024632B" w:rsidP="0024632B">
      <w:pPr>
        <w:pStyle w:val="ListParagraph"/>
        <w:numPr>
          <w:ilvl w:val="0"/>
          <w:numId w:val="4"/>
        </w:numPr>
        <w:spacing w:line="360" w:lineRule="auto"/>
        <w:jc w:val="both"/>
      </w:pPr>
      <w:r>
        <w:t xml:space="preserve">Peer relationships (e.g. </w:t>
      </w:r>
      <w:r w:rsidR="006A6A30">
        <w:t>“</w:t>
      </w:r>
      <w:r w:rsidR="006A6A30" w:rsidRPr="006A6A30">
        <w:rPr>
          <w:i/>
          <w:iCs/>
        </w:rPr>
        <w:t>I like other children at school</w:t>
      </w:r>
      <w:r w:rsidR="006A6A30">
        <w:t>”</w:t>
      </w:r>
      <w:r>
        <w:t>).</w:t>
      </w:r>
      <w:r w:rsidR="004C24BF">
        <w:t xml:space="preserve"> Cronbach’s alpha = </w:t>
      </w:r>
      <w:r w:rsidR="00A27C49">
        <w:t>0.80</w:t>
      </w:r>
      <w:r w:rsidR="004C24BF">
        <w:t>.</w:t>
      </w:r>
      <w:r w:rsidR="00EE1743">
        <w:t xml:space="preserve"> Mean = </w:t>
      </w:r>
      <w:r w:rsidR="003D086A">
        <w:t>6.0</w:t>
      </w:r>
      <w:r w:rsidR="00EE1743">
        <w:t xml:space="preserve">, standard deviation = </w:t>
      </w:r>
      <w:r w:rsidR="003D086A">
        <w:t>2.3</w:t>
      </w:r>
      <w:r w:rsidR="00EE1743">
        <w:t>.</w:t>
      </w:r>
    </w:p>
    <w:p w14:paraId="6C1720B3" w14:textId="1C17F580" w:rsidR="0024632B" w:rsidRDefault="0024632B" w:rsidP="0024632B">
      <w:pPr>
        <w:pStyle w:val="ListParagraph"/>
        <w:numPr>
          <w:ilvl w:val="0"/>
          <w:numId w:val="4"/>
        </w:numPr>
        <w:spacing w:line="360" w:lineRule="auto"/>
        <w:jc w:val="both"/>
      </w:pPr>
      <w:r>
        <w:t xml:space="preserve">Views in diversity and inclusion (e.g. </w:t>
      </w:r>
      <w:r w:rsidR="006A6A30">
        <w:t>“</w:t>
      </w:r>
      <w:r w:rsidR="006A6A30" w:rsidRPr="006A6A30">
        <w:rPr>
          <w:i/>
          <w:iCs/>
        </w:rPr>
        <w:t>People at school treat me the same as everyone else</w:t>
      </w:r>
      <w:r w:rsidR="006A6A30">
        <w:t>”</w:t>
      </w:r>
      <w:r>
        <w:t>).</w:t>
      </w:r>
      <w:r w:rsidR="004C24BF">
        <w:t xml:space="preserve"> Cronbach’s alpha = </w:t>
      </w:r>
      <w:r w:rsidR="00A27C49">
        <w:t>0.77</w:t>
      </w:r>
      <w:r w:rsidR="004C24BF">
        <w:t>.</w:t>
      </w:r>
      <w:r w:rsidR="00EE1743">
        <w:t xml:space="preserve"> Mean = </w:t>
      </w:r>
      <w:r w:rsidR="003D086A">
        <w:t>5.1</w:t>
      </w:r>
      <w:r w:rsidR="00EE1743">
        <w:t xml:space="preserve">, standard deviation = </w:t>
      </w:r>
      <w:r w:rsidR="003D086A">
        <w:t>2.6</w:t>
      </w:r>
      <w:r w:rsidR="00EE1743">
        <w:t>.</w:t>
      </w:r>
    </w:p>
    <w:p w14:paraId="4BFF34BB" w14:textId="321E51D7" w:rsidR="0024632B" w:rsidRPr="0024632B" w:rsidRDefault="0024632B" w:rsidP="0024632B">
      <w:pPr>
        <w:pStyle w:val="ListParagraph"/>
        <w:numPr>
          <w:ilvl w:val="0"/>
          <w:numId w:val="4"/>
        </w:numPr>
        <w:spacing w:line="360" w:lineRule="auto"/>
        <w:jc w:val="both"/>
      </w:pPr>
      <w:r>
        <w:t>Enjoy</w:t>
      </w:r>
      <w:r w:rsidRPr="0024632B">
        <w:t>ment of school (e.g.</w:t>
      </w:r>
      <w:r w:rsidR="006A6A30">
        <w:t xml:space="preserve"> “</w:t>
      </w:r>
      <w:r w:rsidR="006A6A30" w:rsidRPr="006A6A30">
        <w:rPr>
          <w:i/>
          <w:iCs/>
        </w:rPr>
        <w:t>I usually feel happy about going to school</w:t>
      </w:r>
      <w:r w:rsidR="006A6A30">
        <w:t>”</w:t>
      </w:r>
      <w:r w:rsidRPr="0024632B">
        <w:t>).</w:t>
      </w:r>
      <w:r w:rsidR="004C24BF" w:rsidRPr="004C24BF">
        <w:t xml:space="preserve"> </w:t>
      </w:r>
      <w:r w:rsidR="004C24BF">
        <w:t xml:space="preserve">Cronbach’s alpha = </w:t>
      </w:r>
      <w:r w:rsidR="00A27C49">
        <w:t>0.88</w:t>
      </w:r>
      <w:r w:rsidR="004C24BF">
        <w:t>.</w:t>
      </w:r>
      <w:r w:rsidR="00EE1743">
        <w:t xml:space="preserve"> Mean = </w:t>
      </w:r>
      <w:r w:rsidR="003D086A">
        <w:t>3.2</w:t>
      </w:r>
      <w:r w:rsidR="00EE1743">
        <w:t xml:space="preserve">, standard deviation = </w:t>
      </w:r>
      <w:r w:rsidR="003D086A">
        <w:t>2.8</w:t>
      </w:r>
      <w:r w:rsidR="00EE1743">
        <w:t>.</w:t>
      </w:r>
    </w:p>
    <w:p w14:paraId="2960811D" w14:textId="3F213072" w:rsidR="00784C4E" w:rsidRPr="00784C4E" w:rsidRDefault="00121095" w:rsidP="004C24BF">
      <w:pPr>
        <w:spacing w:line="360" w:lineRule="auto"/>
        <w:jc w:val="both"/>
        <w:rPr>
          <w:b/>
          <w:bCs/>
        </w:rPr>
      </w:pPr>
      <w:r>
        <w:t xml:space="preserve">On the other hand, behavioural engagement is measured using a set of three questions asking pupils about </w:t>
      </w:r>
      <w:r w:rsidR="003F0077">
        <w:t xml:space="preserve">effort at school over the last month (e.g. </w:t>
      </w:r>
      <w:r w:rsidR="006A6A30">
        <w:t>“</w:t>
      </w:r>
      <w:r w:rsidR="006A6A30" w:rsidRPr="006A6A30">
        <w:rPr>
          <w:i/>
          <w:iCs/>
        </w:rPr>
        <w:t>This month, I did my best with my schoolwork</w:t>
      </w:r>
      <w:r w:rsidR="006A6A30">
        <w:t>”</w:t>
      </w:r>
      <w:r w:rsidR="003F0077">
        <w:t>).</w:t>
      </w:r>
      <w:r w:rsidR="0041093F">
        <w:t xml:space="preserve"> </w:t>
      </w:r>
    </w:p>
    <w:p w14:paraId="0C2AC56C" w14:textId="064B8863" w:rsidR="00E73D07" w:rsidRDefault="00E44D95" w:rsidP="00BF63B0">
      <w:pPr>
        <w:spacing w:line="360" w:lineRule="auto"/>
        <w:jc w:val="both"/>
      </w:pPr>
      <w:r>
        <w:t>A</w:t>
      </w:r>
      <w:r w:rsidR="00E73D07">
        <w:t>dditional background information about pupils</w:t>
      </w:r>
      <w:r>
        <w:t xml:space="preserve"> </w:t>
      </w:r>
      <w:r w:rsidR="00C64527">
        <w:t>is</w:t>
      </w:r>
      <w:r>
        <w:t xml:space="preserve"> also available within </w:t>
      </w:r>
      <w:r w:rsidR="00E73D07">
        <w:t>TEP via schools’ management information systems.</w:t>
      </w:r>
      <w:r w:rsidR="00784C4E">
        <w:t xml:space="preserve"> This includes pupil’s gender, ethnicity and eligibility for Free School Meals (FSM). Tab</w:t>
      </w:r>
      <w:r w:rsidR="003A57F5">
        <w:t xml:space="preserve">le </w:t>
      </w:r>
      <w:r w:rsidR="001B2C67">
        <w:t>1</w:t>
      </w:r>
      <w:r w:rsidR="003A57F5">
        <w:t xml:space="preserve"> illustrates sample sizes for this and other ethnic-by-disadvantaged combinations</w:t>
      </w:r>
      <w:r w:rsidR="00A27C49">
        <w:t xml:space="preserve"> (see Appendix </w:t>
      </w:r>
      <w:r w:rsidR="00DC6023">
        <w:t>B</w:t>
      </w:r>
      <w:r w:rsidR="00A27C49">
        <w:t xml:space="preserve"> for further details)</w:t>
      </w:r>
      <w:r w:rsidR="00C31311">
        <w:t>.</w:t>
      </w:r>
      <w:r w:rsidR="00C103A3">
        <w:t xml:space="preserve"> We note that some of the ethnic grouping</w:t>
      </w:r>
      <w:r>
        <w:t>s</w:t>
      </w:r>
      <w:r w:rsidR="00C103A3">
        <w:t xml:space="preserve"> used</w:t>
      </w:r>
      <w:r>
        <w:t xml:space="preserve"> in our analysis</w:t>
      </w:r>
      <w:r w:rsidR="00C103A3">
        <w:t xml:space="preserve"> are relatively broad,</w:t>
      </w:r>
      <w:r w:rsidR="00C64527">
        <w:t xml:space="preserve"> with there</w:t>
      </w:r>
      <w:r w:rsidR="00C103A3">
        <w:t xml:space="preserve"> likely</w:t>
      </w:r>
      <w:r w:rsidR="00C64527">
        <w:t xml:space="preserve"> to be</w:t>
      </w:r>
      <w:r w:rsidR="00C103A3">
        <w:t xml:space="preserve"> heterogeneities within them (e.g. differences across Indian, Pakistani and Bangladeshi pupils).</w:t>
      </w:r>
      <w:r w:rsidR="00BF63B0">
        <w:t xml:space="preserve"> The</w:t>
      </w:r>
      <w:r>
        <w:t xml:space="preserve"> use of these relatively broad ethnic groups has been driven by a need to maintain</w:t>
      </w:r>
      <w:r w:rsidR="00BF63B0">
        <w:t xml:space="preserve"> sufficient sample size</w:t>
      </w:r>
      <w:r>
        <w:t>s</w:t>
      </w:r>
      <w:r w:rsidR="00BF63B0">
        <w:t xml:space="preserve"> to undertake the analysis planned. </w:t>
      </w:r>
    </w:p>
    <w:p w14:paraId="5B6E50D2" w14:textId="5A2E1DD4" w:rsidR="00E73D07" w:rsidRDefault="00784C4E" w:rsidP="00BF63B0">
      <w:pPr>
        <w:spacing w:line="360" w:lineRule="auto"/>
        <w:jc w:val="center"/>
        <w:rPr>
          <w:b/>
          <w:bCs/>
        </w:rPr>
      </w:pPr>
      <w:r w:rsidRPr="00784C4E">
        <w:rPr>
          <w:b/>
          <w:bCs/>
        </w:rPr>
        <w:t xml:space="preserve">&lt;&lt; Table </w:t>
      </w:r>
      <w:r w:rsidR="001B2C67">
        <w:rPr>
          <w:b/>
          <w:bCs/>
        </w:rPr>
        <w:t>1</w:t>
      </w:r>
      <w:r w:rsidRPr="00784C4E">
        <w:rPr>
          <w:b/>
          <w:bCs/>
        </w:rPr>
        <w:t xml:space="preserve"> &gt;&gt;</w:t>
      </w:r>
    </w:p>
    <w:p w14:paraId="132912CC" w14:textId="04D297C6" w:rsidR="00906360" w:rsidRPr="00906360" w:rsidRDefault="00906360" w:rsidP="005A6139">
      <w:pPr>
        <w:rPr>
          <w:u w:val="single"/>
        </w:rPr>
      </w:pPr>
      <w:r w:rsidRPr="00906360">
        <w:rPr>
          <w:u w:val="single"/>
        </w:rPr>
        <w:t>Methodology</w:t>
      </w:r>
    </w:p>
    <w:p w14:paraId="6FC89676" w14:textId="7571E42F" w:rsidR="00CD3739" w:rsidRDefault="00E44D95" w:rsidP="00CD3739">
      <w:pPr>
        <w:spacing w:line="360" w:lineRule="auto"/>
        <w:jc w:val="both"/>
      </w:pPr>
      <w:r>
        <w:t>W</w:t>
      </w:r>
      <w:r w:rsidR="00CD3739">
        <w:t>e</w:t>
      </w:r>
      <w:r>
        <w:t xml:space="preserve"> begin by</w:t>
      </w:r>
      <w:r w:rsidR="00CD3739">
        <w:t xml:space="preserve"> compar</w:t>
      </w:r>
      <w:r>
        <w:t>ing</w:t>
      </w:r>
      <w:r w:rsidR="00CD3739">
        <w:t xml:space="preserve"> average</w:t>
      </w:r>
      <w:r>
        <w:t xml:space="preserve"> school engagement</w:t>
      </w:r>
      <w:r w:rsidR="00CD3739">
        <w:t xml:space="preserve"> scores</w:t>
      </w:r>
      <w:r>
        <w:t xml:space="preserve"> across each</w:t>
      </w:r>
      <w:r w:rsidR="00CD3739">
        <w:t xml:space="preserve"> ethnic-by-socio-economic group combination. </w:t>
      </w:r>
      <w:r>
        <w:t>T</w:t>
      </w:r>
      <w:r w:rsidR="00CD3739">
        <w:t>o maximise the number of observations, we pool data across timepoints, treating response</w:t>
      </w:r>
      <w:r w:rsidR="00475AAF">
        <w:t>s to each survey</w:t>
      </w:r>
      <w:r w:rsidR="00CD3739">
        <w:t xml:space="preserve"> as a separate data point. Standard errors are</w:t>
      </w:r>
      <w:r w:rsidR="004A392D">
        <w:t xml:space="preserve"> then</w:t>
      </w:r>
      <w:r w:rsidR="00CD3739">
        <w:t xml:space="preserve"> clustered by both pupil and school to account for the non-independence of observations.</w:t>
      </w:r>
      <w:r w:rsidR="004A392D">
        <w:t xml:space="preserve"> To test</w:t>
      </w:r>
      <w:r w:rsidR="00CD3739">
        <w:t xml:space="preserve"> whether</w:t>
      </w:r>
      <w:r w:rsidR="00F55E61">
        <w:t xml:space="preserve"> WWC pupils report significantly </w:t>
      </w:r>
      <w:r w:rsidR="009C1880">
        <w:t>higher or lower engagement scores than other groups</w:t>
      </w:r>
      <w:r w:rsidR="00CD3739">
        <w:t xml:space="preserve"> </w:t>
      </w:r>
      <w:r w:rsidR="004A392D">
        <w:t>we</w:t>
      </w:r>
      <w:r w:rsidR="00CD3739">
        <w:t xml:space="preserve"> </w:t>
      </w:r>
      <w:r w:rsidR="004A392D">
        <w:t>estimate</w:t>
      </w:r>
      <w:r w:rsidR="00CD3739">
        <w:t xml:space="preserve"> the following OLS regression model:</w:t>
      </w:r>
    </w:p>
    <w:p w14:paraId="3F85C360" w14:textId="5E4DC677" w:rsidR="00CD3739" w:rsidRDefault="00000000" w:rsidP="00CD3739">
      <w:pPr>
        <w:spacing w:line="360" w:lineRule="auto"/>
        <w:jc w:val="both"/>
        <w:rPr>
          <w:rFonts w:eastAsiaTheme="minorEastAsia"/>
        </w:rPr>
      </w:pPr>
      <m:oMath>
        <m:sSub>
          <m:sSubPr>
            <m:ctrlPr>
              <w:rPr>
                <w:rFonts w:ascii="Cambria Math" w:hAnsi="Cambria Math"/>
                <w:i/>
              </w:rPr>
            </m:ctrlPr>
          </m:sSubPr>
          <m:e>
            <m:r>
              <w:rPr>
                <w:rFonts w:ascii="Cambria Math" w:hAnsi="Cambria Math"/>
              </w:rPr>
              <m:t>O</m:t>
            </m:r>
          </m:e>
          <m:sub>
            <m:r>
              <w:rPr>
                <w:rFonts w:ascii="Cambria Math" w:hAnsi="Cambria Math"/>
              </w:rPr>
              <m:t>tij</m:t>
            </m:r>
          </m:sub>
        </m:sSub>
        <m:r>
          <w:rPr>
            <w:rFonts w:ascii="Cambria Math" w:hAnsi="Cambria Math"/>
          </w:rPr>
          <m:t>= α+ β.</m:t>
        </m:r>
        <m:sSub>
          <m:sSubPr>
            <m:ctrlPr>
              <w:rPr>
                <w:rFonts w:ascii="Cambria Math" w:hAnsi="Cambria Math"/>
                <w:i/>
              </w:rPr>
            </m:ctrlPr>
          </m:sSubPr>
          <m:e>
            <m:r>
              <w:rPr>
                <w:rFonts w:ascii="Cambria Math" w:hAnsi="Cambria Math"/>
              </w:rPr>
              <m:t>Group</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tij</m:t>
            </m:r>
          </m:sub>
        </m:sSub>
        <m:r>
          <w:rPr>
            <w:rFonts w:ascii="Cambria Math" w:hAnsi="Cambria Math"/>
          </w:rPr>
          <m:t xml:space="preserve"> </m:t>
        </m:r>
      </m:oMath>
      <w:r w:rsidR="00CD4BB5">
        <w:rPr>
          <w:rFonts w:eastAsiaTheme="minorEastAsia"/>
        </w:rPr>
        <w:tab/>
      </w:r>
      <w:r w:rsidR="00CD4BB5">
        <w:rPr>
          <w:rFonts w:eastAsiaTheme="minorEastAsia"/>
        </w:rPr>
        <w:tab/>
      </w:r>
      <w:r w:rsidR="00CD4BB5">
        <w:rPr>
          <w:rFonts w:eastAsiaTheme="minorEastAsia"/>
        </w:rPr>
        <w:tab/>
      </w:r>
      <w:r w:rsidR="00194229">
        <w:rPr>
          <w:rFonts w:eastAsiaTheme="minorEastAsia"/>
        </w:rPr>
        <w:tab/>
      </w:r>
      <w:r w:rsidR="00194229">
        <w:rPr>
          <w:rFonts w:eastAsiaTheme="minorEastAsia"/>
        </w:rPr>
        <w:tab/>
      </w:r>
      <w:r w:rsidR="00CD4BB5">
        <w:rPr>
          <w:rFonts w:eastAsiaTheme="minorEastAsia"/>
        </w:rPr>
        <w:tab/>
      </w:r>
      <w:r w:rsidR="00CD4BB5">
        <w:rPr>
          <w:rFonts w:eastAsiaTheme="minorEastAsia"/>
        </w:rPr>
        <w:tab/>
        <w:t>(1)</w:t>
      </w:r>
    </w:p>
    <w:p w14:paraId="54A0F1C2" w14:textId="25AC20B0" w:rsidR="00CD4BB5" w:rsidRDefault="00CD4BB5" w:rsidP="00CD3739">
      <w:pPr>
        <w:spacing w:line="360" w:lineRule="auto"/>
        <w:jc w:val="both"/>
        <w:rPr>
          <w:rFonts w:eastAsiaTheme="minorEastAsia"/>
        </w:rPr>
      </w:pPr>
      <w:r>
        <w:rPr>
          <w:rFonts w:eastAsiaTheme="minorEastAsia"/>
        </w:rPr>
        <w:lastRenderedPageBreak/>
        <w:t>Where:</w:t>
      </w:r>
    </w:p>
    <w:p w14:paraId="4F91DC66" w14:textId="3F64808D" w:rsidR="00CD4BB5" w:rsidRDefault="00000000" w:rsidP="00CD3739">
      <w:pPr>
        <w:spacing w:line="360" w:lineRule="auto"/>
        <w:jc w:val="both"/>
        <w:rPr>
          <w:rFonts w:eastAsiaTheme="minorEastAsia"/>
        </w:rPr>
      </w:pPr>
      <m:oMath>
        <m:sSub>
          <m:sSubPr>
            <m:ctrlPr>
              <w:rPr>
                <w:rFonts w:ascii="Cambria Math" w:hAnsi="Cambria Math"/>
                <w:i/>
              </w:rPr>
            </m:ctrlPr>
          </m:sSubPr>
          <m:e>
            <m:r>
              <w:rPr>
                <w:rFonts w:ascii="Cambria Math" w:hAnsi="Cambria Math"/>
              </w:rPr>
              <m:t>O</m:t>
            </m:r>
          </m:e>
          <m:sub>
            <m:r>
              <w:rPr>
                <w:rFonts w:ascii="Cambria Math" w:hAnsi="Cambria Math"/>
              </w:rPr>
              <m:t>tij</m:t>
            </m:r>
          </m:sub>
        </m:sSub>
      </m:oMath>
      <w:r w:rsidR="00CD4BB5">
        <w:rPr>
          <w:rFonts w:eastAsiaTheme="minorEastAsia"/>
        </w:rPr>
        <w:t xml:space="preserve"> = The engagement measure at time t reported by pupil i in school j.</w:t>
      </w:r>
    </w:p>
    <w:p w14:paraId="62EDF2EA" w14:textId="63AC4669" w:rsidR="00CD4BB5" w:rsidRDefault="00000000" w:rsidP="00CD3739">
      <w:pPr>
        <w:spacing w:line="360" w:lineRule="auto"/>
        <w:jc w:val="both"/>
        <w:rPr>
          <w:rFonts w:eastAsiaTheme="minorEastAsia"/>
        </w:rPr>
      </w:pPr>
      <m:oMath>
        <m:sSub>
          <m:sSubPr>
            <m:ctrlPr>
              <w:rPr>
                <w:rFonts w:ascii="Cambria Math" w:hAnsi="Cambria Math"/>
                <w:i/>
              </w:rPr>
            </m:ctrlPr>
          </m:sSubPr>
          <m:e>
            <m:r>
              <w:rPr>
                <w:rFonts w:ascii="Cambria Math" w:hAnsi="Cambria Math"/>
              </w:rPr>
              <m:t>Group</m:t>
            </m:r>
          </m:e>
          <m:sub>
            <m:r>
              <w:rPr>
                <w:rFonts w:ascii="Cambria Math" w:hAnsi="Cambria Math"/>
              </w:rPr>
              <m:t>ij</m:t>
            </m:r>
          </m:sub>
        </m:sSub>
      </m:oMath>
      <w:r w:rsidR="00CD4BB5">
        <w:rPr>
          <w:rFonts w:eastAsiaTheme="minorEastAsia"/>
        </w:rPr>
        <w:t xml:space="preserve"> = A vector of dummy variables capturing socio-economic-by-ethnic group</w:t>
      </w:r>
      <w:r w:rsidR="004A392D">
        <w:rPr>
          <w:rFonts w:eastAsiaTheme="minorEastAsia"/>
        </w:rPr>
        <w:t>s</w:t>
      </w:r>
      <w:r w:rsidR="00CD4BB5">
        <w:rPr>
          <w:rFonts w:eastAsiaTheme="minorEastAsia"/>
        </w:rPr>
        <w:t xml:space="preserve"> (WWC as the reference </w:t>
      </w:r>
      <w:r w:rsidR="004A392D">
        <w:rPr>
          <w:rFonts w:eastAsiaTheme="minorEastAsia"/>
        </w:rPr>
        <w:t>category</w:t>
      </w:r>
      <w:r w:rsidR="00CD4BB5">
        <w:rPr>
          <w:rFonts w:eastAsiaTheme="minorEastAsia"/>
        </w:rPr>
        <w:t>).</w:t>
      </w:r>
    </w:p>
    <w:p w14:paraId="4EBCE88A" w14:textId="6961F5C7" w:rsidR="00CD4BB5" w:rsidRDefault="00000000" w:rsidP="00CD3739">
      <w:pPr>
        <w:spacing w:line="360" w:lineRule="auto"/>
        <w:jc w:val="both"/>
        <w:rPr>
          <w:rFonts w:eastAsiaTheme="minorEastAsia"/>
        </w:rPr>
      </w:pPr>
      <m:oMath>
        <m:sSub>
          <m:sSubPr>
            <m:ctrlPr>
              <w:rPr>
                <w:rFonts w:ascii="Cambria Math" w:hAnsi="Cambria Math"/>
                <w:i/>
              </w:rPr>
            </m:ctrlPr>
          </m:sSubPr>
          <m:e>
            <m:r>
              <w:rPr>
                <w:rFonts w:ascii="Cambria Math" w:hAnsi="Cambria Math"/>
              </w:rPr>
              <m:t>ε</m:t>
            </m:r>
          </m:e>
          <m:sub>
            <m:r>
              <w:rPr>
                <w:rFonts w:ascii="Cambria Math" w:hAnsi="Cambria Math"/>
              </w:rPr>
              <m:t>tij</m:t>
            </m:r>
          </m:sub>
        </m:sSub>
      </m:oMath>
      <w:r w:rsidR="00CD4BB5">
        <w:rPr>
          <w:rFonts w:eastAsiaTheme="minorEastAsia"/>
        </w:rPr>
        <w:t xml:space="preserve"> = Random error term. Standard errors are clustered by pupil and school to account for the non-independence of observations</w:t>
      </w:r>
      <w:r w:rsidR="00124D12">
        <w:rPr>
          <w:rFonts w:eastAsiaTheme="minorEastAsia"/>
        </w:rPr>
        <w:t>.</w:t>
      </w:r>
    </w:p>
    <w:p w14:paraId="60C8B384" w14:textId="1A9A928A" w:rsidR="006B0AB5" w:rsidRDefault="006B0AB5" w:rsidP="00CD3739">
      <w:pPr>
        <w:spacing w:line="360" w:lineRule="auto"/>
        <w:jc w:val="both"/>
        <w:rPr>
          <w:rFonts w:eastAsiaTheme="minorEastAsia"/>
        </w:rPr>
      </w:pPr>
      <w:r>
        <w:rPr>
          <w:rFonts w:eastAsiaTheme="minorEastAsia"/>
        </w:rPr>
        <w:t>t = Wave t.</w:t>
      </w:r>
    </w:p>
    <w:p w14:paraId="5ABFA69C" w14:textId="207FD623" w:rsidR="006B0AB5" w:rsidRDefault="006B0AB5" w:rsidP="00CD3739">
      <w:pPr>
        <w:spacing w:line="360" w:lineRule="auto"/>
        <w:jc w:val="both"/>
        <w:rPr>
          <w:rFonts w:eastAsiaTheme="minorEastAsia"/>
        </w:rPr>
      </w:pPr>
      <w:r>
        <w:rPr>
          <w:rFonts w:eastAsiaTheme="minorEastAsia"/>
        </w:rPr>
        <w:t>i = pupil i.</w:t>
      </w:r>
    </w:p>
    <w:p w14:paraId="29D0DA40" w14:textId="57A867EE" w:rsidR="006B0AB5" w:rsidRDefault="006B0AB5" w:rsidP="00CD3739">
      <w:pPr>
        <w:spacing w:line="360" w:lineRule="auto"/>
        <w:jc w:val="both"/>
        <w:rPr>
          <w:rFonts w:eastAsiaTheme="minorEastAsia"/>
        </w:rPr>
      </w:pPr>
      <w:r>
        <w:rPr>
          <w:rFonts w:eastAsiaTheme="minorEastAsia"/>
        </w:rPr>
        <w:t>j = School j.</w:t>
      </w:r>
    </w:p>
    <w:p w14:paraId="5732E16E" w14:textId="577C8EAB" w:rsidR="00CD4BB5" w:rsidRDefault="00CD4BB5" w:rsidP="00CD3739">
      <w:pPr>
        <w:spacing w:line="360" w:lineRule="auto"/>
        <w:jc w:val="both"/>
        <w:rPr>
          <w:rFonts w:eastAsiaTheme="minorEastAsia"/>
        </w:rPr>
      </w:pPr>
      <w:r>
        <w:rPr>
          <w:rFonts w:eastAsiaTheme="minorEastAsia"/>
        </w:rPr>
        <w:t xml:space="preserve">The vector of </w:t>
      </w:r>
      <m:oMath>
        <m:r>
          <w:rPr>
            <w:rFonts w:ascii="Cambria Math" w:hAnsi="Cambria Math"/>
          </w:rPr>
          <m:t>β</m:t>
        </m:r>
      </m:oMath>
      <w:r>
        <w:rPr>
          <w:rFonts w:eastAsiaTheme="minorEastAsia"/>
        </w:rPr>
        <w:t xml:space="preserve"> parameters then capture the difference in secondary pupil’s engagement relative to the WWC as the reference group. </w:t>
      </w:r>
      <w:r w:rsidR="00E64D6E">
        <w:rPr>
          <w:rFonts w:eastAsiaTheme="minorEastAsia"/>
        </w:rPr>
        <w:t xml:space="preserve">A </w:t>
      </w:r>
      <w:r w:rsidR="000E3913">
        <w:rPr>
          <w:rFonts w:eastAsiaTheme="minorEastAsia"/>
        </w:rPr>
        <w:t>similar</w:t>
      </w:r>
      <w:r w:rsidR="00E64D6E">
        <w:rPr>
          <w:rFonts w:eastAsiaTheme="minorEastAsia"/>
        </w:rPr>
        <w:t xml:space="preserve"> approach is used when including gender as an additional dimension, with WWC boys then the reference </w:t>
      </w:r>
      <w:r w:rsidR="005D6C8E">
        <w:rPr>
          <w:rFonts w:eastAsiaTheme="minorEastAsia"/>
        </w:rPr>
        <w:t>category</w:t>
      </w:r>
      <w:r w:rsidR="00E64D6E">
        <w:rPr>
          <w:rFonts w:eastAsiaTheme="minorEastAsia"/>
        </w:rPr>
        <w:t>.</w:t>
      </w:r>
    </w:p>
    <w:p w14:paraId="64166B36" w14:textId="3F6E4E86" w:rsidR="000E3913" w:rsidRDefault="00F85065" w:rsidP="00CD3739">
      <w:pPr>
        <w:spacing w:line="360" w:lineRule="auto"/>
        <w:jc w:val="both"/>
        <w:rPr>
          <w:rFonts w:eastAsiaTheme="minorEastAsia"/>
        </w:rPr>
      </w:pPr>
      <w:r>
        <w:rPr>
          <w:rFonts w:eastAsiaTheme="minorEastAsia"/>
        </w:rPr>
        <w:t>We also estimate a set of models which explore more formally for the presence of socio-economic deprivation by ethnic group interactions. Th</w:t>
      </w:r>
      <w:r w:rsidR="004F0874">
        <w:rPr>
          <w:rFonts w:eastAsiaTheme="minorEastAsia"/>
        </w:rPr>
        <w:t>ese</w:t>
      </w:r>
      <w:r>
        <w:rPr>
          <w:rFonts w:eastAsiaTheme="minorEastAsia"/>
        </w:rPr>
        <w:t xml:space="preserve"> reveal whether ethnicity and disadvantage have additive or multiplicative </w:t>
      </w:r>
      <w:r w:rsidR="004F0874">
        <w:rPr>
          <w:rFonts w:eastAsiaTheme="minorEastAsia"/>
        </w:rPr>
        <w:t>associations with pupil engagement</w:t>
      </w:r>
      <w:r>
        <w:rPr>
          <w:rFonts w:eastAsiaTheme="minorEastAsia"/>
        </w:rPr>
        <w:t>. Put another way, is the “impact” of being socio-economically disadvantaged greater for White pupils than their peers of other ethnicities? Formally, these models are specified as:</w:t>
      </w:r>
    </w:p>
    <w:p w14:paraId="76667B4C" w14:textId="7ABA2CEF" w:rsidR="00F85065" w:rsidRDefault="00000000" w:rsidP="00F85065">
      <w:pPr>
        <w:spacing w:line="360" w:lineRule="auto"/>
        <w:jc w:val="both"/>
        <w:rPr>
          <w:rFonts w:eastAsiaTheme="minorEastAsia"/>
        </w:rPr>
      </w:pPr>
      <m:oMath>
        <m:sSub>
          <m:sSubPr>
            <m:ctrlPr>
              <w:rPr>
                <w:rFonts w:ascii="Cambria Math" w:hAnsi="Cambria Math"/>
                <w:i/>
              </w:rPr>
            </m:ctrlPr>
          </m:sSubPr>
          <m:e>
            <m:r>
              <w:rPr>
                <w:rFonts w:ascii="Cambria Math" w:hAnsi="Cambria Math"/>
              </w:rPr>
              <m:t>O</m:t>
            </m:r>
          </m:e>
          <m:sub>
            <m:r>
              <w:rPr>
                <w:rFonts w:ascii="Cambria Math" w:hAnsi="Cambria Math"/>
              </w:rPr>
              <m:t>tij</m:t>
            </m:r>
          </m:sub>
        </m:sSub>
        <m:r>
          <w:rPr>
            <w:rFonts w:ascii="Cambria Math" w:hAnsi="Cambria Math"/>
          </w:rPr>
          <m:t>= α+ β.</m:t>
        </m:r>
        <m:sSub>
          <m:sSubPr>
            <m:ctrlPr>
              <w:rPr>
                <w:rFonts w:ascii="Cambria Math" w:hAnsi="Cambria Math"/>
                <w:i/>
              </w:rPr>
            </m:ctrlPr>
          </m:sSubPr>
          <m:e>
            <m:r>
              <w:rPr>
                <w:rFonts w:ascii="Cambria Math" w:hAnsi="Cambria Math"/>
              </w:rPr>
              <m:t>FSM</m:t>
            </m:r>
          </m:e>
          <m:sub>
            <m:r>
              <w:rPr>
                <w:rFonts w:ascii="Cambria Math" w:hAnsi="Cambria Math"/>
              </w:rPr>
              <m:t>ij</m:t>
            </m:r>
          </m:sub>
        </m:sSub>
        <m:r>
          <w:rPr>
            <w:rFonts w:ascii="Cambria Math" w:hAnsi="Cambria Math"/>
          </w:rPr>
          <m:t>+γ.</m:t>
        </m:r>
        <m:sSub>
          <m:sSubPr>
            <m:ctrlPr>
              <w:rPr>
                <w:rFonts w:ascii="Cambria Math" w:hAnsi="Cambria Math"/>
                <w:i/>
              </w:rPr>
            </m:ctrlPr>
          </m:sSubPr>
          <m:e>
            <m:r>
              <w:rPr>
                <w:rFonts w:ascii="Cambria Math" w:hAnsi="Cambria Math"/>
              </w:rPr>
              <m:t>Ethnicity</m:t>
            </m:r>
          </m:e>
          <m:sub>
            <m:r>
              <w:rPr>
                <w:rFonts w:ascii="Cambria Math" w:hAnsi="Cambria Math"/>
              </w:rPr>
              <m:t>ij</m:t>
            </m:r>
          </m:sub>
        </m:sSub>
        <m:r>
          <w:rPr>
            <w:rFonts w:ascii="Cambria Math" w:hAnsi="Cambria Math"/>
          </w:rPr>
          <m:t xml:space="preserve">+τ. </m:t>
        </m:r>
        <m:sSub>
          <m:sSubPr>
            <m:ctrlPr>
              <w:rPr>
                <w:rFonts w:ascii="Cambria Math" w:hAnsi="Cambria Math"/>
                <w:i/>
              </w:rPr>
            </m:ctrlPr>
          </m:sSubPr>
          <m:e>
            <m:r>
              <w:rPr>
                <w:rFonts w:ascii="Cambria Math" w:hAnsi="Cambria Math"/>
              </w:rPr>
              <m:t>FSM</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Ethnicity</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tij</m:t>
            </m:r>
          </m:sub>
        </m:sSub>
        <m:r>
          <w:rPr>
            <w:rFonts w:ascii="Cambria Math" w:hAnsi="Cambria Math"/>
          </w:rPr>
          <m:t xml:space="preserve"> </m:t>
        </m:r>
      </m:oMath>
      <w:r w:rsidR="00F85065">
        <w:rPr>
          <w:rFonts w:eastAsiaTheme="minorEastAsia"/>
        </w:rPr>
        <w:tab/>
        <w:t>(2)</w:t>
      </w:r>
    </w:p>
    <w:p w14:paraId="5494FB22" w14:textId="77777777" w:rsidR="00F85065" w:rsidRDefault="00F85065" w:rsidP="00F85065">
      <w:pPr>
        <w:spacing w:line="360" w:lineRule="auto"/>
        <w:jc w:val="both"/>
        <w:rPr>
          <w:rFonts w:eastAsiaTheme="minorEastAsia"/>
        </w:rPr>
      </w:pPr>
      <w:r>
        <w:rPr>
          <w:rFonts w:eastAsiaTheme="minorEastAsia"/>
        </w:rPr>
        <w:t>Where:</w:t>
      </w:r>
    </w:p>
    <w:p w14:paraId="7273302C" w14:textId="77777777" w:rsidR="00F85065" w:rsidRDefault="00000000" w:rsidP="00F85065">
      <w:pPr>
        <w:spacing w:line="360" w:lineRule="auto"/>
        <w:jc w:val="both"/>
        <w:rPr>
          <w:rFonts w:eastAsiaTheme="minorEastAsia"/>
        </w:rPr>
      </w:pPr>
      <m:oMath>
        <m:sSub>
          <m:sSubPr>
            <m:ctrlPr>
              <w:rPr>
                <w:rFonts w:ascii="Cambria Math" w:hAnsi="Cambria Math"/>
                <w:i/>
              </w:rPr>
            </m:ctrlPr>
          </m:sSubPr>
          <m:e>
            <m:r>
              <w:rPr>
                <w:rFonts w:ascii="Cambria Math" w:hAnsi="Cambria Math"/>
              </w:rPr>
              <m:t>O</m:t>
            </m:r>
          </m:e>
          <m:sub>
            <m:r>
              <w:rPr>
                <w:rFonts w:ascii="Cambria Math" w:hAnsi="Cambria Math"/>
              </w:rPr>
              <m:t>tij</m:t>
            </m:r>
          </m:sub>
        </m:sSub>
      </m:oMath>
      <w:r w:rsidR="00F85065">
        <w:rPr>
          <w:rFonts w:eastAsiaTheme="minorEastAsia"/>
        </w:rPr>
        <w:t xml:space="preserve"> = The engagement measure at time t reported by pupil i in school j.</w:t>
      </w:r>
    </w:p>
    <w:p w14:paraId="51632249" w14:textId="535AD2F2" w:rsidR="00F85065" w:rsidRDefault="00000000" w:rsidP="00F85065">
      <w:pPr>
        <w:spacing w:line="360" w:lineRule="auto"/>
        <w:jc w:val="both"/>
        <w:rPr>
          <w:rFonts w:eastAsiaTheme="minorEastAsia"/>
        </w:rPr>
      </w:pPr>
      <m:oMath>
        <m:sSub>
          <m:sSubPr>
            <m:ctrlPr>
              <w:rPr>
                <w:rFonts w:ascii="Cambria Math" w:hAnsi="Cambria Math"/>
                <w:i/>
              </w:rPr>
            </m:ctrlPr>
          </m:sSubPr>
          <m:e>
            <m:r>
              <w:rPr>
                <w:rFonts w:ascii="Cambria Math" w:hAnsi="Cambria Math"/>
              </w:rPr>
              <m:t>FSM</m:t>
            </m:r>
          </m:e>
          <m:sub>
            <m:r>
              <w:rPr>
                <w:rFonts w:ascii="Cambria Math" w:hAnsi="Cambria Math"/>
              </w:rPr>
              <m:t>ij</m:t>
            </m:r>
          </m:sub>
        </m:sSub>
      </m:oMath>
      <w:r w:rsidR="00F85065">
        <w:rPr>
          <w:rFonts w:eastAsiaTheme="minorEastAsia"/>
        </w:rPr>
        <w:t xml:space="preserve"> = A binary indicator of whether the pupil has been eligible for Free School Meals over the last six years (coded 0 for not being eligible for Free school meals and 1 for being eligible).</w:t>
      </w:r>
    </w:p>
    <w:p w14:paraId="462A8D96" w14:textId="5E5B6D25" w:rsidR="00F85065" w:rsidRDefault="00000000" w:rsidP="00F85065">
      <w:pPr>
        <w:spacing w:line="360" w:lineRule="auto"/>
        <w:jc w:val="both"/>
        <w:rPr>
          <w:rFonts w:eastAsiaTheme="minorEastAsia"/>
        </w:rPr>
      </w:pPr>
      <m:oMath>
        <m:sSub>
          <m:sSubPr>
            <m:ctrlPr>
              <w:rPr>
                <w:rFonts w:ascii="Cambria Math" w:hAnsi="Cambria Math"/>
                <w:i/>
              </w:rPr>
            </m:ctrlPr>
          </m:sSubPr>
          <m:e>
            <m:r>
              <w:rPr>
                <w:rFonts w:ascii="Cambria Math" w:hAnsi="Cambria Math"/>
              </w:rPr>
              <m:t>Ethnicity</m:t>
            </m:r>
          </m:e>
          <m:sub>
            <m:r>
              <w:rPr>
                <w:rFonts w:ascii="Cambria Math" w:hAnsi="Cambria Math"/>
              </w:rPr>
              <m:t>ij</m:t>
            </m:r>
          </m:sub>
        </m:sSub>
      </m:oMath>
      <w:r w:rsidR="00F85065">
        <w:rPr>
          <w:rFonts w:eastAsiaTheme="minorEastAsia"/>
        </w:rPr>
        <w:t xml:space="preserve"> = A vector of dummy variables capturing pupil’s ethnic group (reference group white).</w:t>
      </w:r>
    </w:p>
    <w:p w14:paraId="73CD2D45" w14:textId="6C929C77" w:rsidR="00F85065" w:rsidRDefault="00000000" w:rsidP="00F85065">
      <w:pPr>
        <w:spacing w:line="360" w:lineRule="auto"/>
        <w:jc w:val="both"/>
        <w:rPr>
          <w:rFonts w:eastAsiaTheme="minorEastAsia"/>
        </w:rPr>
      </w:pPr>
      <m:oMath>
        <m:sSub>
          <m:sSubPr>
            <m:ctrlPr>
              <w:rPr>
                <w:rFonts w:ascii="Cambria Math" w:hAnsi="Cambria Math"/>
                <w:i/>
              </w:rPr>
            </m:ctrlPr>
          </m:sSubPr>
          <m:e>
            <m:r>
              <w:rPr>
                <w:rFonts w:ascii="Cambria Math" w:hAnsi="Cambria Math"/>
              </w:rPr>
              <m:t>ε</m:t>
            </m:r>
          </m:e>
          <m:sub>
            <m:r>
              <w:rPr>
                <w:rFonts w:ascii="Cambria Math" w:hAnsi="Cambria Math"/>
              </w:rPr>
              <m:t>tij</m:t>
            </m:r>
          </m:sub>
        </m:sSub>
      </m:oMath>
      <w:r w:rsidR="00F85065">
        <w:rPr>
          <w:rFonts w:eastAsiaTheme="minorEastAsia"/>
        </w:rPr>
        <w:t xml:space="preserve"> = Random error term. Standard errors are clustered by pupil and school to account for the non-independence of observations.</w:t>
      </w:r>
    </w:p>
    <w:p w14:paraId="6E829BA2" w14:textId="0677548A" w:rsidR="005B35D6" w:rsidRDefault="00F85065" w:rsidP="006D217B">
      <w:pPr>
        <w:spacing w:line="360" w:lineRule="auto"/>
        <w:jc w:val="both"/>
        <w:rPr>
          <w:rFonts w:eastAsiaTheme="minorEastAsia"/>
        </w:rPr>
      </w:pPr>
      <w:r>
        <w:rPr>
          <w:rFonts w:eastAsiaTheme="minorEastAsia"/>
        </w:rPr>
        <w:t xml:space="preserve">The main parameters of interest from this model are </w:t>
      </w:r>
      <m:oMath>
        <m:r>
          <w:rPr>
            <w:rFonts w:ascii="Cambria Math" w:hAnsi="Cambria Math"/>
          </w:rPr>
          <m:t>τ</m:t>
        </m:r>
      </m:oMath>
      <w:r>
        <w:rPr>
          <w:rFonts w:eastAsiaTheme="minorEastAsia"/>
        </w:rPr>
        <w:t>. These capture the extent that socio-economic deprivation has a greater or weaker association with school</w:t>
      </w:r>
      <w:r w:rsidR="005B35D6">
        <w:rPr>
          <w:rFonts w:eastAsiaTheme="minorEastAsia"/>
        </w:rPr>
        <w:t xml:space="preserve"> engagement amongst other ethnic groups, in comparison to their White peers. Given that White pupils are the reference </w:t>
      </w:r>
      <w:r w:rsidR="006B1135">
        <w:rPr>
          <w:rFonts w:eastAsiaTheme="minorEastAsia"/>
        </w:rPr>
        <w:t>category</w:t>
      </w:r>
      <w:r w:rsidR="005B35D6">
        <w:rPr>
          <w:rFonts w:eastAsiaTheme="minorEastAsia"/>
        </w:rPr>
        <w:t xml:space="preserve">, the presence of </w:t>
      </w:r>
      <w:r w:rsidR="00ED2B22">
        <w:rPr>
          <w:rFonts w:eastAsiaTheme="minorEastAsia"/>
        </w:rPr>
        <w:t xml:space="preserve">a </w:t>
      </w:r>
      <w:r w:rsidR="00EF12FB">
        <w:rPr>
          <w:rFonts w:eastAsiaTheme="minorEastAsia"/>
        </w:rPr>
        <w:t>positive</w:t>
      </w:r>
      <w:r w:rsidR="005B35D6">
        <w:rPr>
          <w:rFonts w:eastAsiaTheme="minorEastAsia"/>
        </w:rPr>
        <w:t xml:space="preserve"> interaction term would indicate that socio-economic disadvantage is </w:t>
      </w:r>
      <w:r w:rsidR="005B35D6">
        <w:rPr>
          <w:rFonts w:eastAsiaTheme="minorEastAsia"/>
          <w:i/>
          <w:iCs/>
        </w:rPr>
        <w:t>less</w:t>
      </w:r>
      <w:r w:rsidR="005B35D6">
        <w:rPr>
          <w:rFonts w:eastAsiaTheme="minorEastAsia"/>
        </w:rPr>
        <w:t xml:space="preserve"> strongly associated with school engagement for the ethnic group in question </w:t>
      </w:r>
      <w:r w:rsidR="00ED2B22">
        <w:rPr>
          <w:rFonts w:eastAsiaTheme="minorEastAsia"/>
        </w:rPr>
        <w:t xml:space="preserve">than </w:t>
      </w:r>
      <w:r w:rsidR="003F008C">
        <w:rPr>
          <w:rFonts w:eastAsiaTheme="minorEastAsia"/>
        </w:rPr>
        <w:t>for</w:t>
      </w:r>
      <w:r w:rsidR="005B35D6">
        <w:rPr>
          <w:rFonts w:eastAsiaTheme="minorEastAsia"/>
        </w:rPr>
        <w:t xml:space="preserve"> White pupils. Results from this set of models are presented in Appendix </w:t>
      </w:r>
      <w:r w:rsidR="00DC6023">
        <w:rPr>
          <w:rFonts w:eastAsiaTheme="minorEastAsia"/>
        </w:rPr>
        <w:t>C</w:t>
      </w:r>
      <w:r w:rsidR="005B35D6">
        <w:rPr>
          <w:rFonts w:eastAsiaTheme="minorEastAsia"/>
        </w:rPr>
        <w:t xml:space="preserve"> for brevity, though with the key findings commented on within the main text.</w:t>
      </w:r>
      <w:r w:rsidR="001C618D">
        <w:rPr>
          <w:rFonts w:eastAsiaTheme="minorEastAsia"/>
        </w:rPr>
        <w:t xml:space="preserve"> Likewise, in Appendix D, we present estimates from an analogous model where we test for Gender-by-ethnic group interactions amongst the subset of FSM pupils, exploring whether there are differences in school engagement between (for example) WWC boys and </w:t>
      </w:r>
      <w:r w:rsidR="003F008C">
        <w:rPr>
          <w:rFonts w:eastAsiaTheme="minorEastAsia"/>
        </w:rPr>
        <w:t xml:space="preserve">WWC </w:t>
      </w:r>
      <w:r w:rsidR="001C618D">
        <w:rPr>
          <w:rFonts w:eastAsiaTheme="minorEastAsia"/>
        </w:rPr>
        <w:t>girls.</w:t>
      </w:r>
    </w:p>
    <w:p w14:paraId="27B1E6E8" w14:textId="190C541F" w:rsidR="00E45254" w:rsidRDefault="00E64D6E" w:rsidP="006D217B">
      <w:pPr>
        <w:spacing w:line="360" w:lineRule="auto"/>
        <w:jc w:val="both"/>
      </w:pPr>
      <w:r>
        <w:t>Our analysis then turns to variation in the magnitude of the Year 7 engagement drop across pupils of different SES-by-ethnicity combinations (it is not possible to</w:t>
      </w:r>
      <w:r w:rsidR="003F008C">
        <w:t xml:space="preserve"> also</w:t>
      </w:r>
      <w:r>
        <w:t xml:space="preserve"> include a gender dimension in this part of our analysis </w:t>
      </w:r>
      <w:r w:rsidR="000E3172">
        <w:t xml:space="preserve">due </w:t>
      </w:r>
      <w:r>
        <w:t>to limited sample size).</w:t>
      </w:r>
      <w:r w:rsidR="00E45254">
        <w:t xml:space="preserve"> We begin by restricting the sample to just Year 7 pupils</w:t>
      </w:r>
      <w:r w:rsidR="009A6F1B">
        <w:t>, using Multiple Imputation by Chained Equations (MICE) to impute where data is missing within a given survey wave</w:t>
      </w:r>
      <w:r w:rsidR="009A6F1B">
        <w:rPr>
          <w:rStyle w:val="FootnoteReference"/>
        </w:rPr>
        <w:footnoteReference w:id="2"/>
      </w:r>
      <w:r w:rsidR="009A6F1B">
        <w:t xml:space="preserve">. </w:t>
      </w:r>
      <w:r w:rsidR="001C10E7">
        <w:t>A</w:t>
      </w:r>
      <w:r w:rsidR="00E45254">
        <w:t xml:space="preserve">verage school engagement scores are then plotted for FSM pupils from different ethnic groups at three time points (November, March and June). </w:t>
      </w:r>
      <w:r w:rsidR="00112F81">
        <w:t>A set of</w:t>
      </w:r>
      <w:r w:rsidR="00E45254">
        <w:t xml:space="preserve"> OLS regression model</w:t>
      </w:r>
      <w:r w:rsidR="00112F81">
        <w:t>s</w:t>
      </w:r>
      <w:r w:rsidR="00E45254">
        <w:t xml:space="preserve"> </w:t>
      </w:r>
      <w:r w:rsidR="00112F81">
        <w:t>are</w:t>
      </w:r>
      <w:r w:rsidR="00E45254">
        <w:t xml:space="preserve"> then estimated to formally test for differences across </w:t>
      </w:r>
      <w:r w:rsidR="006B0AB5">
        <w:t>socio-economic-by-ethnic groups in the magnitude of the drop in engagement during Year 7</w:t>
      </w:r>
      <w:r w:rsidR="00112F81">
        <w:t>. First, we test for differences in the change that occurs between Autumn and Spring terms:</w:t>
      </w:r>
    </w:p>
    <w:p w14:paraId="3D921CB4" w14:textId="65776132" w:rsidR="00194229" w:rsidRDefault="00000000" w:rsidP="00194229">
      <w:pPr>
        <w:spacing w:line="360" w:lineRule="auto"/>
        <w:jc w:val="both"/>
        <w:rPr>
          <w:rFonts w:eastAsiaTheme="minorEastAsia"/>
        </w:rPr>
      </w:pPr>
      <m:oMath>
        <m:sSub>
          <m:sSubPr>
            <m:ctrlPr>
              <w:rPr>
                <w:rFonts w:ascii="Cambria Math" w:hAnsi="Cambria Math"/>
                <w:i/>
              </w:rPr>
            </m:ctrlPr>
          </m:sSubPr>
          <m:e>
            <m:r>
              <w:rPr>
                <w:rFonts w:ascii="Cambria Math" w:hAnsi="Cambria Math"/>
              </w:rPr>
              <m:t>O</m:t>
            </m:r>
          </m:e>
          <m:sub>
            <m:r>
              <w:rPr>
                <w:rFonts w:ascii="Cambria Math" w:hAnsi="Cambria Math"/>
              </w:rPr>
              <m:t>tij</m:t>
            </m:r>
          </m:sub>
        </m:sSub>
        <m:r>
          <w:rPr>
            <w:rFonts w:ascii="Cambria Math" w:hAnsi="Cambria Math"/>
          </w:rPr>
          <m:t>= α+ β.</m:t>
        </m:r>
        <m:sSub>
          <m:sSubPr>
            <m:ctrlPr>
              <w:rPr>
                <w:rFonts w:ascii="Cambria Math" w:hAnsi="Cambria Math"/>
                <w:i/>
              </w:rPr>
            </m:ctrlPr>
          </m:sSubPr>
          <m:e>
            <m:r>
              <w:rPr>
                <w:rFonts w:ascii="Cambria Math" w:hAnsi="Cambria Math"/>
              </w:rPr>
              <m:t>Group</m:t>
            </m:r>
          </m:e>
          <m:sub>
            <m:r>
              <w:rPr>
                <w:rFonts w:ascii="Cambria Math" w:hAnsi="Cambria Math"/>
              </w:rPr>
              <m:t>ij</m:t>
            </m:r>
          </m:sub>
        </m:sSub>
        <m:r>
          <w:rPr>
            <w:rFonts w:ascii="Cambria Math" w:hAnsi="Cambria Math"/>
          </w:rPr>
          <m:t>+γ.</m:t>
        </m:r>
        <m:sSub>
          <m:sSubPr>
            <m:ctrlPr>
              <w:rPr>
                <w:rFonts w:ascii="Cambria Math" w:hAnsi="Cambria Math"/>
                <w:i/>
              </w:rPr>
            </m:ctrlPr>
          </m:sSubPr>
          <m:e>
            <m:r>
              <w:rPr>
                <w:rFonts w:ascii="Cambria Math" w:hAnsi="Cambria Math"/>
              </w:rPr>
              <m:t>Wave</m:t>
            </m:r>
          </m:e>
          <m:sub>
            <m:r>
              <w:rPr>
                <w:rFonts w:ascii="Cambria Math" w:hAnsi="Cambria Math"/>
              </w:rPr>
              <m:t>t</m:t>
            </m:r>
          </m:sub>
        </m:sSub>
        <m:r>
          <w:rPr>
            <w:rFonts w:ascii="Cambria Math" w:hAnsi="Cambria Math"/>
          </w:rPr>
          <m:t>+δ.</m:t>
        </m:r>
        <m:sSub>
          <m:sSubPr>
            <m:ctrlPr>
              <w:rPr>
                <w:rFonts w:ascii="Cambria Math" w:hAnsi="Cambria Math"/>
                <w:i/>
              </w:rPr>
            </m:ctrlPr>
          </m:sSubPr>
          <m:e>
            <m:r>
              <w:rPr>
                <w:rFonts w:ascii="Cambria Math" w:hAnsi="Cambria Math"/>
              </w:rPr>
              <m:t>Group</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Wave</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tij</m:t>
            </m:r>
          </m:sub>
        </m:sSub>
        <m:r>
          <w:rPr>
            <w:rFonts w:ascii="Cambria Math" w:hAnsi="Cambria Math"/>
          </w:rPr>
          <m:t xml:space="preserve"> </m:t>
        </m:r>
      </m:oMath>
      <w:r w:rsidR="00194229">
        <w:rPr>
          <w:rFonts w:eastAsiaTheme="minorEastAsia"/>
        </w:rPr>
        <w:tab/>
      </w:r>
      <w:r w:rsidR="00194229">
        <w:rPr>
          <w:rFonts w:eastAsiaTheme="minorEastAsia"/>
        </w:rPr>
        <w:tab/>
      </w:r>
      <w:r w:rsidR="00194229">
        <w:rPr>
          <w:rFonts w:eastAsiaTheme="minorEastAsia"/>
        </w:rPr>
        <w:tab/>
      </w:r>
      <w:r w:rsidR="00194229">
        <w:rPr>
          <w:rFonts w:eastAsiaTheme="minorEastAsia"/>
        </w:rPr>
        <w:tab/>
        <w:t>(</w:t>
      </w:r>
      <w:r w:rsidR="00B6081E">
        <w:rPr>
          <w:rFonts w:eastAsiaTheme="minorEastAsia"/>
        </w:rPr>
        <w:t>3</w:t>
      </w:r>
      <w:r w:rsidR="00194229">
        <w:rPr>
          <w:rFonts w:eastAsiaTheme="minorEastAsia"/>
        </w:rPr>
        <w:t>)</w:t>
      </w:r>
    </w:p>
    <w:p w14:paraId="26E902F9" w14:textId="58F7E83F" w:rsidR="00E45254" w:rsidRDefault="00AB1176" w:rsidP="006D217B">
      <w:pPr>
        <w:spacing w:line="360" w:lineRule="auto"/>
        <w:jc w:val="both"/>
      </w:pPr>
      <w:r>
        <w:t>Where:</w:t>
      </w:r>
    </w:p>
    <w:p w14:paraId="505C22BB" w14:textId="24ECA059" w:rsidR="00E45254" w:rsidRPr="00AB1176" w:rsidRDefault="00000000" w:rsidP="006D217B">
      <w:pPr>
        <w:spacing w:line="360" w:lineRule="auto"/>
        <w:jc w:val="both"/>
        <w:rPr>
          <w:rFonts w:eastAsiaTheme="minorEastAsia"/>
        </w:rPr>
      </w:pPr>
      <m:oMath>
        <m:sSub>
          <m:sSubPr>
            <m:ctrlPr>
              <w:rPr>
                <w:rFonts w:ascii="Cambria Math" w:hAnsi="Cambria Math"/>
                <w:i/>
              </w:rPr>
            </m:ctrlPr>
          </m:sSubPr>
          <m:e>
            <m:r>
              <w:rPr>
                <w:rFonts w:ascii="Cambria Math" w:hAnsi="Cambria Math"/>
              </w:rPr>
              <m:t>Wave</m:t>
            </m:r>
          </m:e>
          <m:sub>
            <m:r>
              <w:rPr>
                <w:rFonts w:ascii="Cambria Math" w:hAnsi="Cambria Math"/>
              </w:rPr>
              <m:t>t</m:t>
            </m:r>
          </m:sub>
        </m:sSub>
      </m:oMath>
      <w:r w:rsidR="00AB1176">
        <w:rPr>
          <w:rFonts w:eastAsiaTheme="minorEastAsia"/>
        </w:rPr>
        <w:t xml:space="preserve"> = A dummy variable for the survey wave</w:t>
      </w:r>
      <w:r w:rsidR="00112F81">
        <w:rPr>
          <w:rFonts w:eastAsiaTheme="minorEastAsia"/>
        </w:rPr>
        <w:t>, coded as 0 for</w:t>
      </w:r>
      <w:r w:rsidR="00AB1176">
        <w:rPr>
          <w:rFonts w:eastAsiaTheme="minorEastAsia"/>
        </w:rPr>
        <w:t xml:space="preserve"> November 2024 </w:t>
      </w:r>
      <w:r w:rsidR="00112F81">
        <w:rPr>
          <w:rFonts w:eastAsiaTheme="minorEastAsia"/>
        </w:rPr>
        <w:t>(</w:t>
      </w:r>
      <w:r w:rsidR="00AB1176">
        <w:rPr>
          <w:rFonts w:eastAsiaTheme="minorEastAsia"/>
        </w:rPr>
        <w:t>Autumn term of Year 7</w:t>
      </w:r>
      <w:r w:rsidR="00112F81">
        <w:rPr>
          <w:rFonts w:eastAsiaTheme="minorEastAsia"/>
        </w:rPr>
        <w:t>) and 1 for March 2025 (Spring term of Year 7).</w:t>
      </w:r>
    </w:p>
    <w:p w14:paraId="071BA545" w14:textId="39F369C4" w:rsidR="00AB1176" w:rsidRDefault="00AB1176" w:rsidP="006D217B">
      <w:pPr>
        <w:spacing w:line="360" w:lineRule="auto"/>
        <w:jc w:val="both"/>
      </w:pPr>
      <w:r>
        <w:t>With all other variables as defined above.</w:t>
      </w:r>
    </w:p>
    <w:p w14:paraId="4ADB5AD3" w14:textId="155F3567" w:rsidR="00AB1176" w:rsidRDefault="00AB1176" w:rsidP="006D217B">
      <w:pPr>
        <w:spacing w:line="360" w:lineRule="auto"/>
        <w:jc w:val="both"/>
      </w:pPr>
      <w:r>
        <w:t xml:space="preserve">The key parameter from these models </w:t>
      </w:r>
      <w:r w:rsidR="00112F81">
        <w:t>is</w:t>
      </w:r>
      <w:r>
        <w:t xml:space="preserve"> </w:t>
      </w:r>
      <m:oMath>
        <m:r>
          <w:rPr>
            <w:rFonts w:ascii="Cambria Math" w:hAnsi="Cambria Math"/>
          </w:rPr>
          <m:t>δ</m:t>
        </m:r>
      </m:oMath>
      <w:r w:rsidR="00112F81">
        <w:rPr>
          <w:rFonts w:eastAsiaTheme="minorEastAsia"/>
        </w:rPr>
        <w:t xml:space="preserve">, capturing the interaction between ethnic-by-socio-economic group and survey wave. Negative values on these parameters would indicate that the change in engagement between Autumn and Spring terms is less sharp for the ethnic-by-socio-economic group in question than for those from WWC backgrounds. </w:t>
      </w:r>
      <w:r w:rsidR="00BF5FC2">
        <w:rPr>
          <w:rFonts w:eastAsiaTheme="minorEastAsia"/>
        </w:rPr>
        <w:t>A similar set of models are then estimated to test for further changes in engagement across the Spring</w:t>
      </w:r>
      <w:r w:rsidR="008134A5">
        <w:rPr>
          <w:rFonts w:eastAsiaTheme="minorEastAsia"/>
        </w:rPr>
        <w:t xml:space="preserve"> (March 2025)</w:t>
      </w:r>
      <w:r w:rsidR="00BF5FC2">
        <w:rPr>
          <w:rFonts w:eastAsiaTheme="minorEastAsia"/>
        </w:rPr>
        <w:t xml:space="preserve"> and Summer</w:t>
      </w:r>
      <w:r w:rsidR="008134A5">
        <w:rPr>
          <w:rFonts w:eastAsiaTheme="minorEastAsia"/>
        </w:rPr>
        <w:t xml:space="preserve"> (June 2025)</w:t>
      </w:r>
      <w:r w:rsidR="00BF5FC2">
        <w:rPr>
          <w:rFonts w:eastAsiaTheme="minorEastAsia"/>
        </w:rPr>
        <w:t xml:space="preserve"> terms. To test the robustness of these results, we also estimate versions of the model presented in equation (3) where survey wave is entered as a linear term. </w:t>
      </w:r>
      <w:r w:rsidR="006C01C8">
        <w:rPr>
          <w:rFonts w:eastAsiaTheme="minorEastAsia"/>
        </w:rPr>
        <w:t>Estimates</w:t>
      </w:r>
      <w:r w:rsidR="00BF5FC2">
        <w:rPr>
          <w:rFonts w:eastAsiaTheme="minorEastAsia"/>
        </w:rPr>
        <w:t xml:space="preserve"> from </w:t>
      </w:r>
      <w:r w:rsidR="00660B92">
        <w:rPr>
          <w:rFonts w:eastAsiaTheme="minorEastAsia"/>
        </w:rPr>
        <w:t>all</w:t>
      </w:r>
      <w:r w:rsidR="00BF5FC2">
        <w:rPr>
          <w:rFonts w:eastAsiaTheme="minorEastAsia"/>
        </w:rPr>
        <w:t xml:space="preserve"> models are presented in Appendix </w:t>
      </w:r>
      <w:r w:rsidR="00A41159">
        <w:rPr>
          <w:rFonts w:eastAsiaTheme="minorEastAsia"/>
        </w:rPr>
        <w:t>E</w:t>
      </w:r>
      <w:r w:rsidR="00C45AAF">
        <w:rPr>
          <w:rFonts w:eastAsiaTheme="minorEastAsia"/>
        </w:rPr>
        <w:t xml:space="preserve"> (cognitive engagement), Appendix F (emotional engagement) and Appendix G (behavioural engagement)</w:t>
      </w:r>
      <w:r w:rsidR="00BF5FC2">
        <w:rPr>
          <w:rFonts w:eastAsiaTheme="minorEastAsia"/>
        </w:rPr>
        <w:t xml:space="preserve">, with the key findings </w:t>
      </w:r>
      <w:r w:rsidR="00660B92">
        <w:rPr>
          <w:rFonts w:eastAsiaTheme="minorEastAsia"/>
        </w:rPr>
        <w:t>discussed</w:t>
      </w:r>
      <w:r w:rsidR="00BF5FC2">
        <w:rPr>
          <w:rFonts w:eastAsiaTheme="minorEastAsia"/>
        </w:rPr>
        <w:t xml:space="preserve"> in the main text</w:t>
      </w:r>
      <w:r w:rsidR="006C01C8">
        <w:rPr>
          <w:rFonts w:eastAsiaTheme="minorEastAsia"/>
        </w:rPr>
        <w:t xml:space="preserve"> of the results section that follows.</w:t>
      </w:r>
    </w:p>
    <w:p w14:paraId="3DB1D2D6" w14:textId="3B91B5CF" w:rsidR="005A6139" w:rsidRPr="005A6139" w:rsidRDefault="005A6139" w:rsidP="005A6139">
      <w:pPr>
        <w:pStyle w:val="ListParagraph"/>
        <w:numPr>
          <w:ilvl w:val="0"/>
          <w:numId w:val="3"/>
        </w:numPr>
        <w:rPr>
          <w:b/>
          <w:bCs/>
        </w:rPr>
      </w:pPr>
      <w:r>
        <w:rPr>
          <w:b/>
          <w:bCs/>
        </w:rPr>
        <w:t>Results</w:t>
      </w:r>
    </w:p>
    <w:p w14:paraId="1D4F71C8" w14:textId="77777777" w:rsidR="005A6139" w:rsidRDefault="005A6139" w:rsidP="005A6139">
      <w:pPr>
        <w:rPr>
          <w:u w:val="single"/>
        </w:rPr>
      </w:pPr>
      <w:r w:rsidRPr="005A6139">
        <w:rPr>
          <w:u w:val="single"/>
        </w:rPr>
        <w:t>Cognitive engagement</w:t>
      </w:r>
    </w:p>
    <w:p w14:paraId="0BCCB95C" w14:textId="186EF931" w:rsidR="005A6139" w:rsidRDefault="00AA7EC3" w:rsidP="00AA7EC3">
      <w:pPr>
        <w:spacing w:line="360" w:lineRule="auto"/>
        <w:jc w:val="both"/>
      </w:pPr>
      <w:r>
        <w:t xml:space="preserve">Table </w:t>
      </w:r>
      <w:r w:rsidR="00170ACC">
        <w:t>2</w:t>
      </w:r>
      <w:r>
        <w:t xml:space="preserve"> presents our comparison</w:t>
      </w:r>
      <w:r w:rsidR="00D16845">
        <w:t xml:space="preserve"> of pupil’s cognitive engagement across ethnic-by-FSM groups. The difference between panels (a) and (b) is that the latter splits the results by gender. </w:t>
      </w:r>
      <w:r w:rsidR="008458F6">
        <w:t xml:space="preserve">Green (red) shading indicates higher (lower) average </w:t>
      </w:r>
      <w:r w:rsidR="003F1391">
        <w:t xml:space="preserve">engagement </w:t>
      </w:r>
      <w:r w:rsidR="008458F6">
        <w:t>scores.</w:t>
      </w:r>
    </w:p>
    <w:p w14:paraId="360EAA4E" w14:textId="1AC0DD67" w:rsidR="008458F6" w:rsidRPr="008458F6" w:rsidRDefault="008458F6" w:rsidP="008458F6">
      <w:pPr>
        <w:spacing w:line="360" w:lineRule="auto"/>
        <w:jc w:val="center"/>
        <w:rPr>
          <w:b/>
          <w:bCs/>
        </w:rPr>
      </w:pPr>
      <w:r w:rsidRPr="008458F6">
        <w:rPr>
          <w:b/>
          <w:bCs/>
        </w:rPr>
        <w:t xml:space="preserve">&lt;&lt; Table </w:t>
      </w:r>
      <w:r w:rsidR="00170ACC">
        <w:rPr>
          <w:b/>
          <w:bCs/>
        </w:rPr>
        <w:t>2</w:t>
      </w:r>
      <w:r w:rsidRPr="008458F6">
        <w:rPr>
          <w:b/>
          <w:bCs/>
        </w:rPr>
        <w:t xml:space="preserve"> &gt;&gt;</w:t>
      </w:r>
    </w:p>
    <w:p w14:paraId="33F4DB35" w14:textId="1B3AA684" w:rsidR="008458F6" w:rsidRDefault="008458F6" w:rsidP="00AA7EC3">
      <w:pPr>
        <w:spacing w:line="360" w:lineRule="auto"/>
        <w:jc w:val="both"/>
      </w:pPr>
      <w:r>
        <w:t>Starting</w:t>
      </w:r>
      <w:r w:rsidR="003A69DE">
        <w:t xml:space="preserve"> with the results in panel (a), WWC pupils consistently report the lowest average scores, usually by some distance. Take pupil’s sense of agency, for example. The average score reported by WWC pupils is around 6.7 out of 10. This is around one point below the scores reported by disadvantaged black pupils (mean = 7.7), equivalent to a</w:t>
      </w:r>
      <w:r w:rsidR="00A11773">
        <w:t>lmost</w:t>
      </w:r>
      <w:r w:rsidR="003A69DE">
        <w:t xml:space="preserve"> </w:t>
      </w:r>
      <w:r w:rsidR="00A11773">
        <w:t>half a</w:t>
      </w:r>
      <w:r w:rsidR="003A69DE">
        <w:t xml:space="preserve"> standard deviation gap. Put</w:t>
      </w:r>
      <w:r w:rsidR="00A41350">
        <w:t xml:space="preserve"> another way, </w:t>
      </w:r>
      <w:r w:rsidR="000C1667">
        <w:t>26</w:t>
      </w:r>
      <w:r w:rsidR="00A41350">
        <w:t>%</w:t>
      </w:r>
      <w:r w:rsidR="002C5BB1">
        <w:t xml:space="preserve"> of WWC secondary pupils lack a sense of agency (defined as a score of 5 and below), compared to </w:t>
      </w:r>
      <w:r w:rsidR="000C1667">
        <w:t>12</w:t>
      </w:r>
      <w:r w:rsidR="002C5BB1">
        <w:t xml:space="preserve">% of disadvantaged Black pupils and </w:t>
      </w:r>
      <w:r w:rsidR="000C1667">
        <w:t>around 15</w:t>
      </w:r>
      <w:r w:rsidR="002C5BB1">
        <w:t>% of disadvantaged Asian and South Asian pupils.</w:t>
      </w:r>
      <w:r w:rsidR="00C561E1">
        <w:t xml:space="preserve"> Similarly sizeable differences can be observed with respect to the extent pupils value education and their interest in lessons. Together, these results illustrate how WWC pupils have substantially </w:t>
      </w:r>
      <w:r w:rsidR="00C561E1">
        <w:lastRenderedPageBreak/>
        <w:t>lower levels of cognitive engagement than disadvantaged pupils from other ethnic backgrounds.</w:t>
      </w:r>
    </w:p>
    <w:p w14:paraId="14934F4F" w14:textId="6B20B992" w:rsidR="006A27AA" w:rsidRDefault="00C561E1" w:rsidP="00AA7EC3">
      <w:pPr>
        <w:spacing w:line="360" w:lineRule="auto"/>
        <w:jc w:val="both"/>
      </w:pPr>
      <w:r>
        <w:t>In Appendix</w:t>
      </w:r>
      <w:r w:rsidR="0062601E">
        <w:t xml:space="preserve"> </w:t>
      </w:r>
      <w:r w:rsidR="003826AC">
        <w:t>C</w:t>
      </w:r>
      <w:r w:rsidR="0062601E">
        <w:t xml:space="preserve"> we </w:t>
      </w:r>
      <w:r w:rsidR="00541315">
        <w:t>present results from the model outlined in equation (2), where we explore the impact of the ethnicity*FSM interaction.</w:t>
      </w:r>
      <w:r w:rsidR="006A27AA">
        <w:t xml:space="preserve"> For most cognitive engagement measures, these interaction terms </w:t>
      </w:r>
      <w:r w:rsidR="002F3C57">
        <w:t>are</w:t>
      </w:r>
      <w:r w:rsidR="006A27AA">
        <w:t xml:space="preserve"> reasonably small in magnitude and fail to reach statistical significance at conventional levels. There are, however, two notable exceptions. First, disadvantaged Black pupils report being more interested in their lessons and are more satisfied with behaviour within their school than their disadvantaged White peers. Second, across all the cognitive engagement measures, the FSM-by-White non-British interaction is positive, sizeable and statistically significant. This indicates that the FSM gap in cognitive engagement amongst White non-British pupils is smaller than the FSM gap amongst their White-British counterparts. </w:t>
      </w:r>
    </w:p>
    <w:p w14:paraId="7865BBC5" w14:textId="081DCB44" w:rsidR="00FB23A8" w:rsidRDefault="00FB23A8" w:rsidP="00AA7EC3">
      <w:pPr>
        <w:spacing w:line="360" w:lineRule="auto"/>
        <w:jc w:val="both"/>
      </w:pPr>
      <w:r>
        <w:t xml:space="preserve">Panel (b) </w:t>
      </w:r>
      <w:r w:rsidR="00377E6C">
        <w:t xml:space="preserve">of Table 2 </w:t>
      </w:r>
      <w:r>
        <w:t xml:space="preserve">then splits the results by gender. For most of the cognitive engagement measures, average scores are lowest amongst WWC </w:t>
      </w:r>
      <w:r w:rsidRPr="00844C0E">
        <w:t>girls</w:t>
      </w:r>
      <w:r>
        <w:t>.</w:t>
      </w:r>
      <w:r w:rsidR="005932A1">
        <w:t xml:space="preserve"> Staying with pupil’s sense of agency as an example, the average scores of WWC girls and boys are around 0.2 points (≈</w:t>
      </w:r>
      <w:r w:rsidR="008D457E">
        <w:t>0.1</w:t>
      </w:r>
      <w:r w:rsidR="005932A1">
        <w:t xml:space="preserve"> standard deviations) apart.</w:t>
      </w:r>
      <w:r w:rsidR="00F84CAF">
        <w:t xml:space="preserve"> The same holds true for pupil’s interest in lessons and their views of behaviour. However, a similar gender gap is also observed amongst FSM pupils of other ethnicities (e.g. Black FSM boys report average agency scores around 0.3 points higher than Black FSM girls). </w:t>
      </w:r>
      <w:r w:rsidR="00F84CAF" w:rsidRPr="008D457E">
        <w:t xml:space="preserve">This result is formalised in Appendix </w:t>
      </w:r>
      <w:r w:rsidR="003826AC">
        <w:t>D</w:t>
      </w:r>
      <w:r w:rsidR="00F84CAF" w:rsidRPr="008D457E">
        <w:t>, where we find most Gender*Ethnicity interactions amongst FSM pupils to be small in magnitude and statistically insignificant</w:t>
      </w:r>
      <w:r w:rsidR="00F84CAF">
        <w:t>.</w:t>
      </w:r>
      <w:r w:rsidR="00957727">
        <w:t xml:space="preserve"> Consequently, while WWC girls tend to have the lowest sense of agency, interest in lessons and views of behaviour scores out of any</w:t>
      </w:r>
      <w:r w:rsidR="00251C17">
        <w:t xml:space="preserve"> socio-economic-by-ethnic</w:t>
      </w:r>
      <w:r w:rsidR="00957727">
        <w:t xml:space="preserve"> group, there is no evidence that the gender gap is </w:t>
      </w:r>
      <w:r w:rsidR="00961248">
        <w:t xml:space="preserve">any </w:t>
      </w:r>
      <w:r w:rsidR="00957727">
        <w:t>bigger</w:t>
      </w:r>
      <w:r w:rsidR="00961248">
        <w:t xml:space="preserve"> (or smaller)</w:t>
      </w:r>
      <w:r w:rsidR="00957727">
        <w:t xml:space="preserve"> amongst disadvantaged pupils of other ethnicities. </w:t>
      </w:r>
    </w:p>
    <w:p w14:paraId="75BB4208" w14:textId="5C994973" w:rsidR="00957727" w:rsidRDefault="00957727" w:rsidP="00AA7EC3">
      <w:pPr>
        <w:spacing w:line="360" w:lineRule="auto"/>
        <w:jc w:val="both"/>
      </w:pPr>
      <w:r>
        <w:t>The one notable exception to this result is the extent that WWC boys and girls value education. For this measure, the gender gap is reversed, though the difference is small (mean scores of 6.27 for WWC boys compared to 6.34 for WWC girls).</w:t>
      </w:r>
      <w:r w:rsidR="00EC7A46">
        <w:t xml:space="preserve"> This reflects a more general pattern – holding across levels of disadvantage and ethnicities – where girls tend to value education more than boys.</w:t>
      </w:r>
    </w:p>
    <w:p w14:paraId="6FB764F9" w14:textId="34800B1D" w:rsidR="00A24765" w:rsidRDefault="00EC7A46" w:rsidP="00AA7EC3">
      <w:pPr>
        <w:spacing w:line="360" w:lineRule="auto"/>
        <w:jc w:val="both"/>
      </w:pPr>
      <w:r>
        <w:lastRenderedPageBreak/>
        <w:t xml:space="preserve">In Figure </w:t>
      </w:r>
      <w:r w:rsidR="00170ACC">
        <w:t>2</w:t>
      </w:r>
      <w:r>
        <w:t xml:space="preserve"> we explore the sharp drop in cognitive engagement that occurs during Year 7, as reported by Jerrim (2025</w:t>
      </w:r>
      <w:r w:rsidR="00881674">
        <w:t>b</w:t>
      </w:r>
      <w:r>
        <w:t xml:space="preserve">). The graph </w:t>
      </w:r>
      <w:r w:rsidR="008D18BF">
        <w:t xml:space="preserve">illustrates how this compares across disadvantaged pupils of different ethnicities, with the results for White not FSM pupils </w:t>
      </w:r>
      <w:r w:rsidR="00AC4A17">
        <w:t>provided as well</w:t>
      </w:r>
      <w:r w:rsidR="008D18BF">
        <w:t xml:space="preserve">. Findings are presented for pupil’s sense of agency and value of education, with those for the other cognitive engagement measures provided in Appendix </w:t>
      </w:r>
      <w:r w:rsidR="003826AC">
        <w:t>E</w:t>
      </w:r>
      <w:r w:rsidR="008D18BF">
        <w:t>.</w:t>
      </w:r>
    </w:p>
    <w:p w14:paraId="2B4CE2A9" w14:textId="56D23D7D" w:rsidR="00A24765" w:rsidRPr="00A24765" w:rsidRDefault="00A24765" w:rsidP="00A24765">
      <w:pPr>
        <w:spacing w:line="360" w:lineRule="auto"/>
        <w:jc w:val="center"/>
        <w:rPr>
          <w:b/>
          <w:bCs/>
        </w:rPr>
      </w:pPr>
      <w:r w:rsidRPr="00A24765">
        <w:rPr>
          <w:b/>
          <w:bCs/>
        </w:rPr>
        <w:t xml:space="preserve">&lt;&lt; Figure </w:t>
      </w:r>
      <w:r w:rsidR="00170ACC">
        <w:rPr>
          <w:b/>
          <w:bCs/>
        </w:rPr>
        <w:t>2</w:t>
      </w:r>
      <w:r w:rsidRPr="00A24765">
        <w:rPr>
          <w:b/>
          <w:bCs/>
        </w:rPr>
        <w:t xml:space="preserve"> &gt;&gt;</w:t>
      </w:r>
    </w:p>
    <w:p w14:paraId="503A8D67" w14:textId="4877EBB0" w:rsidR="005C2ABD" w:rsidRDefault="005C2ABD" w:rsidP="00AA7EC3">
      <w:pPr>
        <w:spacing w:line="360" w:lineRule="auto"/>
        <w:jc w:val="both"/>
      </w:pPr>
      <w:r>
        <w:t>Year 7 pupils’ cognitive engagement with school drops sharply between Autumn (November) and Spring (March) terms, before another (gentler) decline between Spring and Summer (June).</w:t>
      </w:r>
      <w:r w:rsidR="003D17BF">
        <w:t xml:space="preserve"> This, however, largely occurs across each ethnic group. For instance, most of the lines in Figure 2 clearly slope downwards and are broadly parallel to one another. The only potential exception is disadvantaged Asian pupils, whose sense of agency rebounds during the summer term while the value they place on education remains flat. Caution is required even for this group, however, due to its small sample size (n = </w:t>
      </w:r>
      <w:r w:rsidR="004F289F">
        <w:t>151</w:t>
      </w:r>
      <w:r w:rsidR="003D17BF">
        <w:t xml:space="preserve"> for Year 7 Asian FSM pupils).</w:t>
      </w:r>
      <w:r w:rsidR="00A42853">
        <w:t xml:space="preserve"> </w:t>
      </w:r>
      <w:r w:rsidR="00071940">
        <w:t xml:space="preserve">These findings are supported by results from our regression models reported in Appendix </w:t>
      </w:r>
      <w:r w:rsidR="003826AC">
        <w:t>E</w:t>
      </w:r>
      <w:r w:rsidR="00071940">
        <w:t xml:space="preserve">, where most of the ethnic-by-wave interaction terms (as specified in equation 3) are small and statistically insignificant at conventional levels. Hence, overall, the Year 7 drop in pupil’s cognitive engagement appears to be similar amongst the WWC to disadvantaged pupils of other ethnicities (and, indeed, </w:t>
      </w:r>
      <w:r w:rsidR="00397372">
        <w:t xml:space="preserve">to </w:t>
      </w:r>
      <w:r w:rsidR="00071940">
        <w:t>White pupils not eligible for FSM).</w:t>
      </w:r>
    </w:p>
    <w:p w14:paraId="5119EA09" w14:textId="051F43AF" w:rsidR="00BF5FC2" w:rsidRPr="005F4082" w:rsidRDefault="007079F8" w:rsidP="005F4082">
      <w:pPr>
        <w:spacing w:line="360" w:lineRule="auto"/>
        <w:jc w:val="both"/>
      </w:pPr>
      <w:r>
        <w:t xml:space="preserve">For completeness, in Appendix </w:t>
      </w:r>
      <w:r w:rsidR="00E418C7">
        <w:t>H</w:t>
      </w:r>
      <w:r>
        <w:t xml:space="preserve"> we also investigate the drop in cognitive engagement amongst Year 8-11 pupils across the Autumn, Spring and Summer terms. We</w:t>
      </w:r>
      <w:r w:rsidR="005F4082">
        <w:t xml:space="preserve"> find little evidence that WWC pupil’s cognitive engagement changes by any more (or less) as the academic year progresses than pupils from other ethnic and FSM backgrounds. </w:t>
      </w:r>
    </w:p>
    <w:p w14:paraId="47EFBEA3" w14:textId="77777777" w:rsidR="005A6139" w:rsidRDefault="005A6139" w:rsidP="005A6139">
      <w:pPr>
        <w:rPr>
          <w:u w:val="single"/>
        </w:rPr>
      </w:pPr>
      <w:r>
        <w:rPr>
          <w:u w:val="single"/>
        </w:rPr>
        <w:t>Emotional</w:t>
      </w:r>
      <w:r w:rsidRPr="005A6139">
        <w:rPr>
          <w:u w:val="single"/>
        </w:rPr>
        <w:t xml:space="preserve"> engagement</w:t>
      </w:r>
    </w:p>
    <w:p w14:paraId="72271A33" w14:textId="09FF37FA" w:rsidR="005A6139" w:rsidRDefault="009C3AB7" w:rsidP="00B84A30">
      <w:pPr>
        <w:spacing w:line="360" w:lineRule="auto"/>
        <w:jc w:val="both"/>
      </w:pPr>
      <w:r>
        <w:t xml:space="preserve">Table </w:t>
      </w:r>
      <w:r w:rsidR="00170ACC">
        <w:t>3</w:t>
      </w:r>
      <w:r>
        <w:t xml:space="preserve"> turns to our comparison of the emotional engagement of WWC secondary pupils compared to other ethnic and FSM groups.</w:t>
      </w:r>
    </w:p>
    <w:p w14:paraId="15193D51" w14:textId="3F7604A8" w:rsidR="009C3AB7" w:rsidRPr="009C3AB7" w:rsidRDefault="009C3AB7" w:rsidP="009C3AB7">
      <w:pPr>
        <w:spacing w:line="360" w:lineRule="auto"/>
        <w:jc w:val="center"/>
        <w:rPr>
          <w:b/>
          <w:bCs/>
        </w:rPr>
      </w:pPr>
      <w:r w:rsidRPr="009C3AB7">
        <w:rPr>
          <w:b/>
          <w:bCs/>
        </w:rPr>
        <w:t xml:space="preserve">&lt;&lt; Table </w:t>
      </w:r>
      <w:r w:rsidR="00170ACC">
        <w:rPr>
          <w:b/>
          <w:bCs/>
        </w:rPr>
        <w:t>3</w:t>
      </w:r>
      <w:r w:rsidRPr="009C3AB7">
        <w:rPr>
          <w:b/>
          <w:bCs/>
        </w:rPr>
        <w:t xml:space="preserve"> &gt;&gt;</w:t>
      </w:r>
    </w:p>
    <w:p w14:paraId="3F7A1D7D" w14:textId="77777777" w:rsidR="00E86491" w:rsidRDefault="009C3AB7" w:rsidP="00B84A30">
      <w:pPr>
        <w:spacing w:line="360" w:lineRule="auto"/>
        <w:jc w:val="both"/>
      </w:pPr>
      <w:r>
        <w:lastRenderedPageBreak/>
        <w:t>Starting</w:t>
      </w:r>
      <w:r w:rsidR="00256B3F">
        <w:t xml:space="preserve"> with the results for peer relationships, it is notable how the average scores for WWC pupils are similar to those of FSM pupils of other ethnicities. Indeed, </w:t>
      </w:r>
      <w:r w:rsidR="00543825">
        <w:t>for peer relationships,</w:t>
      </w:r>
      <w:r w:rsidR="00256B3F">
        <w:t xml:space="preserve"> none of the comparison</w:t>
      </w:r>
      <w:r w:rsidR="00543825">
        <w:t>s</w:t>
      </w:r>
      <w:r w:rsidR="00256B3F">
        <w:t xml:space="preserve"> between WWC pupils and FSM pupils of other ethnicities</w:t>
      </w:r>
      <w:r w:rsidR="00543825">
        <w:t xml:space="preserve"> in panel (a)</w:t>
      </w:r>
      <w:r w:rsidR="00256B3F">
        <w:t xml:space="preserve"> are statistically significant. These results hence suggest that, while socio-economically disadvantaged pupils have worse relationships with their peers than more advantaged pupils, there is little clear difference across ethnicities amongst those from the most disadvantaged backgrounds.</w:t>
      </w:r>
      <w:r w:rsidR="001068DE">
        <w:t xml:space="preserve"> It is however notable that the FSM gap in peer relationships is greater amongst White pupils (0.68 points – equivalent to around 0.3 standard deviations) than Black pupils (0.08 point difference). This is reflected by results from our regression models - reported in Appendix </w:t>
      </w:r>
      <w:r w:rsidR="0091485A">
        <w:t>C</w:t>
      </w:r>
      <w:r w:rsidR="001068DE">
        <w:t xml:space="preserve"> – where the FSM-by-Black interaction is positive, sizeable and statistically significant at the 5% level. </w:t>
      </w:r>
    </w:p>
    <w:p w14:paraId="57888176" w14:textId="1A52DFFF" w:rsidR="009C3AB7" w:rsidRDefault="00256B3F" w:rsidP="00B84A30">
      <w:pPr>
        <w:spacing w:line="360" w:lineRule="auto"/>
        <w:jc w:val="both"/>
      </w:pPr>
      <w:r>
        <w:t xml:space="preserve">Interestingly, panel (b) highlights how poor peer relationships stand out as a bigger issue amongst WWC girls than boys (average scores of </w:t>
      </w:r>
      <w:r w:rsidR="00350C87">
        <w:t>≈5.4 versus ≈5.8). Such gender differences emerge, however, across each ethnic group and regardless of whether the pupil is FSM eligible or not</w:t>
      </w:r>
      <w:r w:rsidR="00F0768D">
        <w:t>. T</w:t>
      </w:r>
      <w:r w:rsidR="00350C87">
        <w:t xml:space="preserve">hese findings are formalised in Appendix </w:t>
      </w:r>
      <w:r w:rsidR="0091485A">
        <w:t>C and D</w:t>
      </w:r>
      <w:r w:rsidR="00350C87">
        <w:t xml:space="preserve"> where we fail to find evidence of ethnic*FSM or ethnic*Gender interactions.</w:t>
      </w:r>
    </w:p>
    <w:p w14:paraId="51C2153F" w14:textId="723577D5" w:rsidR="00B84A30" w:rsidRDefault="00350C87" w:rsidP="0061575F">
      <w:pPr>
        <w:spacing w:line="360" w:lineRule="auto"/>
        <w:jc w:val="both"/>
      </w:pPr>
      <w:r>
        <w:t xml:space="preserve">There are, however, interesting differences in pupil’s views of their relationships with teachers. In particular, the results in panel (a) </w:t>
      </w:r>
      <w:r w:rsidR="0061575F">
        <w:t xml:space="preserve">illustrate how WWC pupils report slightly better teacher relationships than FSM pupils from two other ethnic groups – Mixed race and Black pupils – though differences are relatively small (around 0.2 scale points, equivalent to </w:t>
      </w:r>
      <w:r w:rsidR="001068DE">
        <w:t>0.1</w:t>
      </w:r>
      <w:r w:rsidR="0061575F">
        <w:t xml:space="preserve"> standard deviations).</w:t>
      </w:r>
      <w:r w:rsidR="001068DE">
        <w:t xml:space="preserve"> However, none of the FSM-by-ethnic group interactions reported in Appendix </w:t>
      </w:r>
      <w:r w:rsidR="00654BD4">
        <w:t>C</w:t>
      </w:r>
      <w:r w:rsidR="001068DE">
        <w:t xml:space="preserve"> are statistically significant, indicating that the associations between disadvantage and ethnicity with teacher relationships are additive rather than multiplicative. </w:t>
      </w:r>
      <w:r w:rsidR="00D94967">
        <w:t xml:space="preserve">Again, one sees from panel (b) that pupil-teacher relationship scores are lower for WWC girls (≈5.9) than WWC boys (≈5.6) – but that similar gender gaps emerge across </w:t>
      </w:r>
      <w:r w:rsidR="002C1D94">
        <w:t>other</w:t>
      </w:r>
      <w:r w:rsidR="00D94967">
        <w:t xml:space="preserve"> FSM and ethnic groups. Consequently, while disadvantaged pupils generally have weaker relationships with their teachers (particularly girls) there is little evidence to suggest this is a particular challenge facing the </w:t>
      </w:r>
      <w:r w:rsidR="00612440" w:rsidRPr="00612440">
        <w:t>WWC</w:t>
      </w:r>
      <w:r w:rsidR="00D94967">
        <w:t>.</w:t>
      </w:r>
    </w:p>
    <w:p w14:paraId="29B4F21B" w14:textId="730D5BC9" w:rsidR="00B54720" w:rsidRDefault="00B54720" w:rsidP="00B54720">
      <w:pPr>
        <w:spacing w:line="360" w:lineRule="auto"/>
        <w:jc w:val="both"/>
      </w:pPr>
      <w:r>
        <w:t xml:space="preserve">Interestingly, it is WWC pupils who report the lowest diversity and inclusion scores. While their average (≈4.8) is not significantly different to those of disadvantaged mixed-race (≈4.8) and Black (≈5.0) pupils, </w:t>
      </w:r>
      <w:r w:rsidR="00CE2A75">
        <w:t>they are</w:t>
      </w:r>
      <w:r>
        <w:t xml:space="preserve"> below those of their Asian (≈5.3) peers. As with </w:t>
      </w:r>
      <w:r>
        <w:lastRenderedPageBreak/>
        <w:t xml:space="preserve">the other aspects of pupil’s emotional engagement, WWC girls report significantly lower diversity and inclusion scores than boys (≈4.6 versus 5.0). This gender difference is, however, common across all ethnic and disadvantage groups. It is </w:t>
      </w:r>
      <w:r w:rsidR="00CE2A75">
        <w:t>also</w:t>
      </w:r>
      <w:r>
        <w:t xml:space="preserve"> notable </w:t>
      </w:r>
      <w:r w:rsidR="008619B0">
        <w:t>how</w:t>
      </w:r>
      <w:r>
        <w:t xml:space="preserve"> Black, White and Mixed-race</w:t>
      </w:r>
      <w:r w:rsidR="008619B0">
        <w:t xml:space="preserve"> FSM</w:t>
      </w:r>
      <w:r>
        <w:t xml:space="preserve"> girls all report similar – and particularly low – diversity and inclusion scores (≈4.6).</w:t>
      </w:r>
      <w:r w:rsidR="001068DE">
        <w:t xml:space="preserve"> These findings are supported by results from our regression models reported in Appendix </w:t>
      </w:r>
      <w:r w:rsidR="00657A9D">
        <w:t>C and D</w:t>
      </w:r>
      <w:r w:rsidR="001068DE">
        <w:t xml:space="preserve">, where most interaction terms fail to reach statistical significance. Ethnicity, disadvantage and gender thus appear to have additive associations with diversity and inclusion scores, rather than </w:t>
      </w:r>
      <w:r w:rsidR="00F13499">
        <w:t xml:space="preserve">these factors </w:t>
      </w:r>
      <w:r w:rsidR="001068DE">
        <w:t>interacti</w:t>
      </w:r>
      <w:r w:rsidR="00F13499">
        <w:t>ng</w:t>
      </w:r>
      <w:r w:rsidR="001068DE">
        <w:t xml:space="preserve">. </w:t>
      </w:r>
    </w:p>
    <w:p w14:paraId="1DB8CDED" w14:textId="7677CDA1" w:rsidR="00B54720" w:rsidRDefault="00B54720" w:rsidP="00B54720">
      <w:pPr>
        <w:spacing w:line="360" w:lineRule="auto"/>
        <w:jc w:val="both"/>
      </w:pPr>
      <w:r>
        <w:t xml:space="preserve">Finally, and perhaps most stark, are the results for enjoyment of school. For this dimension of pupil’s emotional engagement, WWC children fair particularly poorly. Their average score is just 2.6 out of 10, with </w:t>
      </w:r>
      <w:r w:rsidR="00624909">
        <w:t>85</w:t>
      </w:r>
      <w:r w:rsidR="00A27C49">
        <w:t>%</w:t>
      </w:r>
      <w:r>
        <w:t xml:space="preserve"> of this group awarding a score of 5 or below. This is substantially below the average score of disadvantaged Black (3.4) and Asian (3.7) pupils. More generally, panel (a) of Table </w:t>
      </w:r>
      <w:r w:rsidR="00624909">
        <w:t>3</w:t>
      </w:r>
      <w:r>
        <w:t xml:space="preserve"> illustrates how White</w:t>
      </w:r>
      <w:r w:rsidR="00CE1849">
        <w:t>-British</w:t>
      </w:r>
      <w:r>
        <w:t xml:space="preserve"> pupils tend to enjoy school less than other ethnic groups</w:t>
      </w:r>
      <w:r w:rsidR="00CE1849">
        <w:t xml:space="preserve"> (regardless of whether they are eligible for FSM or not)</w:t>
      </w:r>
      <w:r>
        <w:t>.</w:t>
      </w:r>
      <w:r w:rsidR="00CE1849">
        <w:t xml:space="preserve"> Indeed, most of the FSM-by-ethnicity interactions within our regression models do not reach statistical significance, indicating that socio-economic disadvantage is no more strongly (or weakly) associated with enjoyment of school amongst White pupils than other ethnic groups. </w:t>
      </w:r>
      <w:r>
        <w:t xml:space="preserve">Panel (b) indicates that this is again a bigger issue for WWC girls than boys (mean scores of ≈2.4 versus ≈2.8). This </w:t>
      </w:r>
      <w:r w:rsidR="0078468A">
        <w:t>is</w:t>
      </w:r>
      <w:r>
        <w:t xml:space="preserve"> due to the </w:t>
      </w:r>
      <w:r>
        <w:rPr>
          <w:i/>
          <w:iCs/>
        </w:rPr>
        <w:t>additive</w:t>
      </w:r>
      <w:r>
        <w:t xml:space="preserve"> effect of WWC girls having multiple risk factors for low enjoyment of school (White, FSM, female)</w:t>
      </w:r>
      <w:r w:rsidR="0078468A">
        <w:t>. S</w:t>
      </w:r>
      <w:r>
        <w:t xml:space="preserve">ee Appendix </w:t>
      </w:r>
      <w:r w:rsidR="00657A9D">
        <w:t>D</w:t>
      </w:r>
      <w:r>
        <w:t xml:space="preserve"> for formal reporting of ethnicity*gender interaction terms from our statistical models</w:t>
      </w:r>
      <w:r w:rsidR="00CE1849">
        <w:t>, all of which fail to reach statistical significance</w:t>
      </w:r>
      <w:r>
        <w:t>.</w:t>
      </w:r>
    </w:p>
    <w:p w14:paraId="4BAC034C" w14:textId="1650AD0C" w:rsidR="00CE1849" w:rsidRDefault="00B54720" w:rsidP="00B54720">
      <w:pPr>
        <w:spacing w:line="360" w:lineRule="auto"/>
        <w:jc w:val="both"/>
      </w:pPr>
      <w:r>
        <w:t xml:space="preserve">In Figure </w:t>
      </w:r>
      <w:r w:rsidR="00624909">
        <w:t>3</w:t>
      </w:r>
      <w:r>
        <w:t xml:space="preserve"> we turn our attention to the Year 7 drop in pupils’ emotional engagement, focusing on pupil’s relationship with their peers and with</w:t>
      </w:r>
      <w:r w:rsidR="00540A7B">
        <w:t xml:space="preserve"> their</w:t>
      </w:r>
      <w:r>
        <w:t xml:space="preserve"> teachers (results for other measures are reported in Appendix </w:t>
      </w:r>
      <w:r w:rsidR="00657A9D">
        <w:t>F</w:t>
      </w:r>
      <w:r>
        <w:t xml:space="preserve">). Overall, both graphs provide little evidence that the Year 7 drop in emotional engagement is particularly pronounced amongst the WWC. Most of the lines run parallel to one another, with little evidence of a statistically significant difference in the change between Autumn-Spring and Spring-Summer terms. </w:t>
      </w:r>
    </w:p>
    <w:p w14:paraId="55C0C7F3" w14:textId="7BB491F2" w:rsidR="00B54720" w:rsidRDefault="00B54720" w:rsidP="00B54720">
      <w:pPr>
        <w:spacing w:line="360" w:lineRule="auto"/>
        <w:jc w:val="both"/>
      </w:pPr>
      <w:r>
        <w:t xml:space="preserve">In fact, the potentially most interesting result is for disadvantaged Black pupils. Between the Autumn and Spring terms, this group </w:t>
      </w:r>
      <w:r w:rsidR="00BD603E">
        <w:t>suffers</w:t>
      </w:r>
      <w:r>
        <w:t xml:space="preserve"> a much more pronounced decline in their relationship with teachers (and, to some extent, their peers) than other groups, </w:t>
      </w:r>
      <w:r>
        <w:lastRenderedPageBreak/>
        <w:t xml:space="preserve">including the WWC. This is indicated in Figure </w:t>
      </w:r>
      <w:r w:rsidR="00624909">
        <w:t>3</w:t>
      </w:r>
      <w:r>
        <w:t xml:space="preserve"> by the fact that the solid blue (WWC) and black (Black FSM) lines are reasonably close together in the left of the graph (Autumn term) but further apart on the right (summer term). The change between White and Black pupils between the</w:t>
      </w:r>
      <w:r w:rsidR="00FD0BE2">
        <w:t xml:space="preserve"> first two</w:t>
      </w:r>
      <w:r>
        <w:t xml:space="preserve"> wave</w:t>
      </w:r>
      <w:r w:rsidR="00FD0BE2">
        <w:t>s (</w:t>
      </w:r>
      <w:r w:rsidR="00157840">
        <w:t>November and March)</w:t>
      </w:r>
      <w:r>
        <w:t xml:space="preserve"> is statistically significant at the 5% level (</w:t>
      </w:r>
      <w:r w:rsidR="00CE1849">
        <w:t xml:space="preserve">see Appendix </w:t>
      </w:r>
      <w:r w:rsidR="00657A9D">
        <w:t>F</w:t>
      </w:r>
      <w:r w:rsidR="00CE1849">
        <w:t xml:space="preserve">, Table </w:t>
      </w:r>
      <w:r w:rsidR="00657A9D">
        <w:t>F1b</w:t>
      </w:r>
      <w:r w:rsidR="00CE1849">
        <w:t xml:space="preserve"> for further details</w:t>
      </w:r>
      <w:r>
        <w:t>).</w:t>
      </w:r>
    </w:p>
    <w:p w14:paraId="5FC3A0B9" w14:textId="4A4EA24A" w:rsidR="00B54720" w:rsidRDefault="00B54720" w:rsidP="00B54720">
      <w:pPr>
        <w:spacing w:line="360" w:lineRule="auto"/>
        <w:jc w:val="center"/>
        <w:rPr>
          <w:b/>
          <w:bCs/>
        </w:rPr>
      </w:pPr>
      <w:r w:rsidRPr="00D90A6C">
        <w:rPr>
          <w:b/>
          <w:bCs/>
        </w:rPr>
        <w:t xml:space="preserve">&lt;&lt; Figure </w:t>
      </w:r>
      <w:r w:rsidR="00624909">
        <w:rPr>
          <w:b/>
          <w:bCs/>
        </w:rPr>
        <w:t>3</w:t>
      </w:r>
      <w:r w:rsidRPr="00D90A6C">
        <w:rPr>
          <w:b/>
          <w:bCs/>
        </w:rPr>
        <w:t xml:space="preserve"> &gt;&gt;</w:t>
      </w:r>
    </w:p>
    <w:p w14:paraId="66B30E38" w14:textId="2887AA22" w:rsidR="00CE1849" w:rsidRDefault="00B54720" w:rsidP="00FC43C3">
      <w:pPr>
        <w:spacing w:line="360" w:lineRule="auto"/>
        <w:jc w:val="both"/>
      </w:pPr>
      <w:r w:rsidRPr="004D07D6">
        <w:t>Appendix</w:t>
      </w:r>
      <w:r>
        <w:t xml:space="preserve"> </w:t>
      </w:r>
      <w:r w:rsidR="00657A9D">
        <w:t>H</w:t>
      </w:r>
      <w:r>
        <w:t xml:space="preserve"> considers the analogous inter-term change in emotional engagement amongst older (Year 8 to 11) year groups.</w:t>
      </w:r>
      <w:r w:rsidR="00FC43C3">
        <w:t xml:space="preserve"> </w:t>
      </w:r>
      <w:r w:rsidR="00157840">
        <w:t>T</w:t>
      </w:r>
      <w:r w:rsidR="00FC43C3">
        <w:t>he decline in</w:t>
      </w:r>
      <w:r w:rsidR="00157840">
        <w:t xml:space="preserve"> emotional</w:t>
      </w:r>
      <w:r w:rsidR="00FC43C3">
        <w:t xml:space="preserve"> engagement between Autumn, Spring and Summer terms is similar amongst WWC pupils to other socio-economic-by-ethnic groups. The most interesting exception is again with respect to disadvantaged Black pupil’s relationship with their teachers, </w:t>
      </w:r>
      <w:r w:rsidR="001630ED">
        <w:t>which</w:t>
      </w:r>
      <w:r w:rsidR="00FC43C3">
        <w:t xml:space="preserve"> suffers particularly pronounced falls between the Autumn and Spring terms</w:t>
      </w:r>
      <w:r w:rsidR="00657A9D">
        <w:t xml:space="preserve"> (see Appendix Table H2b)</w:t>
      </w:r>
      <w:r w:rsidR="00FC43C3">
        <w:t xml:space="preserve">. </w:t>
      </w:r>
    </w:p>
    <w:p w14:paraId="7F0E45BB" w14:textId="77777777" w:rsidR="00B54720" w:rsidRPr="00763555" w:rsidRDefault="00B54720" w:rsidP="00B54720">
      <w:pPr>
        <w:spacing w:line="360" w:lineRule="auto"/>
        <w:rPr>
          <w:u w:val="single"/>
        </w:rPr>
      </w:pPr>
      <w:r w:rsidRPr="00763555">
        <w:rPr>
          <w:u w:val="single"/>
        </w:rPr>
        <w:t>Behavioural engagement</w:t>
      </w:r>
    </w:p>
    <w:p w14:paraId="619616D6" w14:textId="42B279D0" w:rsidR="00B54720" w:rsidRDefault="00B54720" w:rsidP="00FC43C3">
      <w:pPr>
        <w:spacing w:line="360" w:lineRule="auto"/>
        <w:jc w:val="both"/>
      </w:pPr>
      <w:r>
        <w:t xml:space="preserve">To conclude, we replicate our analysis using measures of pupil’s behavioural engagement with school, captured by their self-reported effort. Results are reported in Table </w:t>
      </w:r>
      <w:r w:rsidR="00624909">
        <w:t>4</w:t>
      </w:r>
      <w:r>
        <w:t xml:space="preserve"> for the overall scale score, and each of the three individual questions in turn.</w:t>
      </w:r>
    </w:p>
    <w:p w14:paraId="55F6EBFA" w14:textId="69C164EF" w:rsidR="00B54720" w:rsidRPr="00654FD9" w:rsidRDefault="00B54720" w:rsidP="00B54720">
      <w:pPr>
        <w:spacing w:line="360" w:lineRule="auto"/>
        <w:jc w:val="center"/>
        <w:rPr>
          <w:b/>
          <w:bCs/>
        </w:rPr>
      </w:pPr>
      <w:r w:rsidRPr="00654FD9">
        <w:rPr>
          <w:b/>
          <w:bCs/>
        </w:rPr>
        <w:t xml:space="preserve">&lt;&lt; Table </w:t>
      </w:r>
      <w:r w:rsidR="00624909">
        <w:rPr>
          <w:b/>
          <w:bCs/>
        </w:rPr>
        <w:t>4</w:t>
      </w:r>
      <w:r w:rsidRPr="00654FD9">
        <w:rPr>
          <w:b/>
          <w:bCs/>
        </w:rPr>
        <w:t xml:space="preserve"> &gt;&gt;</w:t>
      </w:r>
    </w:p>
    <w:p w14:paraId="26865CF5" w14:textId="0397A31B" w:rsidR="007C090F" w:rsidRDefault="00B54720" w:rsidP="00B54720">
      <w:pPr>
        <w:spacing w:line="360" w:lineRule="auto"/>
        <w:jc w:val="both"/>
      </w:pPr>
      <w:r>
        <w:t>The difference between WWC pupils and each of the other groups is particularly large. Their average self-reported effort score of 5.5 is a point or more below</w:t>
      </w:r>
      <w:r w:rsidR="00E02BEB">
        <w:t xml:space="preserve"> the scores of</w:t>
      </w:r>
      <w:r>
        <w:t xml:space="preserve"> FSM pupils of Black (≈6.5), Asian (≈6.7) and South Asian (≈6.9) ethnicity. </w:t>
      </w:r>
      <w:r w:rsidR="00E02BEB">
        <w:t>This is equivalent to a difference of</w:t>
      </w:r>
      <w:r>
        <w:t xml:space="preserve"> around </w:t>
      </w:r>
      <w:r w:rsidR="00A27C49">
        <w:t>0.4 to 0.5</w:t>
      </w:r>
      <w:r>
        <w:t xml:space="preserve"> standard deviations. Put another way</w:t>
      </w:r>
      <w:r w:rsidR="00EF1508">
        <w:t>,</w:t>
      </w:r>
      <w:r>
        <w:t xml:space="preserve"> </w:t>
      </w:r>
      <w:r w:rsidR="00A27C49">
        <w:t>half</w:t>
      </w:r>
      <w:r>
        <w:t xml:space="preserve"> of WWC secondary pupils report not putting</w:t>
      </w:r>
      <w:r w:rsidR="00675B45">
        <w:t xml:space="preserve"> particularly high levels of</w:t>
      </w:r>
      <w:r>
        <w:t xml:space="preserve"> effort into their schoolwork (score of 5 or below)</w:t>
      </w:r>
      <w:r w:rsidR="00067D5C">
        <w:t>.</w:t>
      </w:r>
      <w:r>
        <w:t xml:space="preserve"> This is compared to much lower proportions of disadvantaged Black (</w:t>
      </w:r>
      <w:r w:rsidR="00A27C49">
        <w:t>32</w:t>
      </w:r>
      <w:r>
        <w:t>%), Asian (</w:t>
      </w:r>
      <w:r w:rsidR="00A27C49">
        <w:t>29</w:t>
      </w:r>
      <w:r>
        <w:t>%) and South Asian (</w:t>
      </w:r>
      <w:r w:rsidR="00A27C49">
        <w:t>27</w:t>
      </w:r>
      <w:r>
        <w:t>%) pupils. It is particularly notable how the WWC are much less likely to report handing their homework in on time than other groups (e.g. the average score for the WWC is 4.5 out of 10, compared to 6.2 out of Black FSM pupils). The results in panel (b)</w:t>
      </w:r>
      <w:r w:rsidR="00067D5C">
        <w:t xml:space="preserve"> also</w:t>
      </w:r>
      <w:r>
        <w:t xml:space="preserve"> point towards a small difference between WWC girls and boys, with the latter reporting slightly lower levels of effort at school (≈ 0.2 point – or </w:t>
      </w:r>
      <w:r w:rsidR="007C090F">
        <w:t>≈0.08</w:t>
      </w:r>
      <w:r>
        <w:t xml:space="preserve"> standard deviation – difference).</w:t>
      </w:r>
      <w:r w:rsidR="00960573">
        <w:t xml:space="preserve"> </w:t>
      </w:r>
    </w:p>
    <w:p w14:paraId="77CECD99" w14:textId="7EFAE91D" w:rsidR="007C090F" w:rsidRDefault="007C090F" w:rsidP="00B54720">
      <w:pPr>
        <w:spacing w:line="360" w:lineRule="auto"/>
        <w:jc w:val="both"/>
      </w:pPr>
      <w:r>
        <w:lastRenderedPageBreak/>
        <w:t xml:space="preserve">Results from our regression models – reported in Appendix </w:t>
      </w:r>
      <w:r w:rsidR="00657A9D">
        <w:t>C</w:t>
      </w:r>
      <w:r>
        <w:t xml:space="preserve"> – further emphasise these results. </w:t>
      </w:r>
      <w:r w:rsidR="00067D5C">
        <w:t xml:space="preserve">Interestingly, </w:t>
      </w:r>
      <w:r>
        <w:t xml:space="preserve">most of the interaction terms are sizeable and statistically significant (see Appendix Table </w:t>
      </w:r>
      <w:r w:rsidR="00657A9D">
        <w:t>C3b</w:t>
      </w:r>
      <w:r>
        <w:t>). This indicates that – when it comes to effort</w:t>
      </w:r>
      <w:r w:rsidR="00067D5C">
        <w:t xml:space="preserve"> at school</w:t>
      </w:r>
      <w:r>
        <w:t xml:space="preserve"> – there are interactive effects between socio-economic disadvantage and ethnicity. </w:t>
      </w:r>
      <w:r w:rsidR="00470595">
        <w:t>In other words</w:t>
      </w:r>
      <w:r>
        <w:t xml:space="preserve"> the FSM gap in self-reported effort amongst White pupils is particularly large</w:t>
      </w:r>
      <w:r w:rsidR="00470595">
        <w:t xml:space="preserve"> when compared to the FSM gap amongst their </w:t>
      </w:r>
      <w:r>
        <w:t xml:space="preserve">Black, South Asian and </w:t>
      </w:r>
      <w:r w:rsidR="00470595">
        <w:t>non-British</w:t>
      </w:r>
      <w:r>
        <w:t xml:space="preserve"> White ethnic </w:t>
      </w:r>
      <w:r w:rsidR="00470595">
        <w:t>peers</w:t>
      </w:r>
      <w:r>
        <w:t>.</w:t>
      </w:r>
    </w:p>
    <w:p w14:paraId="171D305E" w14:textId="25675BA2" w:rsidR="00B54720" w:rsidRDefault="00B54720" w:rsidP="00B54720">
      <w:pPr>
        <w:spacing w:line="360" w:lineRule="auto"/>
        <w:jc w:val="both"/>
      </w:pPr>
      <w:r>
        <w:t xml:space="preserve">Figure </w:t>
      </w:r>
      <w:r w:rsidR="00624909">
        <w:t>4</w:t>
      </w:r>
      <w:r>
        <w:t xml:space="preserve"> concludes by presenting the drop in self-reported effort during Year 7 across disadvantaged pupils from different ethnic groups. With the potential exception of Asian pupils, the decline in effort during Year 7 is ubiquitous, and does not stand out as particularly sharp (or shallow) amongst the WWC. In Appendix </w:t>
      </w:r>
      <w:r w:rsidR="00657A9D">
        <w:t>H</w:t>
      </w:r>
      <w:r>
        <w:t xml:space="preserve">, we report a similar finding for the inter-term change in self-reported effort amongst Year 8 to 11 pupils. Thus, the WWC enter school in Year 7 with a worse work ethic than </w:t>
      </w:r>
      <w:r w:rsidR="007C090F">
        <w:t>disadvantaged pupils from other ethnic backgrounds</w:t>
      </w:r>
      <w:r>
        <w:t xml:space="preserve">, which then goes on to decline at a similar rate. </w:t>
      </w:r>
    </w:p>
    <w:p w14:paraId="55D53A13" w14:textId="07B45946" w:rsidR="00B54720" w:rsidRPr="008C3D0F" w:rsidRDefault="00B54720" w:rsidP="00B54720">
      <w:pPr>
        <w:spacing w:line="360" w:lineRule="auto"/>
        <w:jc w:val="center"/>
        <w:rPr>
          <w:b/>
          <w:bCs/>
        </w:rPr>
      </w:pPr>
      <w:r w:rsidRPr="00654FD9">
        <w:rPr>
          <w:b/>
          <w:bCs/>
        </w:rPr>
        <w:t xml:space="preserve">&lt;&lt; </w:t>
      </w:r>
      <w:r>
        <w:rPr>
          <w:b/>
          <w:bCs/>
        </w:rPr>
        <w:t>Figure</w:t>
      </w:r>
      <w:r w:rsidRPr="00654FD9">
        <w:rPr>
          <w:b/>
          <w:bCs/>
        </w:rPr>
        <w:t xml:space="preserve"> </w:t>
      </w:r>
      <w:r w:rsidR="00624909">
        <w:rPr>
          <w:b/>
          <w:bCs/>
        </w:rPr>
        <w:t>4</w:t>
      </w:r>
      <w:r w:rsidRPr="00654FD9">
        <w:rPr>
          <w:b/>
          <w:bCs/>
        </w:rPr>
        <w:t xml:space="preserve"> &gt;&gt;</w:t>
      </w:r>
    </w:p>
    <w:p w14:paraId="63A0D701" w14:textId="1AB1DBBE" w:rsidR="005A6139" w:rsidRPr="005A6139" w:rsidRDefault="005A6139" w:rsidP="005A6139">
      <w:pPr>
        <w:pStyle w:val="ListParagraph"/>
        <w:numPr>
          <w:ilvl w:val="0"/>
          <w:numId w:val="3"/>
        </w:numPr>
        <w:rPr>
          <w:b/>
          <w:bCs/>
        </w:rPr>
      </w:pPr>
      <w:r>
        <w:rPr>
          <w:b/>
          <w:bCs/>
        </w:rPr>
        <w:t>Conclusions</w:t>
      </w:r>
    </w:p>
    <w:p w14:paraId="4B5B94C2" w14:textId="7BB7748A" w:rsidR="005A6139" w:rsidRDefault="00E077CA" w:rsidP="00B00743">
      <w:pPr>
        <w:spacing w:line="360" w:lineRule="auto"/>
        <w:jc w:val="both"/>
      </w:pPr>
      <w:r>
        <w:t xml:space="preserve">In England, there </w:t>
      </w:r>
      <w:r w:rsidR="007B7414">
        <w:t>have</w:t>
      </w:r>
      <w:r>
        <w:t xml:space="preserve"> been</w:t>
      </w:r>
      <w:r w:rsidR="007B7414">
        <w:t xml:space="preserve"> long-standing</w:t>
      </w:r>
      <w:r>
        <w:t xml:space="preserve"> concerns regarding the underachievement of WWC pupils</w:t>
      </w:r>
      <w:r w:rsidR="007B7414">
        <w:t xml:space="preserve"> </w:t>
      </w:r>
      <w:r>
        <w:t>(</w:t>
      </w:r>
      <w:r w:rsidR="007B7414">
        <w:t>Gillborn &amp; Kirton, 2000</w:t>
      </w:r>
      <w:r>
        <w:t>).</w:t>
      </w:r>
      <w:r w:rsidR="003C6D79">
        <w:t xml:space="preserve"> A range of reasons have been put forward to explain this problem, typically focusing on the role of cultural, structural and school-related factors. It is often presumed that such factors lead the WWC to become less engaged at school, which then undermine</w:t>
      </w:r>
      <w:r w:rsidR="00DB11A9">
        <w:t>s</w:t>
      </w:r>
      <w:r w:rsidR="003C6D79">
        <w:t xml:space="preserve"> their learning and academic achievement (</w:t>
      </w:r>
      <w:r w:rsidR="00FB0A50" w:rsidRPr="00865474">
        <w:t>House of Commons Education Committee</w:t>
      </w:r>
      <w:r w:rsidR="00FB0A50">
        <w:t>, 2021</w:t>
      </w:r>
      <w:r w:rsidR="003C6D79">
        <w:t>).</w:t>
      </w:r>
      <w:r w:rsidR="002A3D53">
        <w:t xml:space="preserve"> Yet, due to the demanding data requirements, few previous studies have attempted to measure the school engagement of WWC pupils, how this varies across cognitive, emotional and behavioural dimensions, and the extent this changes during young people’s time at school. Longitudinal studies, investigating intersections between socio-economic status and ethnicity with respect to the Year 7 engagement drop, have been particularly sparse. The central aim of this paper has been to fill such gaps in the evidence base, presenting the largest study on school engagement amongst WWC pupils in England to date.</w:t>
      </w:r>
    </w:p>
    <w:p w14:paraId="3A8E9DD2" w14:textId="6952EBE6" w:rsidR="002A3D53" w:rsidRDefault="006C3443" w:rsidP="00B00743">
      <w:pPr>
        <w:spacing w:line="360" w:lineRule="auto"/>
        <w:jc w:val="both"/>
      </w:pPr>
      <w:r>
        <w:lastRenderedPageBreak/>
        <w:t xml:space="preserve">Our findings illustrate how cognitive and behavioural engagement with school tends to be particularly low amongst the WWC. </w:t>
      </w:r>
      <w:r w:rsidR="00BA0EB3">
        <w:t>W</w:t>
      </w:r>
      <w:r>
        <w:t xml:space="preserve">hile </w:t>
      </w:r>
      <w:r w:rsidR="00B071B5">
        <w:t xml:space="preserve">WWC boys are particularly likely to undervalue education and not put maximum effort into their studies, WWC girls tend to lack interest in lessons, and have the weakest sense of agency out of any socio-economic-by-ethnic group. Regarding emotional engagement, the WWC are the least likely to enjoy school, particularly girls. On the other hand, when it comes to relationships with others (teachers and peers), WWC pupils tend to be equally as emotionally (dis)engaged as other socio-economically disadvantaged groups. The one interesting exception in this respect is Black FSM </w:t>
      </w:r>
      <w:r w:rsidR="007C2778">
        <w:t>who report their</w:t>
      </w:r>
      <w:r w:rsidR="00B071B5">
        <w:t xml:space="preserve"> relationship with their teachers</w:t>
      </w:r>
      <w:r w:rsidR="007C2778">
        <w:t xml:space="preserve"> to be significantly worse than other socio-economic-by-ethnic groups</w:t>
      </w:r>
      <w:r w:rsidR="00B071B5">
        <w:t>.</w:t>
      </w:r>
    </w:p>
    <w:p w14:paraId="00017B3A" w14:textId="46CD3586" w:rsidR="00B071B5" w:rsidRDefault="00B071B5" w:rsidP="00B00743">
      <w:pPr>
        <w:spacing w:line="360" w:lineRule="auto"/>
        <w:jc w:val="both"/>
      </w:pPr>
      <w:r>
        <w:t xml:space="preserve">It is notable how WWC pupils </w:t>
      </w:r>
      <w:r w:rsidR="001B698A">
        <w:t>seem to generally enter secondary school less engaged than other groups, with the decline</w:t>
      </w:r>
      <w:r w:rsidR="008B5683">
        <w:t xml:space="preserve"> during Year 7</w:t>
      </w:r>
      <w:r w:rsidR="001B698A">
        <w:t xml:space="preserve"> then following similar trajector</w:t>
      </w:r>
      <w:r w:rsidR="008B5683">
        <w:t>ies</w:t>
      </w:r>
      <w:r w:rsidR="001B698A">
        <w:t>. Thus</w:t>
      </w:r>
      <w:r w:rsidR="008B5683">
        <w:t>,</w:t>
      </w:r>
      <w:r w:rsidR="001B698A">
        <w:t xml:space="preserve"> what is different about WWC pupils is their lower levels of engagement when they enter secondary school, rather than this group suffering unusually large drops during Year 7. </w:t>
      </w:r>
      <w:r w:rsidR="00037FE1">
        <w:t>W</w:t>
      </w:r>
      <w:r w:rsidR="001B698A">
        <w:t xml:space="preserve">e also generally find the impact of ethnicity and socio-economic disadvantage on school engagement to be </w:t>
      </w:r>
      <w:r w:rsidR="001B698A" w:rsidRPr="001B698A">
        <w:t>additive</w:t>
      </w:r>
      <w:r w:rsidR="001B698A">
        <w:t xml:space="preserve"> rather multiplicative. Thus</w:t>
      </w:r>
      <w:r w:rsidR="00A06149">
        <w:t>,</w:t>
      </w:r>
      <w:r w:rsidR="001B698A">
        <w:t xml:space="preserve"> the reason why WWC pupils tend to score lowly across our measures is that they experience two independent risk factors (being White and being socio-economically disadvantaged) for</w:t>
      </w:r>
      <w:r w:rsidR="00A06149">
        <w:t xml:space="preserve"> school</w:t>
      </w:r>
      <w:r w:rsidR="001B698A">
        <w:t xml:space="preserve"> disengage</w:t>
      </w:r>
      <w:r w:rsidR="00A06149">
        <w:t>ment</w:t>
      </w:r>
      <w:r w:rsidR="001B698A">
        <w:t>. There is however little evidence that these two factors interact, meaning that the impact of disadvantage does not appear to be any more or less pronounced for White pupils than other ethnic groups.</w:t>
      </w:r>
      <w:r w:rsidR="007C090F">
        <w:t xml:space="preserve"> The one important exception is with respect to pupil’s self-reported effort (i.e. their behavioural engagement), </w:t>
      </w:r>
      <w:r w:rsidR="00E2225A">
        <w:t>where the FSM gap is much larger amongst White pupils than some other key ethnic groups (e.g. pupils of Black and South Asian ethnicities).</w:t>
      </w:r>
    </w:p>
    <w:p w14:paraId="28D88771" w14:textId="66460A88" w:rsidR="005B44A0" w:rsidRDefault="005B44A0" w:rsidP="00B00743">
      <w:pPr>
        <w:spacing w:line="360" w:lineRule="auto"/>
        <w:jc w:val="both"/>
      </w:pPr>
      <w:r>
        <w:t>T</w:t>
      </w:r>
      <w:r w:rsidR="001B698A">
        <w:t xml:space="preserve">hese findings </w:t>
      </w:r>
      <w:r>
        <w:t>are largely consistent with findings reported elsewhere in the literature</w:t>
      </w:r>
      <w:r w:rsidR="001B698A">
        <w:t>.</w:t>
      </w:r>
      <w:r>
        <w:t xml:space="preserve"> For instance, Prior et al. (2024) find that WWC pupils face multiple risk factors that additively combine to drive</w:t>
      </w:r>
      <w:r w:rsidR="00283279">
        <w:t xml:space="preserve"> their</w:t>
      </w:r>
      <w:r w:rsidR="00580883">
        <w:t xml:space="preserve"> underachievement</w:t>
      </w:r>
      <w:r>
        <w:t xml:space="preserve"> in England’s national examinations. Our findings are similar, with White ethnicity and socio-economic disadvantage</w:t>
      </w:r>
      <w:r w:rsidR="00E57693">
        <w:t xml:space="preserve"> generally</w:t>
      </w:r>
      <w:r>
        <w:t xml:space="preserve"> having an additive (rather than multiplicative) negative effect on pupil’s engagement with school.</w:t>
      </w:r>
      <w:r w:rsidR="007D3D1E">
        <w:t xml:space="preserve"> It also provides quantitative support for the numerous qualitative studies investigating factors driving underachievement of WWC pupils, with many of these </w:t>
      </w:r>
      <w:r w:rsidR="007D3D1E">
        <w:lastRenderedPageBreak/>
        <w:t xml:space="preserve">highlighting disengagement from school – including undervaluing education and a lack of agency – as key (e.g. Demie and Lewis, 2010; </w:t>
      </w:r>
      <w:r w:rsidR="007D3D1E" w:rsidRPr="00B720B9">
        <w:t>Sode</w:t>
      </w:r>
      <w:r w:rsidR="007D3D1E">
        <w:t>, 2021; Simpson, 2024).</w:t>
      </w:r>
    </w:p>
    <w:p w14:paraId="19E2F1D0" w14:textId="194EC703" w:rsidR="00D03EA5" w:rsidRDefault="007C6FC1" w:rsidP="00B00743">
      <w:pPr>
        <w:spacing w:line="360" w:lineRule="auto"/>
        <w:jc w:val="both"/>
      </w:pPr>
      <w:r>
        <w:t>Our study also</w:t>
      </w:r>
      <w:r w:rsidR="00283279">
        <w:t xml:space="preserve"> has</w:t>
      </w:r>
      <w:r>
        <w:t xml:space="preserve"> its limitations</w:t>
      </w:r>
      <w:r w:rsidR="00283279">
        <w:t>, with four</w:t>
      </w:r>
      <w:r>
        <w:t xml:space="preserve"> issues stand</w:t>
      </w:r>
      <w:r w:rsidR="00283279">
        <w:t>ing</w:t>
      </w:r>
      <w:r>
        <w:t xml:space="preserve"> out. First, while our sample size of the WWC is larger than most previous studies drawing on survey data, the number of observations remains limited when investigating differences between genders, when focusing on specific year groups (e.g. Year 7s) and when drawing comparisons to other socio-economic-by-ethnic </w:t>
      </w:r>
      <w:r w:rsidR="00DA5992">
        <w:t>combinations</w:t>
      </w:r>
      <w:r>
        <w:t xml:space="preserve">. </w:t>
      </w:r>
      <w:r w:rsidR="00D03EA5">
        <w:t xml:space="preserve">This has limited the scope of some of our analyses. Second, relatedly, we recognise that there remains heterogeneity within some of the broad ethnic groupings we have considered (e.g. across Indian, Pakistani and Bangladeshi pupils within our South Asian group), with this also being a consequence of our limited sample size. Third, while our analysis of longitudinal data to explore school engagement trajectories amongst the WWC is somewhat unique, information is currently restricted to just three waves of data gathered over the course of one academic year. Further longitudinal analysis – tracking WWC pupils throughout their time at secondary school – may be possible as the dataset grows. Finally, it us not currently possible to explore in detail within the data the factors driving ethnic-by-SES gaps in school engagement, and the relative importance of cultural, structural and school-based explanations discussed at the start of this paper. Further investigations </w:t>
      </w:r>
      <w:r w:rsidR="00EF0388">
        <w:t>of such</w:t>
      </w:r>
      <w:r w:rsidR="00D03EA5">
        <w:t xml:space="preserve"> issue</w:t>
      </w:r>
      <w:r w:rsidR="00EF0388">
        <w:t>s</w:t>
      </w:r>
      <w:r w:rsidR="00D03EA5">
        <w:t xml:space="preserve"> should hence be a key direction for future research.</w:t>
      </w:r>
    </w:p>
    <w:p w14:paraId="7051A5AB" w14:textId="764F5CCD" w:rsidR="00B00743" w:rsidRPr="001F2131" w:rsidRDefault="00D03EA5" w:rsidP="001F2131">
      <w:pPr>
        <w:spacing w:line="360" w:lineRule="auto"/>
        <w:jc w:val="both"/>
      </w:pPr>
      <w:r>
        <w:t xml:space="preserve">Our findings nevertheless have some important implications for education policy. </w:t>
      </w:r>
      <w:r w:rsidR="0085436D">
        <w:t xml:space="preserve">Given that WWC pupils enter secondary school amongst the least engaged with schools, targeted earlier interventions focused on this group are likely to be </w:t>
      </w:r>
      <w:r w:rsidR="00AF6A8A">
        <w:t>important</w:t>
      </w:r>
      <w:r w:rsidR="0085436D">
        <w:t>.</w:t>
      </w:r>
      <w:r w:rsidR="00E57693">
        <w:t xml:space="preserve"> Likewise, a key focus needs to be motivating WWC pupils to exert greater effort at school.</w:t>
      </w:r>
      <w:r w:rsidR="0085436D">
        <w:t xml:space="preserve"> This may involve ensuring WWC parents are themselves engaged with – and value – schooling, given this is likely to then feed through to the engagement levels of their children. </w:t>
      </w:r>
      <w:r w:rsidR="003A1C8F">
        <w:t>Different i</w:t>
      </w:r>
      <w:r w:rsidR="0085436D">
        <w:t>nitiatives</w:t>
      </w:r>
      <w:r w:rsidR="003A1C8F">
        <w:t xml:space="preserve"> may also</w:t>
      </w:r>
      <w:r w:rsidR="00F95630">
        <w:t xml:space="preserve"> need to be targeted at</w:t>
      </w:r>
      <w:r w:rsidR="0085436D">
        <w:t xml:space="preserve"> </w:t>
      </w:r>
      <w:r w:rsidR="00F95630">
        <w:t>WWC boys and girls</w:t>
      </w:r>
      <w:r w:rsidR="0085436D">
        <w:t>. For instance, programmes designed to increase the value WWC boys place on education, and thus the effort they exert into their school work, may be particularly important. On the other hand, for WWC girls, such initiatives might instead attempt to build their sense of agency, the quality of their relationships with their peers and more broadly their enjoyment of school.</w:t>
      </w:r>
      <w:r w:rsidR="001F2131">
        <w:t xml:space="preserve"> </w:t>
      </w:r>
      <w:r w:rsidR="001F2131">
        <w:lastRenderedPageBreak/>
        <w:t xml:space="preserve">Meanwhile, for disadvantaged Black pupils, a focus on strengthening the quality of their relationships with teachers </w:t>
      </w:r>
      <w:r w:rsidR="00F95630">
        <w:t>is needed.</w:t>
      </w:r>
      <w:r w:rsidR="001F2131">
        <w:t xml:space="preserve"> </w:t>
      </w:r>
    </w:p>
    <w:p w14:paraId="37AEE009" w14:textId="77777777" w:rsidR="00676121" w:rsidRDefault="00676121" w:rsidP="006027F2">
      <w:pPr>
        <w:jc w:val="both"/>
        <w:rPr>
          <w:b/>
          <w:bCs/>
        </w:rPr>
      </w:pPr>
      <w:r w:rsidRPr="00676121">
        <w:rPr>
          <w:b/>
          <w:bCs/>
        </w:rPr>
        <w:t>References</w:t>
      </w:r>
    </w:p>
    <w:p w14:paraId="381042C6" w14:textId="26EA3029" w:rsidR="00B54720" w:rsidRDefault="00B54720" w:rsidP="006027F2">
      <w:pPr>
        <w:spacing w:line="259" w:lineRule="auto"/>
        <w:jc w:val="both"/>
      </w:pPr>
      <w:r w:rsidRPr="00D36664">
        <w:t>Arthur, L., &amp; Bradley, S. (2023). Teacher retention in challenging schools: Please don’t say goodbye! </w:t>
      </w:r>
      <w:r w:rsidRPr="00B54720">
        <w:rPr>
          <w:i/>
          <w:iCs/>
        </w:rPr>
        <w:t>Teachers and Teaching, 29</w:t>
      </w:r>
      <w:r w:rsidRPr="00D36664">
        <w:t>(7-8), 753-771. </w:t>
      </w:r>
      <w:hyperlink r:id="rId9" w:history="1">
        <w:r w:rsidRPr="00192D1E">
          <w:rPr>
            <w:rStyle w:val="Hyperlink"/>
          </w:rPr>
          <w:t>https://doi.org/10.1080/13540602.2023.2201423</w:t>
        </w:r>
      </w:hyperlink>
      <w:r>
        <w:t xml:space="preserve"> </w:t>
      </w:r>
    </w:p>
    <w:p w14:paraId="62DE8251" w14:textId="77777777" w:rsidR="00B54720" w:rsidRDefault="00B54720" w:rsidP="006027F2">
      <w:pPr>
        <w:spacing w:line="259" w:lineRule="auto"/>
        <w:jc w:val="both"/>
      </w:pPr>
      <w:r w:rsidRPr="006C209F">
        <w:t xml:space="preserve">Basit, T. N. (2012). ‘My parents have stressed that since I was a kid’: Young minority ethnic British citizens and the phenomenon of aspirational capital. </w:t>
      </w:r>
      <w:r w:rsidRPr="00B54720">
        <w:rPr>
          <w:i/>
          <w:iCs/>
        </w:rPr>
        <w:t>Education, Citizenship and Social Justice</w:t>
      </w:r>
      <w:r w:rsidRPr="006C209F">
        <w:t xml:space="preserve">, </w:t>
      </w:r>
      <w:r w:rsidRPr="00B54720">
        <w:rPr>
          <w:i/>
          <w:iCs/>
        </w:rPr>
        <w:t>7</w:t>
      </w:r>
      <w:r w:rsidRPr="006C209F">
        <w:t xml:space="preserve">(2), 129-143. </w:t>
      </w:r>
      <w:hyperlink r:id="rId10" w:history="1">
        <w:r w:rsidRPr="006C209F">
          <w:rPr>
            <w:rStyle w:val="Hyperlink"/>
          </w:rPr>
          <w:t>https://doi.org/10.1177/1746197912440857</w:t>
        </w:r>
      </w:hyperlink>
      <w:r w:rsidRPr="006C209F">
        <w:t xml:space="preserve"> </w:t>
      </w:r>
    </w:p>
    <w:p w14:paraId="037B133D" w14:textId="04D38B37" w:rsidR="00183C0A" w:rsidRDefault="00183C0A" w:rsidP="006027F2">
      <w:pPr>
        <w:spacing w:line="259" w:lineRule="auto"/>
        <w:jc w:val="both"/>
      </w:pPr>
      <w:r w:rsidRPr="00183C0A">
        <w:t>Battu, H., Aoki, Y., &amp; Valdivieso Massa, P. (2019). The intergenerational mobility of White working class boys: A quantitative analysis. </w:t>
      </w:r>
      <w:r w:rsidRPr="00183C0A">
        <w:rPr>
          <w:i/>
          <w:iCs/>
        </w:rPr>
        <w:t>Discussion Papers in Economics and Finance</w:t>
      </w:r>
      <w:r w:rsidRPr="00183C0A">
        <w:t>, 19(2), 2-39. University of Aberdeen: Business School.</w:t>
      </w:r>
      <w:r>
        <w:t xml:space="preserve"> Retrieved from </w:t>
      </w:r>
      <w:hyperlink r:id="rId11" w:history="1">
        <w:r w:rsidRPr="00F2275B">
          <w:rPr>
            <w:rStyle w:val="Hyperlink"/>
          </w:rPr>
          <w:t>https://aura.abdn.ac.uk/handle/2164/12563</w:t>
        </w:r>
      </w:hyperlink>
      <w:r>
        <w:t xml:space="preserve"> </w:t>
      </w:r>
    </w:p>
    <w:p w14:paraId="0D3A35D8" w14:textId="2A9DD181" w:rsidR="00B54720" w:rsidRDefault="00B54720" w:rsidP="006027F2">
      <w:pPr>
        <w:spacing w:line="259" w:lineRule="auto"/>
        <w:jc w:val="both"/>
      </w:pPr>
      <w:r w:rsidRPr="00616788">
        <w:t>Bourdieu P (1997) The forms of capital. In:</w:t>
      </w:r>
      <w:r>
        <w:t xml:space="preserve"> </w:t>
      </w:r>
      <w:r w:rsidRPr="00616788">
        <w:t>Halsey AH, Lauder H, Brown P, et al. (eds) </w:t>
      </w:r>
      <w:r w:rsidRPr="00B54720">
        <w:rPr>
          <w:i/>
          <w:iCs/>
        </w:rPr>
        <w:t>Education: Culture, Economy, Society</w:t>
      </w:r>
      <w:r w:rsidRPr="00616788">
        <w:t>, pp. 46–58. Oxford: Oxford University Press.</w:t>
      </w:r>
    </w:p>
    <w:p w14:paraId="0D305FD6" w14:textId="77777777" w:rsidR="00B54720" w:rsidRDefault="00B54720" w:rsidP="006027F2">
      <w:pPr>
        <w:spacing w:line="259" w:lineRule="auto"/>
        <w:jc w:val="both"/>
      </w:pPr>
      <w:r w:rsidRPr="001A5BB3">
        <w:t>Bright, N. G. (2011). ‘Off The Model’: resistant spaces, school disaffection and ‘aspiration’ in a former coal-mining community. </w:t>
      </w:r>
      <w:r w:rsidRPr="00B54720">
        <w:rPr>
          <w:i/>
          <w:iCs/>
        </w:rPr>
        <w:t>Children’s Geographies</w:t>
      </w:r>
      <w:r w:rsidRPr="001A5BB3">
        <w:t>, </w:t>
      </w:r>
      <w:r w:rsidRPr="00B54720">
        <w:rPr>
          <w:i/>
          <w:iCs/>
        </w:rPr>
        <w:t>9</w:t>
      </w:r>
      <w:r w:rsidRPr="001A5BB3">
        <w:t xml:space="preserve">(1), 63–78. </w:t>
      </w:r>
      <w:hyperlink r:id="rId12" w:history="1">
        <w:r w:rsidRPr="009E5A54">
          <w:rPr>
            <w:rStyle w:val="Hyperlink"/>
          </w:rPr>
          <w:t>https://doi.org/10.1080/14733285.2011.540440</w:t>
        </w:r>
      </w:hyperlink>
      <w:r>
        <w:t xml:space="preserve"> </w:t>
      </w:r>
    </w:p>
    <w:p w14:paraId="13D94958" w14:textId="77777777" w:rsidR="00B54720" w:rsidRDefault="00B54720" w:rsidP="006027F2">
      <w:pPr>
        <w:spacing w:line="259" w:lineRule="auto"/>
        <w:jc w:val="both"/>
      </w:pPr>
      <w:r w:rsidRPr="00557EA1">
        <w:t>Carneiro, P., Cattan, S., &amp; Neves, H. (2025). Theoretical and empirical perspectives on the link between poverty, parenting and children's outcomes. </w:t>
      </w:r>
      <w:r w:rsidRPr="00B54720">
        <w:rPr>
          <w:i/>
          <w:iCs/>
        </w:rPr>
        <w:t>Fiscal Studies</w:t>
      </w:r>
      <w:r w:rsidRPr="00557EA1">
        <w:t>, 46, 9–35. </w:t>
      </w:r>
      <w:hyperlink r:id="rId13" w:history="1">
        <w:r w:rsidRPr="00B54720">
          <w:rPr>
            <w:rStyle w:val="Hyperlink"/>
            <w:b/>
            <w:bCs/>
          </w:rPr>
          <w:t>https://doi.org/10.1111/1475-5890.12404</w:t>
        </w:r>
      </w:hyperlink>
      <w:r>
        <w:t xml:space="preserve"> </w:t>
      </w:r>
    </w:p>
    <w:p w14:paraId="7E871DD6" w14:textId="004484F6" w:rsidR="00DD1E4F" w:rsidRDefault="00B54720" w:rsidP="006027F2">
      <w:pPr>
        <w:spacing w:line="259" w:lineRule="auto"/>
        <w:jc w:val="both"/>
      </w:pPr>
      <w:r w:rsidRPr="00904D66">
        <w:t>Connolly, P., Taylor, B., Francis, B., Archer, L., Hodgen, J., Mazenod, A., &amp; Tereshschenko, A. (2019). The misallocation of students to academic</w:t>
      </w:r>
      <w:r w:rsidR="00D96FE4">
        <w:t xml:space="preserve"> </w:t>
      </w:r>
      <w:r w:rsidRPr="00904D66">
        <w:t>sets in maths: A study of secondary schools</w:t>
      </w:r>
      <w:r w:rsidR="00D96FE4">
        <w:t xml:space="preserve"> </w:t>
      </w:r>
      <w:r w:rsidRPr="00904D66">
        <w:t>in England. </w:t>
      </w:r>
      <w:r w:rsidRPr="00B54720">
        <w:rPr>
          <w:i/>
          <w:iCs/>
        </w:rPr>
        <w:t>British Educational Research Journal. </w:t>
      </w:r>
      <w:r w:rsidRPr="00904D66">
        <w:t>DOI: 10.1002/berj.353</w:t>
      </w:r>
      <w:r w:rsidR="00DD1E4F">
        <w:t>0</w:t>
      </w:r>
      <w:r w:rsidR="006027F2">
        <w:t xml:space="preserve"> </w:t>
      </w:r>
      <w:r w:rsidR="00DD1E4F">
        <w:t xml:space="preserve"> </w:t>
      </w:r>
    </w:p>
    <w:p w14:paraId="11DF7C14" w14:textId="394FAB6F" w:rsidR="00B54720" w:rsidRDefault="00DD1E4F" w:rsidP="006027F2">
      <w:pPr>
        <w:jc w:val="both"/>
      </w:pPr>
      <w:r w:rsidRPr="003E7201">
        <w:t>Demie, F., &amp; Lewis, K. (2010). White working class achievement: an ethnographic study of barriers to learning in schools. </w:t>
      </w:r>
      <w:r w:rsidRPr="00DD1E4F">
        <w:rPr>
          <w:i/>
          <w:iCs/>
        </w:rPr>
        <w:t>Educational Studies</w:t>
      </w:r>
      <w:r w:rsidRPr="003E7201">
        <w:t>, </w:t>
      </w:r>
      <w:r w:rsidRPr="00DD1E4F">
        <w:rPr>
          <w:i/>
          <w:iCs/>
        </w:rPr>
        <w:t>37</w:t>
      </w:r>
      <w:r w:rsidRPr="003E7201">
        <w:t xml:space="preserve">(3), 245–264. </w:t>
      </w:r>
      <w:hyperlink r:id="rId14" w:history="1">
        <w:r w:rsidR="006027F2" w:rsidRPr="00F2275B">
          <w:rPr>
            <w:rStyle w:val="Hyperlink"/>
          </w:rPr>
          <w:t>https://doi.org/10.1080/03055698.2010.506341</w:t>
        </w:r>
      </w:hyperlink>
      <w:r w:rsidR="006027F2">
        <w:t xml:space="preserve"> </w:t>
      </w:r>
    </w:p>
    <w:p w14:paraId="517817BC" w14:textId="77777777" w:rsidR="00B54720" w:rsidRPr="00B54720" w:rsidRDefault="00B54720" w:rsidP="006027F2">
      <w:pPr>
        <w:spacing w:line="259" w:lineRule="auto"/>
        <w:jc w:val="both"/>
        <w:rPr>
          <w:rFonts w:cs="Times New Roman"/>
        </w:rPr>
      </w:pPr>
      <w:r w:rsidRPr="00B54720">
        <w:rPr>
          <w:rFonts w:cs="Times New Roman"/>
        </w:rPr>
        <w:t>Doyle, L., Easterbrook, M. J., &amp; Harris, P. R. (2023). Roles of socioeconomic status, ethnicity and teacher beliefs in academic grading. </w:t>
      </w:r>
      <w:r w:rsidRPr="00B54720">
        <w:rPr>
          <w:rFonts w:cs="Times New Roman"/>
          <w:i/>
          <w:iCs/>
        </w:rPr>
        <w:t>The British journal of educational psychology</w:t>
      </w:r>
      <w:r w:rsidRPr="00B54720">
        <w:rPr>
          <w:rFonts w:cs="Times New Roman"/>
        </w:rPr>
        <w:t>, </w:t>
      </w:r>
      <w:r w:rsidRPr="00B54720">
        <w:rPr>
          <w:rFonts w:cs="Times New Roman"/>
          <w:i/>
          <w:iCs/>
        </w:rPr>
        <w:t>93</w:t>
      </w:r>
      <w:r w:rsidRPr="00B54720">
        <w:rPr>
          <w:rFonts w:cs="Times New Roman"/>
        </w:rPr>
        <w:t xml:space="preserve">(1), 91–112. </w:t>
      </w:r>
      <w:hyperlink r:id="rId15" w:history="1">
        <w:r w:rsidRPr="00B54720">
          <w:rPr>
            <w:rStyle w:val="Hyperlink"/>
            <w:rFonts w:cs="Times New Roman"/>
          </w:rPr>
          <w:t>https://doi.org/10.1111/bjep.12541</w:t>
        </w:r>
      </w:hyperlink>
      <w:r w:rsidRPr="00B54720">
        <w:rPr>
          <w:rFonts w:cs="Times New Roman"/>
        </w:rPr>
        <w:t xml:space="preserve"> </w:t>
      </w:r>
    </w:p>
    <w:p w14:paraId="07336AF5" w14:textId="77777777" w:rsidR="00B54720" w:rsidRPr="00B54720" w:rsidRDefault="00B54720" w:rsidP="006027F2">
      <w:pPr>
        <w:spacing w:line="259" w:lineRule="auto"/>
        <w:jc w:val="both"/>
        <w:rPr>
          <w:rFonts w:cs="Times New Roman"/>
        </w:rPr>
      </w:pPr>
      <w:r w:rsidRPr="00B54720">
        <w:rPr>
          <w:rFonts w:cs="Times New Roman"/>
        </w:rPr>
        <w:t>Doyle, L., Harris, P. R., &amp; Easterbrook, M. J. (2024). Quality and quantity: How contexts influence the emergence of teacher bias. </w:t>
      </w:r>
      <w:r w:rsidRPr="00B54720">
        <w:rPr>
          <w:rFonts w:cs="Times New Roman"/>
          <w:i/>
          <w:iCs/>
        </w:rPr>
        <w:t>Social Psychology of Education, 27</w:t>
      </w:r>
      <w:r w:rsidRPr="00B54720">
        <w:rPr>
          <w:rFonts w:cs="Times New Roman"/>
        </w:rPr>
        <w:t>, 1855–1882. </w:t>
      </w:r>
      <w:hyperlink r:id="rId16" w:history="1">
        <w:r w:rsidRPr="00B54720">
          <w:rPr>
            <w:rStyle w:val="Hyperlink"/>
            <w:rFonts w:cs="Times New Roman"/>
          </w:rPr>
          <w:t>https://doi.org/10.1007/s11218-023-09882-z</w:t>
        </w:r>
      </w:hyperlink>
      <w:r w:rsidRPr="00B54720">
        <w:rPr>
          <w:rFonts w:cs="Times New Roman"/>
        </w:rPr>
        <w:t xml:space="preserve"> </w:t>
      </w:r>
    </w:p>
    <w:p w14:paraId="5A9ADC72" w14:textId="77777777" w:rsidR="00B54720" w:rsidRDefault="00B54720" w:rsidP="006027F2">
      <w:pPr>
        <w:spacing w:line="259" w:lineRule="auto"/>
        <w:jc w:val="both"/>
        <w:rPr>
          <w:rFonts w:cs="Times New Roman"/>
        </w:rPr>
      </w:pPr>
      <w:r w:rsidRPr="00B54720">
        <w:rPr>
          <w:rFonts w:cs="Times New Roman"/>
        </w:rPr>
        <w:t>Farquharson, C., McNally, S., &amp; Tahir, I. (2024). Education inequalities. </w:t>
      </w:r>
      <w:r w:rsidRPr="00B54720">
        <w:rPr>
          <w:rFonts w:cs="Times New Roman"/>
          <w:i/>
          <w:iCs/>
        </w:rPr>
        <w:t>Oxford Open Economics, 3</w:t>
      </w:r>
      <w:r w:rsidRPr="00B54720">
        <w:rPr>
          <w:rFonts w:cs="Times New Roman"/>
        </w:rPr>
        <w:t>(Supplement_1), i760–i820. </w:t>
      </w:r>
      <w:hyperlink r:id="rId17" w:history="1">
        <w:r w:rsidRPr="00B54720">
          <w:rPr>
            <w:rStyle w:val="Hyperlink"/>
            <w:rFonts w:cs="Times New Roman"/>
          </w:rPr>
          <w:t>https://doi.org/10.1093/ooec/odad029</w:t>
        </w:r>
      </w:hyperlink>
      <w:r w:rsidRPr="00B54720">
        <w:rPr>
          <w:rFonts w:cs="Times New Roman"/>
        </w:rPr>
        <w:t xml:space="preserve"> </w:t>
      </w:r>
    </w:p>
    <w:p w14:paraId="63E2CC18" w14:textId="21B97FBB" w:rsidR="00584E2D" w:rsidRDefault="00584E2D" w:rsidP="006027F2">
      <w:pPr>
        <w:spacing w:line="259" w:lineRule="auto"/>
        <w:jc w:val="both"/>
        <w:rPr>
          <w:rFonts w:cs="Times New Roman"/>
        </w:rPr>
      </w:pPr>
      <w:r w:rsidRPr="00584E2D">
        <w:rPr>
          <w:rFonts w:cs="Times New Roman"/>
        </w:rPr>
        <w:lastRenderedPageBreak/>
        <w:t xml:space="preserve">Fredricks, J. A., Blumenfeld, P. C., &amp; Paris, A. H. (2004). School </w:t>
      </w:r>
      <w:r>
        <w:rPr>
          <w:rFonts w:cs="Times New Roman"/>
        </w:rPr>
        <w:t>e</w:t>
      </w:r>
      <w:r w:rsidRPr="00584E2D">
        <w:rPr>
          <w:rFonts w:cs="Times New Roman"/>
        </w:rPr>
        <w:t xml:space="preserve">ngagement: </w:t>
      </w:r>
      <w:r>
        <w:rPr>
          <w:rFonts w:cs="Times New Roman"/>
        </w:rPr>
        <w:t>p</w:t>
      </w:r>
      <w:r w:rsidRPr="00584E2D">
        <w:rPr>
          <w:rFonts w:cs="Times New Roman"/>
        </w:rPr>
        <w:t xml:space="preserve">otential of the </w:t>
      </w:r>
      <w:r>
        <w:rPr>
          <w:rFonts w:cs="Times New Roman"/>
        </w:rPr>
        <w:t>c</w:t>
      </w:r>
      <w:r w:rsidRPr="00584E2D">
        <w:rPr>
          <w:rFonts w:cs="Times New Roman"/>
        </w:rPr>
        <w:t xml:space="preserve">oncept, </w:t>
      </w:r>
      <w:r>
        <w:rPr>
          <w:rFonts w:cs="Times New Roman"/>
        </w:rPr>
        <w:t>s</w:t>
      </w:r>
      <w:r w:rsidRPr="00584E2D">
        <w:rPr>
          <w:rFonts w:cs="Times New Roman"/>
        </w:rPr>
        <w:t xml:space="preserve">tate of the </w:t>
      </w:r>
      <w:r>
        <w:rPr>
          <w:rFonts w:cs="Times New Roman"/>
        </w:rPr>
        <w:t>e</w:t>
      </w:r>
      <w:r w:rsidRPr="00584E2D">
        <w:rPr>
          <w:rFonts w:cs="Times New Roman"/>
        </w:rPr>
        <w:t xml:space="preserve">vidence. </w:t>
      </w:r>
      <w:r w:rsidRPr="00584E2D">
        <w:rPr>
          <w:rFonts w:cs="Times New Roman"/>
          <w:i/>
          <w:iCs/>
        </w:rPr>
        <w:t>Review of Educational Research</w:t>
      </w:r>
      <w:r w:rsidRPr="00584E2D">
        <w:rPr>
          <w:rFonts w:cs="Times New Roman"/>
        </w:rPr>
        <w:t xml:space="preserve">, </w:t>
      </w:r>
      <w:r w:rsidRPr="00584E2D">
        <w:rPr>
          <w:rFonts w:cs="Times New Roman"/>
          <w:i/>
          <w:iCs/>
        </w:rPr>
        <w:t>74</w:t>
      </w:r>
      <w:r w:rsidRPr="00584E2D">
        <w:rPr>
          <w:rFonts w:cs="Times New Roman"/>
        </w:rPr>
        <w:t xml:space="preserve">(1), 59-109. </w:t>
      </w:r>
      <w:hyperlink r:id="rId18" w:history="1">
        <w:r w:rsidRPr="00584E2D">
          <w:rPr>
            <w:rStyle w:val="Hyperlink"/>
            <w:rFonts w:cs="Times New Roman"/>
          </w:rPr>
          <w:t>https://doi.org/10.3102/00346543074001059</w:t>
        </w:r>
      </w:hyperlink>
      <w:r w:rsidRPr="00584E2D">
        <w:rPr>
          <w:rFonts w:cs="Times New Roman"/>
        </w:rPr>
        <w:t xml:space="preserve"> </w:t>
      </w:r>
    </w:p>
    <w:p w14:paraId="68DD58A5" w14:textId="7AF675B4" w:rsidR="00DE101B" w:rsidRPr="00B54720" w:rsidRDefault="00DE101B" w:rsidP="006027F2">
      <w:pPr>
        <w:spacing w:line="259" w:lineRule="auto"/>
        <w:jc w:val="both"/>
        <w:rPr>
          <w:rFonts w:cs="Times New Roman"/>
        </w:rPr>
      </w:pPr>
      <w:r w:rsidRPr="00DE101B">
        <w:rPr>
          <w:rFonts w:cs="Times New Roman"/>
        </w:rPr>
        <w:t>Fredrickson, B. (2001). The role of positive emotions in positive psychology. The broaden-and-build theory of positive emotions. </w:t>
      </w:r>
      <w:r w:rsidRPr="00DE101B">
        <w:rPr>
          <w:rFonts w:cs="Times New Roman"/>
          <w:i/>
          <w:iCs/>
        </w:rPr>
        <w:t>The American Psychologist</w:t>
      </w:r>
      <w:r w:rsidRPr="00DE101B">
        <w:rPr>
          <w:rFonts w:cs="Times New Roman"/>
        </w:rPr>
        <w:t xml:space="preserve">, 56(3), 218–226. </w:t>
      </w:r>
      <w:hyperlink r:id="rId19" w:history="1">
        <w:r w:rsidRPr="00F2275B">
          <w:rPr>
            <w:rStyle w:val="Hyperlink"/>
            <w:rFonts w:cs="Times New Roman"/>
          </w:rPr>
          <w:t>https://doi.org/10.1037//0003-066x.56.3.218</w:t>
        </w:r>
      </w:hyperlink>
      <w:r>
        <w:rPr>
          <w:rFonts w:cs="Times New Roman"/>
        </w:rPr>
        <w:t xml:space="preserve"> </w:t>
      </w:r>
    </w:p>
    <w:p w14:paraId="0207D809" w14:textId="77777777" w:rsidR="00B54720" w:rsidRDefault="00B54720" w:rsidP="006027F2">
      <w:pPr>
        <w:spacing w:line="259" w:lineRule="auto"/>
        <w:jc w:val="both"/>
      </w:pPr>
      <w:r w:rsidRPr="00964619">
        <w:t>Garner, S. (2011). </w:t>
      </w:r>
      <w:r w:rsidRPr="00B54720">
        <w:rPr>
          <w:i/>
          <w:iCs/>
        </w:rPr>
        <w:t>White working-class neighbourhoods: Common themes and policy suggestions</w:t>
      </w:r>
      <w:r w:rsidRPr="00964619">
        <w:t>. Retrieved from </w:t>
      </w:r>
      <w:hyperlink r:id="rId20" w:history="1">
        <w:r w:rsidRPr="009E5A54">
          <w:rPr>
            <w:rStyle w:val="Hyperlink"/>
          </w:rPr>
          <w:t>https://publications.aston.ac.uk/id/eprint/17096/1/working_class_neighbourhoods_summary.pdf</w:t>
        </w:r>
      </w:hyperlink>
      <w:r>
        <w:t xml:space="preserve"> </w:t>
      </w:r>
    </w:p>
    <w:p w14:paraId="16065EC1" w14:textId="476DA8BE" w:rsidR="007B7414" w:rsidRDefault="007B7414" w:rsidP="006027F2">
      <w:pPr>
        <w:spacing w:line="259" w:lineRule="auto"/>
        <w:jc w:val="both"/>
      </w:pPr>
      <w:r w:rsidRPr="007B7414">
        <w:t>Gillborn, D., &amp; Kirton, A. (2000). WHITE HEAT: racism, under-achievement and white working-class boys. </w:t>
      </w:r>
      <w:r w:rsidRPr="007B7414">
        <w:rPr>
          <w:i/>
          <w:iCs/>
        </w:rPr>
        <w:t>International Journal of Inclusive Education</w:t>
      </w:r>
      <w:r w:rsidRPr="007B7414">
        <w:t xml:space="preserve">, 4(4), 271–288. </w:t>
      </w:r>
      <w:hyperlink r:id="rId21" w:history="1">
        <w:r w:rsidRPr="00F2275B">
          <w:rPr>
            <w:rStyle w:val="Hyperlink"/>
          </w:rPr>
          <w:t>https://doi.org/10.1080/13603110050167998</w:t>
        </w:r>
      </w:hyperlink>
      <w:r>
        <w:t xml:space="preserve"> </w:t>
      </w:r>
    </w:p>
    <w:p w14:paraId="314D2CED" w14:textId="062F81E4" w:rsidR="002317AD" w:rsidRDefault="002317AD" w:rsidP="006027F2">
      <w:pPr>
        <w:spacing w:line="259" w:lineRule="auto"/>
        <w:jc w:val="both"/>
      </w:pPr>
      <w:r w:rsidRPr="002317AD">
        <w:t>Gubbels, J., van der Put, C. E., &amp; Assink, M. (2019). Risk Factors for School Absenteeism and Dropout: A Meta-Analytic Review. </w:t>
      </w:r>
      <w:r w:rsidRPr="002317AD">
        <w:rPr>
          <w:i/>
          <w:iCs/>
        </w:rPr>
        <w:t>Journal of youth and adolescence</w:t>
      </w:r>
      <w:r w:rsidRPr="002317AD">
        <w:t>, </w:t>
      </w:r>
      <w:r w:rsidRPr="002317AD">
        <w:rPr>
          <w:i/>
          <w:iCs/>
        </w:rPr>
        <w:t>48</w:t>
      </w:r>
      <w:r w:rsidRPr="002317AD">
        <w:t xml:space="preserve">(9), 1637–1667. </w:t>
      </w:r>
      <w:hyperlink r:id="rId22" w:history="1">
        <w:r w:rsidRPr="00F2275B">
          <w:rPr>
            <w:rStyle w:val="Hyperlink"/>
          </w:rPr>
          <w:t>https://doi.org/10.1007/s10964-019-01072-5</w:t>
        </w:r>
      </w:hyperlink>
      <w:r>
        <w:t xml:space="preserve"> </w:t>
      </w:r>
    </w:p>
    <w:p w14:paraId="0BC57861" w14:textId="10289E6A" w:rsidR="00A614F4" w:rsidRDefault="00A614F4" w:rsidP="006027F2">
      <w:pPr>
        <w:spacing w:line="259" w:lineRule="auto"/>
        <w:jc w:val="both"/>
      </w:pPr>
      <w:r w:rsidRPr="00A614F4">
        <w:t>Gutman, L. M., &amp; Vorhaus, J. (2013). The impact of pupil behaviour and wellbeing on educational outcomes. </w:t>
      </w:r>
      <w:r w:rsidRPr="00A614F4">
        <w:rPr>
          <w:i/>
          <w:iCs/>
        </w:rPr>
        <w:t>Department for Education Research Report</w:t>
      </w:r>
      <w:r w:rsidRPr="00A614F4">
        <w:t>, DFE-RR253.</w:t>
      </w:r>
    </w:p>
    <w:p w14:paraId="6E877C71" w14:textId="69074A55" w:rsidR="008D7D3D" w:rsidRDefault="008D7D3D" w:rsidP="006027F2">
      <w:pPr>
        <w:spacing w:line="259" w:lineRule="auto"/>
        <w:jc w:val="both"/>
      </w:pPr>
      <w:r w:rsidRPr="008D7D3D">
        <w:t>Haidari, S. M., Koçoğlu, A., &amp; Kanadl, S. (2023). Contribution of locus of control, self-efficacy, and motivation to student achievement: A meta-analytic structural equation modelling. </w:t>
      </w:r>
      <w:r w:rsidRPr="008D7D3D">
        <w:rPr>
          <w:i/>
          <w:iCs/>
        </w:rPr>
        <w:t>Journal on Efficiency and Responsibility in Education and Science, 16</w:t>
      </w:r>
      <w:r w:rsidRPr="008D7D3D">
        <w:t>(3), 245–261. </w:t>
      </w:r>
      <w:hyperlink r:id="rId23" w:history="1">
        <w:r w:rsidRPr="00F2275B">
          <w:rPr>
            <w:rStyle w:val="Hyperlink"/>
          </w:rPr>
          <w:t>https://doi.org/10.7160/eriesj.2023.160308</w:t>
        </w:r>
      </w:hyperlink>
      <w:r>
        <w:t xml:space="preserve"> </w:t>
      </w:r>
    </w:p>
    <w:p w14:paraId="01F783DA" w14:textId="77777777" w:rsidR="00B54720" w:rsidRDefault="00B54720" w:rsidP="006027F2">
      <w:pPr>
        <w:spacing w:line="259" w:lineRule="auto"/>
        <w:jc w:val="both"/>
      </w:pPr>
      <w:r w:rsidRPr="00865474">
        <w:t>House of Commons Education Committee. (2015). </w:t>
      </w:r>
      <w:r w:rsidRPr="00B54720">
        <w:rPr>
          <w:i/>
          <w:iCs/>
        </w:rPr>
        <w:t>Underachievement in education by white working class children</w:t>
      </w:r>
      <w:r w:rsidRPr="00865474">
        <w:t>. Retrieved from </w:t>
      </w:r>
      <w:hyperlink r:id="rId24" w:history="1">
        <w:r w:rsidRPr="009E5A54">
          <w:rPr>
            <w:rStyle w:val="Hyperlink"/>
          </w:rPr>
          <w:t>https://publications.parliament.uk/pa/cm201415/cmselect/cmeduc/142/142.pdf</w:t>
        </w:r>
      </w:hyperlink>
    </w:p>
    <w:p w14:paraId="0F89E69E" w14:textId="77777777" w:rsidR="00B54720" w:rsidRDefault="00B54720" w:rsidP="006027F2">
      <w:pPr>
        <w:spacing w:line="259" w:lineRule="auto"/>
        <w:jc w:val="both"/>
      </w:pPr>
      <w:r w:rsidRPr="00865474">
        <w:t>House of Commons Education Committee. (20</w:t>
      </w:r>
      <w:r>
        <w:t>21</w:t>
      </w:r>
      <w:r w:rsidRPr="00865474">
        <w:t>). </w:t>
      </w:r>
      <w:r w:rsidRPr="00B54720">
        <w:rPr>
          <w:i/>
          <w:iCs/>
        </w:rPr>
        <w:t>Left behind white pupils from disadvantaged backgrounds</w:t>
      </w:r>
      <w:r>
        <w:t xml:space="preserve">. Retrieved from </w:t>
      </w:r>
      <w:hyperlink r:id="rId25" w:history="1">
        <w:r w:rsidRPr="009E5A54">
          <w:rPr>
            <w:rStyle w:val="Hyperlink"/>
          </w:rPr>
          <w:t>https://committees.parliament.uk/work/237/left-behind-white-pupils-from-disadvantaged-backgrounds/publications/</w:t>
        </w:r>
      </w:hyperlink>
      <w:r>
        <w:t xml:space="preserve"> </w:t>
      </w:r>
    </w:p>
    <w:p w14:paraId="19EE0BE7" w14:textId="427004B1" w:rsidR="006C18E8" w:rsidRDefault="006C18E8" w:rsidP="006027F2">
      <w:pPr>
        <w:spacing w:line="259" w:lineRule="auto"/>
        <w:jc w:val="both"/>
        <w:rPr>
          <w:rFonts w:cs="Times New Roman"/>
        </w:rPr>
      </w:pPr>
      <w:r w:rsidRPr="006C18E8">
        <w:rPr>
          <w:rFonts w:cs="Times New Roman"/>
        </w:rPr>
        <w:t>Jerrim, J. (2025</w:t>
      </w:r>
      <w:r>
        <w:rPr>
          <w:rFonts w:cs="Times New Roman"/>
        </w:rPr>
        <w:t>a</w:t>
      </w:r>
      <w:r w:rsidRPr="006C18E8">
        <w:rPr>
          <w:rFonts w:cs="Times New Roman"/>
        </w:rPr>
        <w:t xml:space="preserve">). School absences, exclusions and criminal sentences amongst high-achieving children from disadvantaged socio-economic backgrounds. </w:t>
      </w:r>
      <w:r>
        <w:rPr>
          <w:rFonts w:cs="Times New Roman"/>
        </w:rPr>
        <w:t xml:space="preserve">Retrieved from </w:t>
      </w:r>
      <w:hyperlink r:id="rId26" w:history="1">
        <w:r w:rsidRPr="00F2275B">
          <w:rPr>
            <w:rStyle w:val="Hyperlink"/>
            <w:rFonts w:cs="Times New Roman"/>
          </w:rPr>
          <w:t>https://johnjerrim.com/school-absences-exclusions-and-criminal-sentences-amongst-high-achieving-children-from-disadvantaged-socio-economic-backgrounds/</w:t>
        </w:r>
      </w:hyperlink>
      <w:r>
        <w:rPr>
          <w:rFonts w:cs="Times New Roman"/>
        </w:rPr>
        <w:t xml:space="preserve"> </w:t>
      </w:r>
    </w:p>
    <w:p w14:paraId="2DE15E10" w14:textId="6CE0ADD9" w:rsidR="00A614F4" w:rsidRDefault="00A614F4" w:rsidP="006027F2">
      <w:pPr>
        <w:spacing w:line="259" w:lineRule="auto"/>
        <w:jc w:val="both"/>
        <w:rPr>
          <w:rFonts w:cs="Times New Roman"/>
        </w:rPr>
      </w:pPr>
      <w:r>
        <w:rPr>
          <w:rFonts w:cs="Times New Roman"/>
        </w:rPr>
        <w:t xml:space="preserve">Jerrim, J. (2025b). </w:t>
      </w:r>
      <w:r w:rsidRPr="00A614F4">
        <w:rPr>
          <w:rFonts w:cs="Times New Roman"/>
        </w:rPr>
        <w:t>Mind the Engagement Gap: A National Study of Pupil Engagement in England’s Schools.</w:t>
      </w:r>
      <w:r>
        <w:rPr>
          <w:rFonts w:cs="Times New Roman"/>
        </w:rPr>
        <w:t xml:space="preserve"> Retrieved from </w:t>
      </w:r>
      <w:hyperlink r:id="rId27" w:history="1">
        <w:r w:rsidRPr="00F2275B">
          <w:rPr>
            <w:rStyle w:val="Hyperlink"/>
            <w:rFonts w:cs="Times New Roman"/>
          </w:rPr>
          <w:t>https://www.impactedgroup.uk/resources/report-mind-the-engagement-gap</w:t>
        </w:r>
      </w:hyperlink>
      <w:r>
        <w:rPr>
          <w:rFonts w:cs="Times New Roman"/>
        </w:rPr>
        <w:t xml:space="preserve"> </w:t>
      </w:r>
    </w:p>
    <w:p w14:paraId="550F0E82" w14:textId="05FBD14A" w:rsidR="00A614F4" w:rsidRPr="00A614F4" w:rsidRDefault="00A614F4" w:rsidP="006027F2">
      <w:pPr>
        <w:spacing w:line="259" w:lineRule="auto"/>
        <w:jc w:val="both"/>
        <w:rPr>
          <w:rFonts w:cs="Times New Roman"/>
          <w:b/>
          <w:bCs/>
        </w:rPr>
      </w:pPr>
      <w:r>
        <w:rPr>
          <w:rFonts w:cs="Times New Roman"/>
        </w:rPr>
        <w:lastRenderedPageBreak/>
        <w:t xml:space="preserve">Jerrim, J. &amp; Kaye, N. (2025). </w:t>
      </w:r>
      <w:r w:rsidRPr="00A614F4">
        <w:rPr>
          <w:rFonts w:cs="Times New Roman"/>
        </w:rPr>
        <w:t>The decline in pupils' emotional engagement with school: How does England compare to other countries? </w:t>
      </w:r>
      <w:r w:rsidRPr="00A614F4">
        <w:rPr>
          <w:rFonts w:cs="Times New Roman"/>
          <w:i/>
          <w:iCs/>
        </w:rPr>
        <w:t>CEPEO Working Paper Series</w:t>
      </w:r>
      <w:r w:rsidRPr="00A614F4">
        <w:rPr>
          <w:rFonts w:cs="Times New Roman"/>
        </w:rPr>
        <w:t>, 25-03. UCL Centre for Education Policy and Equalising Opportunities.</w:t>
      </w:r>
    </w:p>
    <w:p w14:paraId="3860EA26" w14:textId="19E3CEBF" w:rsidR="00B54720" w:rsidRDefault="00B54720" w:rsidP="006027F2">
      <w:pPr>
        <w:spacing w:line="259" w:lineRule="auto"/>
        <w:jc w:val="both"/>
        <w:rPr>
          <w:rFonts w:cs="Times New Roman"/>
        </w:rPr>
      </w:pPr>
      <w:r w:rsidRPr="00B54720">
        <w:rPr>
          <w:rFonts w:cs="Times New Roman"/>
        </w:rPr>
        <w:t>Jussim, L. (1989). Teacher expectations: Self-fulfilling prophecies, perceptual biases, and accuracy. </w:t>
      </w:r>
      <w:r w:rsidRPr="00B54720">
        <w:rPr>
          <w:rFonts w:cs="Times New Roman"/>
          <w:i/>
          <w:iCs/>
        </w:rPr>
        <w:t>Journal of Personality and Social Psychology, 57</w:t>
      </w:r>
      <w:r w:rsidRPr="00B54720">
        <w:rPr>
          <w:rFonts w:cs="Times New Roman"/>
        </w:rPr>
        <w:t xml:space="preserve">(3), 469-480. </w:t>
      </w:r>
      <w:hyperlink r:id="rId28" w:tgtFrame="_blank" w:history="1">
        <w:r w:rsidR="009B478E" w:rsidRPr="009B478E">
          <w:rPr>
            <w:rStyle w:val="Hyperlink"/>
            <w:rFonts w:cs="Times New Roman"/>
          </w:rPr>
          <w:t>https://doi.org/10.1037/0022-3514.57.3.469</w:t>
        </w:r>
      </w:hyperlink>
      <w:r w:rsidR="009B478E">
        <w:rPr>
          <w:rFonts w:cs="Times New Roman"/>
        </w:rPr>
        <w:t xml:space="preserve"> </w:t>
      </w:r>
    </w:p>
    <w:p w14:paraId="32E70305" w14:textId="4F69124E" w:rsidR="00183C0A" w:rsidRPr="00B54720" w:rsidRDefault="00183C0A" w:rsidP="006027F2">
      <w:pPr>
        <w:spacing w:line="259" w:lineRule="auto"/>
        <w:jc w:val="both"/>
        <w:rPr>
          <w:rFonts w:cs="Times New Roman"/>
        </w:rPr>
      </w:pPr>
      <w:r w:rsidRPr="00183C0A">
        <w:rPr>
          <w:rFonts w:cs="Times New Roman"/>
        </w:rPr>
        <w:t>Keller, L., Lüdtke, O., Preckel, F., &amp; Brunner, M. (2023). Educational inequalities at the intersection of multiple social categories: An introduction and systematic review of the multilevel analysis of individual heterogeneity and discriminatory accuracy (MAIHDA) approach. </w:t>
      </w:r>
      <w:r w:rsidRPr="00183C0A">
        <w:rPr>
          <w:rFonts w:cs="Times New Roman"/>
          <w:i/>
          <w:iCs/>
        </w:rPr>
        <w:t>Educational Psychology Review, 35</w:t>
      </w:r>
      <w:r w:rsidRPr="00183C0A">
        <w:rPr>
          <w:rFonts w:cs="Times New Roman"/>
        </w:rPr>
        <w:t>(1), 31. </w:t>
      </w:r>
      <w:hyperlink r:id="rId29" w:history="1">
        <w:r w:rsidRPr="00F2275B">
          <w:rPr>
            <w:rStyle w:val="Hyperlink"/>
            <w:rFonts w:cs="Times New Roman"/>
          </w:rPr>
          <w:t>https://doi.org/10.1007/s10648-023-09733-5</w:t>
        </w:r>
      </w:hyperlink>
      <w:r>
        <w:rPr>
          <w:rFonts w:cs="Times New Roman"/>
        </w:rPr>
        <w:t xml:space="preserve"> </w:t>
      </w:r>
    </w:p>
    <w:p w14:paraId="79039334" w14:textId="77777777" w:rsidR="00B54720" w:rsidRDefault="00B54720" w:rsidP="006027F2">
      <w:pPr>
        <w:spacing w:line="259" w:lineRule="auto"/>
        <w:jc w:val="both"/>
      </w:pPr>
      <w:r w:rsidRPr="00CD196B">
        <w:t>Knifton, L., &amp; Inglis, G. (2020). Poverty and mental health: policy, practice and research implications. </w:t>
      </w:r>
      <w:r w:rsidRPr="00B54720">
        <w:rPr>
          <w:i/>
          <w:iCs/>
        </w:rPr>
        <w:t>BJPsych bulletin</w:t>
      </w:r>
      <w:r w:rsidRPr="00CD196B">
        <w:t>, </w:t>
      </w:r>
      <w:r w:rsidRPr="00B54720">
        <w:rPr>
          <w:i/>
          <w:iCs/>
        </w:rPr>
        <w:t>44</w:t>
      </w:r>
      <w:r w:rsidRPr="00CD196B">
        <w:t xml:space="preserve">(5), 193–196. </w:t>
      </w:r>
      <w:hyperlink r:id="rId30" w:history="1">
        <w:r w:rsidRPr="009E5A54">
          <w:rPr>
            <w:rStyle w:val="Hyperlink"/>
          </w:rPr>
          <w:t>https://doi.org/10.1192/bjb.2020.78</w:t>
        </w:r>
      </w:hyperlink>
      <w:r>
        <w:t xml:space="preserve"> </w:t>
      </w:r>
    </w:p>
    <w:p w14:paraId="06227FEC" w14:textId="09FE47DC" w:rsidR="002B0FC5" w:rsidRDefault="002B0FC5" w:rsidP="006027F2">
      <w:pPr>
        <w:spacing w:line="259" w:lineRule="auto"/>
        <w:jc w:val="both"/>
      </w:pPr>
      <w:r w:rsidRPr="002B0FC5">
        <w:t>Lyubomirsky, S., King, L., &amp; Diener, E. (2005). The benefits of frequent positive affect: does happiness lead to success? </w:t>
      </w:r>
      <w:r w:rsidRPr="002B0FC5">
        <w:rPr>
          <w:i/>
          <w:iCs/>
        </w:rPr>
        <w:t>Psychological bulletin</w:t>
      </w:r>
      <w:r w:rsidRPr="002B0FC5">
        <w:t>, </w:t>
      </w:r>
      <w:r w:rsidRPr="002B0FC5">
        <w:rPr>
          <w:i/>
          <w:iCs/>
        </w:rPr>
        <w:t>131</w:t>
      </w:r>
      <w:r w:rsidRPr="002B0FC5">
        <w:t xml:space="preserve">(6), 803–855. </w:t>
      </w:r>
      <w:hyperlink r:id="rId31" w:history="1">
        <w:r w:rsidRPr="00F2275B">
          <w:rPr>
            <w:rStyle w:val="Hyperlink"/>
          </w:rPr>
          <w:t>https://doi.org/10.1037/0033-2909.131.6.803</w:t>
        </w:r>
      </w:hyperlink>
      <w:r>
        <w:t xml:space="preserve"> </w:t>
      </w:r>
    </w:p>
    <w:p w14:paraId="193332FF" w14:textId="1475CC12" w:rsidR="00B54720" w:rsidRDefault="00B54720" w:rsidP="006027F2">
      <w:pPr>
        <w:spacing w:line="259" w:lineRule="auto"/>
        <w:jc w:val="both"/>
      </w:pPr>
      <w:r w:rsidRPr="00D303F7">
        <w:t>McCoy, D. C., &amp; Raver, C. C. (2014). Household instability and self-regulation among poor children. </w:t>
      </w:r>
      <w:r w:rsidRPr="00B54720">
        <w:rPr>
          <w:i/>
          <w:iCs/>
        </w:rPr>
        <w:t>Journal of children &amp; poverty</w:t>
      </w:r>
      <w:r w:rsidRPr="00D303F7">
        <w:t>, </w:t>
      </w:r>
      <w:r w:rsidRPr="00B54720">
        <w:rPr>
          <w:i/>
          <w:iCs/>
        </w:rPr>
        <w:t>20</w:t>
      </w:r>
      <w:r w:rsidRPr="00D303F7">
        <w:t xml:space="preserve">(2), 131–152. </w:t>
      </w:r>
      <w:hyperlink r:id="rId32" w:history="1">
        <w:r w:rsidRPr="009E5A54">
          <w:rPr>
            <w:rStyle w:val="Hyperlink"/>
          </w:rPr>
          <w:t>https://doi.org/10.1080/10796126.2014.976185</w:t>
        </w:r>
      </w:hyperlink>
      <w:r>
        <w:t xml:space="preserve"> </w:t>
      </w:r>
    </w:p>
    <w:p w14:paraId="5C3812EA" w14:textId="77777777" w:rsidR="00B54720" w:rsidRDefault="00B54720" w:rsidP="006027F2">
      <w:pPr>
        <w:spacing w:line="259" w:lineRule="auto"/>
        <w:jc w:val="both"/>
      </w:pPr>
      <w:r w:rsidRPr="0007629B">
        <w:t>Modood, T. (2004). Capitals, ethnic identity and educational qualifications. </w:t>
      </w:r>
      <w:r w:rsidRPr="00B54720">
        <w:rPr>
          <w:i/>
          <w:iCs/>
        </w:rPr>
        <w:t>Cultural Trends</w:t>
      </w:r>
      <w:r w:rsidRPr="0007629B">
        <w:t>, </w:t>
      </w:r>
      <w:r w:rsidRPr="00B54720">
        <w:rPr>
          <w:i/>
          <w:iCs/>
        </w:rPr>
        <w:t>13</w:t>
      </w:r>
      <w:r w:rsidRPr="0007629B">
        <w:t xml:space="preserve">(2), 87–105. </w:t>
      </w:r>
      <w:hyperlink r:id="rId33" w:history="1">
        <w:r w:rsidRPr="009E5A54">
          <w:rPr>
            <w:rStyle w:val="Hyperlink"/>
          </w:rPr>
          <w:t>https://doi.org/10.1080/0954896042000267170</w:t>
        </w:r>
      </w:hyperlink>
      <w:r>
        <w:t xml:space="preserve"> </w:t>
      </w:r>
      <w:r w:rsidRPr="0007629B">
        <w:t xml:space="preserve"> </w:t>
      </w:r>
      <w:r>
        <w:t xml:space="preserve"> </w:t>
      </w:r>
    </w:p>
    <w:p w14:paraId="23D50403" w14:textId="03F39B88" w:rsidR="002317AD" w:rsidRDefault="002317AD" w:rsidP="006027F2">
      <w:pPr>
        <w:spacing w:line="259" w:lineRule="auto"/>
        <w:jc w:val="both"/>
      </w:pPr>
      <w:r w:rsidRPr="002317AD">
        <w:t>Pekrun, R., Lichtenfeld, S., Marsh, H., Murayama, K., &amp; Goetz, T. (2017). Achievement emotions and academic performance: Longitudinal models of reciprocal effects. </w:t>
      </w:r>
      <w:r w:rsidRPr="002317AD">
        <w:rPr>
          <w:i/>
          <w:iCs/>
        </w:rPr>
        <w:t>Child Development</w:t>
      </w:r>
      <w:r w:rsidRPr="002317AD">
        <w:t xml:space="preserve">, 88(5), 1653–1670. </w:t>
      </w:r>
      <w:hyperlink r:id="rId34" w:history="1">
        <w:r w:rsidRPr="00F2275B">
          <w:rPr>
            <w:rStyle w:val="Hyperlink"/>
          </w:rPr>
          <w:t>https://doi.org/10.1111/cdev.12704</w:t>
        </w:r>
      </w:hyperlink>
      <w:r>
        <w:t xml:space="preserve"> </w:t>
      </w:r>
    </w:p>
    <w:p w14:paraId="4045A602" w14:textId="52A6A6DC" w:rsidR="006027F2" w:rsidRDefault="006027F2" w:rsidP="006027F2">
      <w:pPr>
        <w:jc w:val="both"/>
      </w:pPr>
      <w:r w:rsidRPr="00B024C3">
        <w:t xml:space="preserve">Prior, L., Doku, B., &amp; Cheong, K. (2022). Intersecting inequalities: The educational experiences of London pupils through a MAIHDA lens. </w:t>
      </w:r>
      <w:r w:rsidRPr="006027F2">
        <w:rPr>
          <w:i/>
          <w:iCs/>
        </w:rPr>
        <w:t>arXiv</w:t>
      </w:r>
      <w:r w:rsidRPr="00B024C3">
        <w:t xml:space="preserve">. </w:t>
      </w:r>
      <w:hyperlink r:id="rId35" w:tgtFrame="_new" w:history="1">
        <w:r w:rsidRPr="00B024C3">
          <w:rPr>
            <w:rStyle w:val="Hyperlink"/>
          </w:rPr>
          <w:t>https://arxiv.org/abs/2211.06321</w:t>
        </w:r>
      </w:hyperlink>
    </w:p>
    <w:p w14:paraId="6E3A7046" w14:textId="77777777" w:rsidR="00B54720" w:rsidRDefault="00B54720" w:rsidP="006027F2">
      <w:pPr>
        <w:spacing w:line="259" w:lineRule="auto"/>
        <w:jc w:val="both"/>
      </w:pPr>
      <w:r w:rsidRPr="00893E67">
        <w:t>Reay, D. (2002). Shaun’s Story: Troubling discourses of white working-class masculinities. </w:t>
      </w:r>
      <w:r w:rsidRPr="00B54720">
        <w:rPr>
          <w:i/>
          <w:iCs/>
        </w:rPr>
        <w:t>Gender and Education</w:t>
      </w:r>
      <w:r w:rsidRPr="00893E67">
        <w:t>, </w:t>
      </w:r>
      <w:r w:rsidRPr="00B54720">
        <w:rPr>
          <w:i/>
          <w:iCs/>
        </w:rPr>
        <w:t>14</w:t>
      </w:r>
      <w:r w:rsidRPr="00893E67">
        <w:t xml:space="preserve">(3), 221–234. </w:t>
      </w:r>
      <w:hyperlink r:id="rId36" w:history="1">
        <w:r w:rsidRPr="009E5A54">
          <w:rPr>
            <w:rStyle w:val="Hyperlink"/>
          </w:rPr>
          <w:t>https://doi.org/10.1080/0954025022000010695</w:t>
        </w:r>
      </w:hyperlink>
      <w:r>
        <w:t xml:space="preserve"> </w:t>
      </w:r>
    </w:p>
    <w:p w14:paraId="52F22264" w14:textId="77777777" w:rsidR="00B54720" w:rsidRDefault="00B54720" w:rsidP="006027F2">
      <w:pPr>
        <w:spacing w:line="259" w:lineRule="auto"/>
        <w:jc w:val="both"/>
      </w:pPr>
      <w:r w:rsidRPr="00AE49F8">
        <w:t>Reay, D. (2006). </w:t>
      </w:r>
      <w:r w:rsidRPr="00B54720">
        <w:rPr>
          <w:i/>
          <w:iCs/>
        </w:rPr>
        <w:t>The zombie stalking English schools: Social class and educational inequality</w:t>
      </w:r>
      <w:r w:rsidRPr="00AE49F8">
        <w:t xml:space="preserve">. </w:t>
      </w:r>
      <w:r w:rsidRPr="00B54720">
        <w:rPr>
          <w:i/>
          <w:iCs/>
        </w:rPr>
        <w:t>British Journal of Educational Studies</w:t>
      </w:r>
      <w:r w:rsidRPr="00AE49F8">
        <w:t>, 54(3), 288-307. </w:t>
      </w:r>
      <w:hyperlink r:id="rId37" w:history="1">
        <w:r w:rsidRPr="009E5A54">
          <w:rPr>
            <w:rStyle w:val="Hyperlink"/>
          </w:rPr>
          <w:t>https://doi.org/10.1111/j.1467-8527.2006.00351.x</w:t>
        </w:r>
      </w:hyperlink>
      <w:r>
        <w:t xml:space="preserve"> </w:t>
      </w:r>
    </w:p>
    <w:p w14:paraId="4F0EC840" w14:textId="698DA9FE" w:rsidR="006027F2" w:rsidRPr="006027F2" w:rsidRDefault="006027F2" w:rsidP="006027F2">
      <w:pPr>
        <w:jc w:val="both"/>
        <w:rPr>
          <w:b/>
          <w:bCs/>
        </w:rPr>
      </w:pPr>
      <w:r>
        <w:t xml:space="preserve">Reay, D. (2017). </w:t>
      </w:r>
      <w:r w:rsidRPr="006027F2">
        <w:rPr>
          <w:i/>
          <w:iCs/>
        </w:rPr>
        <w:t>Miseducation.</w:t>
      </w:r>
      <w:r w:rsidRPr="006027F2">
        <w:rPr>
          <w:b/>
          <w:bCs/>
          <w:i/>
          <w:iCs/>
        </w:rPr>
        <w:t xml:space="preserve"> </w:t>
      </w:r>
      <w:r w:rsidRPr="006027F2">
        <w:rPr>
          <w:i/>
          <w:iCs/>
        </w:rPr>
        <w:t>Inequality, Education and the Working Classes</w:t>
      </w:r>
      <w:r>
        <w:t>. Bristol: Policy Press.</w:t>
      </w:r>
    </w:p>
    <w:p w14:paraId="2E1E4500" w14:textId="62261056" w:rsidR="00B54720" w:rsidRDefault="00B54720" w:rsidP="006027F2">
      <w:pPr>
        <w:spacing w:line="259" w:lineRule="auto"/>
        <w:jc w:val="both"/>
      </w:pPr>
      <w:r w:rsidRPr="000629F5">
        <w:lastRenderedPageBreak/>
        <w:t>Simpson, E. (2023). </w:t>
      </w:r>
      <w:r w:rsidRPr="00B54720">
        <w:rPr>
          <w:i/>
          <w:iCs/>
        </w:rPr>
        <w:t>The engagement and achievement of white working-class students in an inner London borough</w:t>
      </w:r>
      <w:r w:rsidRPr="000629F5">
        <w:t>. UCL Discovery. </w:t>
      </w:r>
      <w:hyperlink r:id="rId38" w:history="1">
        <w:r w:rsidR="0021188E" w:rsidRPr="00796F70">
          <w:rPr>
            <w:rStyle w:val="Hyperlink"/>
          </w:rPr>
          <w:t>https://discovery.ucl.ac.uk/id/eprint/10166367/</w:t>
        </w:r>
      </w:hyperlink>
      <w:r w:rsidR="0021188E">
        <w:t xml:space="preserve"> </w:t>
      </w:r>
    </w:p>
    <w:p w14:paraId="5A49CF57" w14:textId="77777777" w:rsidR="00B54720" w:rsidRDefault="00B54720" w:rsidP="006027F2">
      <w:pPr>
        <w:spacing w:line="259" w:lineRule="auto"/>
        <w:jc w:val="both"/>
      </w:pPr>
      <w:r w:rsidRPr="00A91B19">
        <w:t>Simpson</w:t>
      </w:r>
      <w:r>
        <w:t>, E</w:t>
      </w:r>
      <w:r w:rsidRPr="00A91B19">
        <w:t>. (2024). </w:t>
      </w:r>
      <w:r w:rsidRPr="00B54720">
        <w:rPr>
          <w:i/>
          <w:iCs/>
        </w:rPr>
        <w:t>Canary in the mine: What white working-class underachievement reveals about processes of marginalisation in English secondary education</w:t>
      </w:r>
      <w:r w:rsidRPr="00A91B19">
        <w:t>. International Studies in Sociology of Education, 33(2), 246-265. </w:t>
      </w:r>
      <w:hyperlink r:id="rId39" w:history="1">
        <w:r w:rsidRPr="009E5A54">
          <w:rPr>
            <w:rStyle w:val="Hyperlink"/>
          </w:rPr>
          <w:t>https://doi.org/10.1080/09620214.2023.2274612</w:t>
        </w:r>
      </w:hyperlink>
      <w:r>
        <w:t xml:space="preserve"> </w:t>
      </w:r>
    </w:p>
    <w:p w14:paraId="14635BBA" w14:textId="32DCD2C9" w:rsidR="00DE101B" w:rsidRDefault="00DE101B" w:rsidP="006027F2">
      <w:pPr>
        <w:spacing w:line="259" w:lineRule="auto"/>
        <w:jc w:val="both"/>
      </w:pPr>
      <w:r w:rsidRPr="00DE101B">
        <w:t>Sims, S. (2020). School absences and pupil achievement. </w:t>
      </w:r>
      <w:r w:rsidRPr="00DE101B">
        <w:rPr>
          <w:i/>
          <w:iCs/>
        </w:rPr>
        <w:t>CEPEO Briefing Note Series</w:t>
      </w:r>
      <w:r w:rsidRPr="00DE101B">
        <w:t>, 1. UCL Centre for Education Policy and Equalising Opportunities.</w:t>
      </w:r>
      <w:r>
        <w:t xml:space="preserve"> </w:t>
      </w:r>
    </w:p>
    <w:p w14:paraId="5524D589" w14:textId="07BBDB74" w:rsidR="006027F2" w:rsidRDefault="006027F2" w:rsidP="006027F2">
      <w:pPr>
        <w:jc w:val="both"/>
      </w:pPr>
      <w:r w:rsidRPr="00EE3E0E">
        <w:t xml:space="preserve">Sode, A. (2021). </w:t>
      </w:r>
      <w:r w:rsidRPr="006027F2">
        <w:rPr>
          <w:i/>
          <w:iCs/>
        </w:rPr>
        <w:t>The misrecognition of white working-class pupils and their aspirations within the English education system: A case study of a Pupil Referral Unit</w:t>
      </w:r>
      <w:r w:rsidRPr="00EE3E0E">
        <w:t xml:space="preserve">. UEL Research Repository. </w:t>
      </w:r>
      <w:hyperlink r:id="rId40" w:history="1">
        <w:r w:rsidRPr="00EE3E0E">
          <w:rPr>
            <w:rStyle w:val="Hyperlink"/>
          </w:rPr>
          <w:t>https://repository.uel.ac.uk/item/8995q</w:t>
        </w:r>
      </w:hyperlink>
      <w:r w:rsidRPr="00EE3E0E">
        <w:t xml:space="preserve"> </w:t>
      </w:r>
    </w:p>
    <w:p w14:paraId="0E52F2E8" w14:textId="435DD2F0" w:rsidR="005A536A" w:rsidRDefault="005A536A" w:rsidP="006027F2">
      <w:pPr>
        <w:spacing w:line="259" w:lineRule="auto"/>
        <w:jc w:val="both"/>
      </w:pPr>
      <w:r w:rsidRPr="005A536A">
        <w:t>Stahl</w:t>
      </w:r>
      <w:r>
        <w:t xml:space="preserve">, G. (2015). </w:t>
      </w:r>
      <w:r w:rsidRPr="005A536A">
        <w:rPr>
          <w:i/>
          <w:iCs/>
        </w:rPr>
        <w:t>Identity, neoliberalism, and aspiration: Educating white working-class boys</w:t>
      </w:r>
      <w:r>
        <w:t>.</w:t>
      </w:r>
      <w:r w:rsidRPr="005A536A">
        <w:t> Routledge</w:t>
      </w:r>
      <w:r>
        <w:t>.</w:t>
      </w:r>
      <w:r w:rsidRPr="005A536A">
        <w:t> </w:t>
      </w:r>
      <w:hyperlink r:id="rId41" w:tgtFrame="_blank" w:history="1">
        <w:r w:rsidRPr="005A536A">
          <w:rPr>
            <w:rStyle w:val="Hyperlink"/>
          </w:rPr>
          <w:t>10.4324/9781315774824</w:t>
        </w:r>
      </w:hyperlink>
    </w:p>
    <w:p w14:paraId="5CA41B3D" w14:textId="7A28E7D6" w:rsidR="00B54720" w:rsidRDefault="00B54720" w:rsidP="006027F2">
      <w:pPr>
        <w:spacing w:line="259" w:lineRule="auto"/>
        <w:jc w:val="both"/>
      </w:pPr>
      <w:r w:rsidRPr="00246FCF">
        <w:t xml:space="preserve">Strand, S. (2014). </w:t>
      </w:r>
      <w:r w:rsidRPr="00B54720">
        <w:rPr>
          <w:i/>
          <w:iCs/>
        </w:rPr>
        <w:t>Ethnicity, gender, social class and achievement gaps at age 16: Intersectionality and ‘getting it’ for the white working class</w:t>
      </w:r>
      <w:r w:rsidRPr="00246FCF">
        <w:t xml:space="preserve">. </w:t>
      </w:r>
      <w:r w:rsidRPr="00B54720">
        <w:rPr>
          <w:i/>
          <w:iCs/>
        </w:rPr>
        <w:t>Research Papers in Education</w:t>
      </w:r>
      <w:r w:rsidRPr="00246FCF">
        <w:t xml:space="preserve">, </w:t>
      </w:r>
      <w:r w:rsidRPr="00B54720">
        <w:rPr>
          <w:i/>
          <w:iCs/>
        </w:rPr>
        <w:t>29</w:t>
      </w:r>
      <w:r w:rsidRPr="00246FCF">
        <w:t xml:space="preserve">(2), 131–171. </w:t>
      </w:r>
      <w:hyperlink r:id="rId42" w:history="1">
        <w:r w:rsidRPr="00246FCF">
          <w:rPr>
            <w:rStyle w:val="Hyperlink"/>
          </w:rPr>
          <w:t>https://doi.org/10.1080/02671522.2013.767370</w:t>
        </w:r>
      </w:hyperlink>
    </w:p>
    <w:p w14:paraId="1EB5DCD0" w14:textId="77777777" w:rsidR="00B54720" w:rsidRDefault="00B54720" w:rsidP="006027F2">
      <w:pPr>
        <w:spacing w:line="259" w:lineRule="auto"/>
        <w:jc w:val="both"/>
      </w:pPr>
      <w:r w:rsidRPr="00BF277F">
        <w:t>Stokes, L., Rolfe, H., Hudson-Sharp, N., &amp; Stevens, S. (2015). </w:t>
      </w:r>
      <w:r w:rsidRPr="00B54720">
        <w:rPr>
          <w:i/>
          <w:iCs/>
        </w:rPr>
        <w:t>A compendium of evidence on ethnic minority resilience to the effects of deprivation on attainment</w:t>
      </w:r>
      <w:r w:rsidRPr="00BF277F">
        <w:t>. Department for Education</w:t>
      </w:r>
      <w:r>
        <w:t>, London, England</w:t>
      </w:r>
      <w:r w:rsidRPr="00BF277F">
        <w:t>. Retrieved from </w:t>
      </w:r>
      <w:hyperlink r:id="rId43" w:history="1">
        <w:r w:rsidRPr="009E5A54">
          <w:rPr>
            <w:rStyle w:val="Hyperlink"/>
          </w:rPr>
          <w:t>https://assets.publishing.service.gov.uk/media/5a74bb8d40f0b619c8659fc3/RR439A-Ethnic_minorities_and_attainment_the_effects_of_poverty.pdf</w:t>
        </w:r>
      </w:hyperlink>
      <w:r>
        <w:t xml:space="preserve"> </w:t>
      </w:r>
    </w:p>
    <w:p w14:paraId="41E4CF62" w14:textId="77777777" w:rsidR="00B54720" w:rsidRPr="004F07CA" w:rsidRDefault="00B54720" w:rsidP="006027F2">
      <w:pPr>
        <w:spacing w:line="259" w:lineRule="auto"/>
        <w:jc w:val="both"/>
      </w:pPr>
      <w:r>
        <w:t xml:space="preserve">Taylor Hill, S. (2024). Unraveling the white working-class conundrum: A closer look at its </w:t>
      </w:r>
      <w:r w:rsidRPr="004F07CA">
        <w:t xml:space="preserve">utility and pitfalls. </w:t>
      </w:r>
      <w:r w:rsidRPr="00B54720">
        <w:rPr>
          <w:i/>
          <w:iCs/>
        </w:rPr>
        <w:t>Ethnicities</w:t>
      </w:r>
      <w:r w:rsidRPr="004F07CA">
        <w:t xml:space="preserve">, </w:t>
      </w:r>
      <w:r w:rsidRPr="00B54720">
        <w:rPr>
          <w:i/>
          <w:iCs/>
        </w:rPr>
        <w:t>24</w:t>
      </w:r>
      <w:r w:rsidRPr="004F07CA">
        <w:t xml:space="preserve">(6), 835-853. </w:t>
      </w:r>
      <w:hyperlink r:id="rId44" w:history="1">
        <w:r w:rsidRPr="004F07CA">
          <w:rPr>
            <w:rStyle w:val="Hyperlink"/>
          </w:rPr>
          <w:t>https://doi.org/10.1177/14687968241240787</w:t>
        </w:r>
      </w:hyperlink>
      <w:r w:rsidRPr="004F07CA">
        <w:t xml:space="preserve"> </w:t>
      </w:r>
    </w:p>
    <w:p w14:paraId="01F4C8CF" w14:textId="77777777" w:rsidR="00B54720" w:rsidRDefault="00B54720" w:rsidP="006027F2">
      <w:pPr>
        <w:spacing w:line="259" w:lineRule="auto"/>
        <w:jc w:val="both"/>
        <w:rPr>
          <w:rFonts w:cs="Times New Roman"/>
        </w:rPr>
      </w:pPr>
      <w:r w:rsidRPr="00B54720">
        <w:rPr>
          <w:rFonts w:cs="Times New Roman"/>
        </w:rPr>
        <w:t>Turetsky, K. M., Sinclair, S., Starck, J. G., &amp; Shelton, J. N. (2021). Beyond students: How teacher psychology shapes educational inequality. </w:t>
      </w:r>
      <w:r w:rsidRPr="00B54720">
        <w:rPr>
          <w:rFonts w:cs="Times New Roman"/>
          <w:i/>
          <w:iCs/>
        </w:rPr>
        <w:t>Trends in Cognitive Sciences, 25</w:t>
      </w:r>
      <w:r w:rsidRPr="00B54720">
        <w:rPr>
          <w:rFonts w:cs="Times New Roman"/>
        </w:rPr>
        <w:t>(8), 697-709. </w:t>
      </w:r>
      <w:hyperlink r:id="rId45" w:history="1">
        <w:r w:rsidRPr="00B54720">
          <w:rPr>
            <w:rStyle w:val="Hyperlink"/>
            <w:rFonts w:cs="Times New Roman"/>
          </w:rPr>
          <w:t>https://doi.org/10.1016/j.tics.2021.04.006</w:t>
        </w:r>
      </w:hyperlink>
      <w:r w:rsidRPr="00B54720">
        <w:rPr>
          <w:rFonts w:cs="Times New Roman"/>
        </w:rPr>
        <w:t xml:space="preserve"> </w:t>
      </w:r>
    </w:p>
    <w:p w14:paraId="09EABBAE" w14:textId="4BD0B690" w:rsidR="00A614F4" w:rsidRDefault="00A614F4" w:rsidP="006027F2">
      <w:pPr>
        <w:spacing w:line="259" w:lineRule="auto"/>
        <w:jc w:val="both"/>
        <w:rPr>
          <w:rFonts w:cs="Times New Roman"/>
        </w:rPr>
      </w:pPr>
      <w:r w:rsidRPr="00A614F4">
        <w:rPr>
          <w:rFonts w:cs="Times New Roman"/>
        </w:rPr>
        <w:t>Wang, M. T., &amp; Fredricks, J. A. (2014). The reciprocal links between school engagement, youth problem behaviors, and school dropout during adolescence. </w:t>
      </w:r>
      <w:r w:rsidRPr="00A614F4">
        <w:rPr>
          <w:rFonts w:cs="Times New Roman"/>
          <w:i/>
          <w:iCs/>
        </w:rPr>
        <w:t>Child development</w:t>
      </w:r>
      <w:r w:rsidRPr="00A614F4">
        <w:rPr>
          <w:rFonts w:cs="Times New Roman"/>
        </w:rPr>
        <w:t>, </w:t>
      </w:r>
      <w:r w:rsidRPr="00A614F4">
        <w:rPr>
          <w:rFonts w:cs="Times New Roman"/>
          <w:i/>
          <w:iCs/>
        </w:rPr>
        <w:t>85</w:t>
      </w:r>
      <w:r w:rsidRPr="00A614F4">
        <w:rPr>
          <w:rFonts w:cs="Times New Roman"/>
        </w:rPr>
        <w:t xml:space="preserve">(2), 722–737. </w:t>
      </w:r>
      <w:hyperlink r:id="rId46" w:history="1">
        <w:r w:rsidRPr="00F2275B">
          <w:rPr>
            <w:rStyle w:val="Hyperlink"/>
            <w:rFonts w:cs="Times New Roman"/>
          </w:rPr>
          <w:t>https://doi.org/10.1111/cdev.12138</w:t>
        </w:r>
      </w:hyperlink>
      <w:r>
        <w:rPr>
          <w:rFonts w:cs="Times New Roman"/>
        </w:rPr>
        <w:t xml:space="preserve"> </w:t>
      </w:r>
    </w:p>
    <w:p w14:paraId="511EC2BE" w14:textId="5F0F57DB" w:rsidR="006027F2" w:rsidRPr="006027F2" w:rsidRDefault="006027F2" w:rsidP="006027F2">
      <w:pPr>
        <w:jc w:val="both"/>
      </w:pPr>
      <w:r w:rsidRPr="00EE3E0E">
        <w:t xml:space="preserve">Willis, P. (1977). </w:t>
      </w:r>
      <w:r w:rsidRPr="006027F2">
        <w:rPr>
          <w:i/>
          <w:iCs/>
        </w:rPr>
        <w:t>Learning to labour: How working class kids get working class jobs</w:t>
      </w:r>
      <w:r w:rsidRPr="00EE3E0E">
        <w:t>. Farnborough: Saxon House.</w:t>
      </w:r>
    </w:p>
    <w:p w14:paraId="26C85763" w14:textId="77777777" w:rsidR="00B54720" w:rsidRDefault="00B54720" w:rsidP="006027F2">
      <w:pPr>
        <w:spacing w:line="259" w:lineRule="auto"/>
        <w:jc w:val="both"/>
      </w:pPr>
      <w:r w:rsidRPr="0094040D">
        <w:t>Wilson, S., &amp; McGuire, K. (2022). ‘You feel a bit lost’: a case study interpreting white, working-class mothers’ engagement through habitus. </w:t>
      </w:r>
      <w:r w:rsidRPr="00B54720">
        <w:rPr>
          <w:i/>
          <w:iCs/>
        </w:rPr>
        <w:t>British Journal of Sociology of Education</w:t>
      </w:r>
      <w:r w:rsidRPr="0094040D">
        <w:t>, </w:t>
      </w:r>
      <w:r w:rsidRPr="00B54720">
        <w:rPr>
          <w:i/>
          <w:iCs/>
        </w:rPr>
        <w:t>43</w:t>
      </w:r>
      <w:r w:rsidRPr="0094040D">
        <w:t xml:space="preserve">(2), 314–331. </w:t>
      </w:r>
      <w:hyperlink r:id="rId47" w:history="1">
        <w:r w:rsidRPr="009E5A54">
          <w:rPr>
            <w:rStyle w:val="Hyperlink"/>
          </w:rPr>
          <w:t>https://doi.org/10.1080/01425692.2022.2026762</w:t>
        </w:r>
      </w:hyperlink>
      <w:r>
        <w:t xml:space="preserve"> </w:t>
      </w:r>
    </w:p>
    <w:p w14:paraId="218C7C5C" w14:textId="77777777" w:rsidR="00B54720" w:rsidRDefault="00B54720" w:rsidP="005A6139">
      <w:pPr>
        <w:rPr>
          <w:b/>
          <w:bCs/>
        </w:rPr>
        <w:sectPr w:rsidR="00B54720" w:rsidSect="005A6139">
          <w:pgSz w:w="11906" w:h="16838"/>
          <w:pgMar w:top="1440" w:right="1440" w:bottom="1440" w:left="1440" w:header="708" w:footer="708" w:gutter="0"/>
          <w:cols w:space="708"/>
          <w:docGrid w:linePitch="360"/>
        </w:sectPr>
      </w:pPr>
    </w:p>
    <w:p w14:paraId="39500DFB" w14:textId="3199A1B2" w:rsidR="004E4AD1" w:rsidRDefault="004E4AD1" w:rsidP="001B2C67">
      <w:pPr>
        <w:spacing w:after="0"/>
        <w:jc w:val="center"/>
        <w:rPr>
          <w:b/>
          <w:bCs/>
        </w:rPr>
      </w:pPr>
      <w:r>
        <w:rPr>
          <w:b/>
          <w:bCs/>
        </w:rPr>
        <w:lastRenderedPageBreak/>
        <w:t xml:space="preserve">Table </w:t>
      </w:r>
      <w:r w:rsidR="001B2C67">
        <w:rPr>
          <w:b/>
          <w:bCs/>
        </w:rPr>
        <w:t>1</w:t>
      </w:r>
      <w:r>
        <w:rPr>
          <w:b/>
          <w:bCs/>
        </w:rPr>
        <w:t>. Sample sizes of key ethnic groups</w:t>
      </w:r>
    </w:p>
    <w:tbl>
      <w:tblPr>
        <w:tblW w:w="6760" w:type="dxa"/>
        <w:jc w:val="center"/>
        <w:tblLook w:val="04A0" w:firstRow="1" w:lastRow="0" w:firstColumn="1" w:lastColumn="0" w:noHBand="0" w:noVBand="1"/>
      </w:tblPr>
      <w:tblGrid>
        <w:gridCol w:w="2500"/>
        <w:gridCol w:w="1380"/>
        <w:gridCol w:w="960"/>
        <w:gridCol w:w="960"/>
        <w:gridCol w:w="960"/>
      </w:tblGrid>
      <w:tr w:rsidR="001B2C67" w:rsidRPr="001B2C67" w14:paraId="106D2DE4" w14:textId="77777777" w:rsidTr="001B2C67">
        <w:trPr>
          <w:trHeight w:val="288"/>
          <w:jc w:val="center"/>
        </w:trPr>
        <w:tc>
          <w:tcPr>
            <w:tcW w:w="2500" w:type="dxa"/>
            <w:tcBorders>
              <w:top w:val="single" w:sz="4" w:space="0" w:color="auto"/>
              <w:left w:val="nil"/>
              <w:bottom w:val="single" w:sz="4" w:space="0" w:color="auto"/>
              <w:right w:val="nil"/>
            </w:tcBorders>
            <w:shd w:val="clear" w:color="000000" w:fill="C0E6F5"/>
            <w:noWrap/>
            <w:vAlign w:val="bottom"/>
            <w:hideMark/>
          </w:tcPr>
          <w:p w14:paraId="04DE05CA" w14:textId="77777777" w:rsidR="001B2C67" w:rsidRPr="001B2C67" w:rsidRDefault="001B2C67" w:rsidP="001B2C67">
            <w:pPr>
              <w:spacing w:after="0" w:line="240" w:lineRule="auto"/>
              <w:rPr>
                <w:rFonts w:ascii="Aptos Narrow" w:eastAsia="Times New Roman" w:hAnsi="Aptos Narrow" w:cs="Times New Roman"/>
                <w:b/>
                <w:bCs/>
                <w:color w:val="000000"/>
                <w:kern w:val="0"/>
                <w:sz w:val="22"/>
                <w:szCs w:val="22"/>
                <w:lang w:eastAsia="en-GB"/>
                <w14:ligatures w14:val="none"/>
              </w:rPr>
            </w:pPr>
            <w:r w:rsidRPr="001B2C67">
              <w:rPr>
                <w:rFonts w:ascii="Aptos Narrow" w:eastAsia="Times New Roman" w:hAnsi="Aptos Narrow" w:cs="Times New Roman"/>
                <w:b/>
                <w:bCs/>
                <w:color w:val="000000"/>
                <w:kern w:val="0"/>
                <w:sz w:val="22"/>
                <w:szCs w:val="22"/>
                <w:lang w:eastAsia="en-GB"/>
                <w14:ligatures w14:val="none"/>
              </w:rPr>
              <w:t> </w:t>
            </w:r>
          </w:p>
        </w:tc>
        <w:tc>
          <w:tcPr>
            <w:tcW w:w="1380" w:type="dxa"/>
            <w:tcBorders>
              <w:top w:val="single" w:sz="4" w:space="0" w:color="auto"/>
              <w:left w:val="nil"/>
              <w:bottom w:val="single" w:sz="4" w:space="0" w:color="auto"/>
              <w:right w:val="nil"/>
            </w:tcBorders>
            <w:shd w:val="clear" w:color="000000" w:fill="C0E6F5"/>
            <w:noWrap/>
            <w:vAlign w:val="bottom"/>
            <w:hideMark/>
          </w:tcPr>
          <w:p w14:paraId="5490D0AD" w14:textId="77777777" w:rsidR="001B2C67" w:rsidRPr="001B2C67" w:rsidRDefault="001B2C67" w:rsidP="001B2C67">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1B2C67">
              <w:rPr>
                <w:rFonts w:ascii="Aptos Narrow" w:eastAsia="Times New Roman" w:hAnsi="Aptos Narrow" w:cs="Times New Roman"/>
                <w:b/>
                <w:bCs/>
                <w:color w:val="000000"/>
                <w:kern w:val="0"/>
                <w:sz w:val="22"/>
                <w:szCs w:val="22"/>
                <w:lang w:eastAsia="en-GB"/>
                <w14:ligatures w14:val="none"/>
              </w:rPr>
              <w:t>Any wave</w:t>
            </w:r>
          </w:p>
        </w:tc>
        <w:tc>
          <w:tcPr>
            <w:tcW w:w="960" w:type="dxa"/>
            <w:tcBorders>
              <w:top w:val="single" w:sz="4" w:space="0" w:color="auto"/>
              <w:left w:val="nil"/>
              <w:bottom w:val="single" w:sz="4" w:space="0" w:color="auto"/>
              <w:right w:val="nil"/>
            </w:tcBorders>
            <w:shd w:val="clear" w:color="000000" w:fill="C0E6F5"/>
            <w:noWrap/>
            <w:vAlign w:val="bottom"/>
            <w:hideMark/>
          </w:tcPr>
          <w:p w14:paraId="52A262D3" w14:textId="77777777" w:rsidR="001B2C67" w:rsidRPr="001B2C67" w:rsidRDefault="001B2C67" w:rsidP="001B2C67">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1B2C67">
              <w:rPr>
                <w:rFonts w:ascii="Aptos Narrow" w:eastAsia="Times New Roman" w:hAnsi="Aptos Narrow" w:cs="Times New Roman"/>
                <w:b/>
                <w:bCs/>
                <w:color w:val="000000"/>
                <w:kern w:val="0"/>
                <w:sz w:val="22"/>
                <w:szCs w:val="22"/>
                <w:lang w:eastAsia="en-GB"/>
                <w14:ligatures w14:val="none"/>
              </w:rPr>
              <w:t>Wave 1</w:t>
            </w:r>
          </w:p>
        </w:tc>
        <w:tc>
          <w:tcPr>
            <w:tcW w:w="960" w:type="dxa"/>
            <w:tcBorders>
              <w:top w:val="single" w:sz="4" w:space="0" w:color="auto"/>
              <w:left w:val="nil"/>
              <w:bottom w:val="single" w:sz="4" w:space="0" w:color="auto"/>
              <w:right w:val="nil"/>
            </w:tcBorders>
            <w:shd w:val="clear" w:color="000000" w:fill="C0E6F5"/>
            <w:noWrap/>
            <w:vAlign w:val="bottom"/>
            <w:hideMark/>
          </w:tcPr>
          <w:p w14:paraId="3AB61AA9" w14:textId="77777777" w:rsidR="001B2C67" w:rsidRPr="001B2C67" w:rsidRDefault="001B2C67" w:rsidP="001B2C67">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1B2C67">
              <w:rPr>
                <w:rFonts w:ascii="Aptos Narrow" w:eastAsia="Times New Roman" w:hAnsi="Aptos Narrow" w:cs="Times New Roman"/>
                <w:b/>
                <w:bCs/>
                <w:color w:val="000000"/>
                <w:kern w:val="0"/>
                <w:sz w:val="22"/>
                <w:szCs w:val="22"/>
                <w:lang w:eastAsia="en-GB"/>
                <w14:ligatures w14:val="none"/>
              </w:rPr>
              <w:t>Wave 2</w:t>
            </w:r>
          </w:p>
        </w:tc>
        <w:tc>
          <w:tcPr>
            <w:tcW w:w="960" w:type="dxa"/>
            <w:tcBorders>
              <w:top w:val="single" w:sz="4" w:space="0" w:color="auto"/>
              <w:left w:val="nil"/>
              <w:bottom w:val="single" w:sz="4" w:space="0" w:color="auto"/>
              <w:right w:val="nil"/>
            </w:tcBorders>
            <w:shd w:val="clear" w:color="000000" w:fill="C0E6F5"/>
            <w:noWrap/>
            <w:vAlign w:val="bottom"/>
            <w:hideMark/>
          </w:tcPr>
          <w:p w14:paraId="77298F59" w14:textId="77777777" w:rsidR="001B2C67" w:rsidRPr="001B2C67" w:rsidRDefault="001B2C67" w:rsidP="001B2C67">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1B2C67">
              <w:rPr>
                <w:rFonts w:ascii="Aptos Narrow" w:eastAsia="Times New Roman" w:hAnsi="Aptos Narrow" w:cs="Times New Roman"/>
                <w:b/>
                <w:bCs/>
                <w:color w:val="000000"/>
                <w:kern w:val="0"/>
                <w:sz w:val="22"/>
                <w:szCs w:val="22"/>
                <w:lang w:eastAsia="en-GB"/>
                <w14:ligatures w14:val="none"/>
              </w:rPr>
              <w:t>Wave 3</w:t>
            </w:r>
          </w:p>
        </w:tc>
      </w:tr>
      <w:tr w:rsidR="001B2C67" w:rsidRPr="001B2C67" w14:paraId="1DC18BBE" w14:textId="77777777" w:rsidTr="001B2C67">
        <w:trPr>
          <w:trHeight w:val="288"/>
          <w:jc w:val="center"/>
        </w:trPr>
        <w:tc>
          <w:tcPr>
            <w:tcW w:w="2500" w:type="dxa"/>
            <w:tcBorders>
              <w:top w:val="nil"/>
              <w:left w:val="nil"/>
              <w:bottom w:val="nil"/>
              <w:right w:val="nil"/>
            </w:tcBorders>
            <w:vAlign w:val="center"/>
            <w:hideMark/>
          </w:tcPr>
          <w:p w14:paraId="47862E50"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Asian. FSM.</w:t>
            </w:r>
          </w:p>
        </w:tc>
        <w:tc>
          <w:tcPr>
            <w:tcW w:w="1380" w:type="dxa"/>
            <w:tcBorders>
              <w:top w:val="nil"/>
              <w:left w:val="nil"/>
              <w:bottom w:val="nil"/>
              <w:right w:val="nil"/>
            </w:tcBorders>
            <w:noWrap/>
            <w:vAlign w:val="bottom"/>
            <w:hideMark/>
          </w:tcPr>
          <w:p w14:paraId="01AB8C88"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700</w:t>
            </w:r>
          </w:p>
        </w:tc>
        <w:tc>
          <w:tcPr>
            <w:tcW w:w="960" w:type="dxa"/>
            <w:tcBorders>
              <w:top w:val="nil"/>
              <w:left w:val="nil"/>
              <w:bottom w:val="nil"/>
              <w:right w:val="nil"/>
            </w:tcBorders>
            <w:noWrap/>
            <w:vAlign w:val="bottom"/>
            <w:hideMark/>
          </w:tcPr>
          <w:p w14:paraId="2D3AEC3D"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445</w:t>
            </w:r>
          </w:p>
        </w:tc>
        <w:tc>
          <w:tcPr>
            <w:tcW w:w="960" w:type="dxa"/>
            <w:tcBorders>
              <w:top w:val="nil"/>
              <w:left w:val="nil"/>
              <w:bottom w:val="nil"/>
              <w:right w:val="nil"/>
            </w:tcBorders>
            <w:noWrap/>
            <w:vAlign w:val="bottom"/>
            <w:hideMark/>
          </w:tcPr>
          <w:p w14:paraId="4885A7CB"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394</w:t>
            </w:r>
          </w:p>
        </w:tc>
        <w:tc>
          <w:tcPr>
            <w:tcW w:w="960" w:type="dxa"/>
            <w:tcBorders>
              <w:top w:val="nil"/>
              <w:left w:val="nil"/>
              <w:bottom w:val="nil"/>
              <w:right w:val="nil"/>
            </w:tcBorders>
            <w:noWrap/>
            <w:vAlign w:val="bottom"/>
            <w:hideMark/>
          </w:tcPr>
          <w:p w14:paraId="4A82FA1A"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200</w:t>
            </w:r>
          </w:p>
        </w:tc>
      </w:tr>
      <w:tr w:rsidR="001B2C67" w:rsidRPr="001B2C67" w14:paraId="6CB2FCF1" w14:textId="77777777" w:rsidTr="001B2C67">
        <w:trPr>
          <w:trHeight w:val="288"/>
          <w:jc w:val="center"/>
        </w:trPr>
        <w:tc>
          <w:tcPr>
            <w:tcW w:w="2500" w:type="dxa"/>
            <w:tcBorders>
              <w:top w:val="nil"/>
              <w:left w:val="nil"/>
              <w:bottom w:val="nil"/>
              <w:right w:val="nil"/>
            </w:tcBorders>
            <w:vAlign w:val="center"/>
            <w:hideMark/>
          </w:tcPr>
          <w:p w14:paraId="251AB8C3"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Asian. Not FSM.</w:t>
            </w:r>
          </w:p>
        </w:tc>
        <w:tc>
          <w:tcPr>
            <w:tcW w:w="1380" w:type="dxa"/>
            <w:tcBorders>
              <w:top w:val="nil"/>
              <w:left w:val="nil"/>
              <w:bottom w:val="nil"/>
              <w:right w:val="nil"/>
            </w:tcBorders>
            <w:noWrap/>
            <w:vAlign w:val="bottom"/>
            <w:hideMark/>
          </w:tcPr>
          <w:p w14:paraId="0D2EE849"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1700</w:t>
            </w:r>
          </w:p>
        </w:tc>
        <w:tc>
          <w:tcPr>
            <w:tcW w:w="960" w:type="dxa"/>
            <w:tcBorders>
              <w:top w:val="nil"/>
              <w:left w:val="nil"/>
              <w:bottom w:val="nil"/>
              <w:right w:val="nil"/>
            </w:tcBorders>
            <w:noWrap/>
            <w:vAlign w:val="bottom"/>
            <w:hideMark/>
          </w:tcPr>
          <w:p w14:paraId="5B91EB05"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1233</w:t>
            </w:r>
          </w:p>
        </w:tc>
        <w:tc>
          <w:tcPr>
            <w:tcW w:w="960" w:type="dxa"/>
            <w:tcBorders>
              <w:top w:val="nil"/>
              <w:left w:val="nil"/>
              <w:bottom w:val="nil"/>
              <w:right w:val="nil"/>
            </w:tcBorders>
            <w:noWrap/>
            <w:vAlign w:val="bottom"/>
            <w:hideMark/>
          </w:tcPr>
          <w:p w14:paraId="07F208FE"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1061</w:t>
            </w:r>
          </w:p>
        </w:tc>
        <w:tc>
          <w:tcPr>
            <w:tcW w:w="960" w:type="dxa"/>
            <w:tcBorders>
              <w:top w:val="nil"/>
              <w:left w:val="nil"/>
              <w:bottom w:val="nil"/>
              <w:right w:val="nil"/>
            </w:tcBorders>
            <w:noWrap/>
            <w:vAlign w:val="bottom"/>
            <w:hideMark/>
          </w:tcPr>
          <w:p w14:paraId="6B4FBA82"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306</w:t>
            </w:r>
          </w:p>
        </w:tc>
      </w:tr>
      <w:tr w:rsidR="001B2C67" w:rsidRPr="001B2C67" w14:paraId="6F90B048" w14:textId="77777777" w:rsidTr="001B2C67">
        <w:trPr>
          <w:trHeight w:val="288"/>
          <w:jc w:val="center"/>
        </w:trPr>
        <w:tc>
          <w:tcPr>
            <w:tcW w:w="2500" w:type="dxa"/>
            <w:tcBorders>
              <w:top w:val="nil"/>
              <w:left w:val="nil"/>
              <w:bottom w:val="nil"/>
              <w:right w:val="nil"/>
            </w:tcBorders>
            <w:vAlign w:val="center"/>
            <w:hideMark/>
          </w:tcPr>
          <w:p w14:paraId="299EA329"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Black. FSM.</w:t>
            </w:r>
          </w:p>
        </w:tc>
        <w:tc>
          <w:tcPr>
            <w:tcW w:w="1380" w:type="dxa"/>
            <w:tcBorders>
              <w:top w:val="nil"/>
              <w:left w:val="nil"/>
              <w:bottom w:val="nil"/>
              <w:right w:val="nil"/>
            </w:tcBorders>
            <w:noWrap/>
            <w:vAlign w:val="bottom"/>
            <w:hideMark/>
          </w:tcPr>
          <w:p w14:paraId="45E62E3E"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1509</w:t>
            </w:r>
          </w:p>
        </w:tc>
        <w:tc>
          <w:tcPr>
            <w:tcW w:w="960" w:type="dxa"/>
            <w:tcBorders>
              <w:top w:val="nil"/>
              <w:left w:val="nil"/>
              <w:bottom w:val="nil"/>
              <w:right w:val="nil"/>
            </w:tcBorders>
            <w:noWrap/>
            <w:vAlign w:val="bottom"/>
            <w:hideMark/>
          </w:tcPr>
          <w:p w14:paraId="2A88CBE7"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819</w:t>
            </w:r>
          </w:p>
        </w:tc>
        <w:tc>
          <w:tcPr>
            <w:tcW w:w="960" w:type="dxa"/>
            <w:tcBorders>
              <w:top w:val="nil"/>
              <w:left w:val="nil"/>
              <w:bottom w:val="nil"/>
              <w:right w:val="nil"/>
            </w:tcBorders>
            <w:noWrap/>
            <w:vAlign w:val="bottom"/>
            <w:hideMark/>
          </w:tcPr>
          <w:p w14:paraId="5D032C6A"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638</w:t>
            </w:r>
          </w:p>
        </w:tc>
        <w:tc>
          <w:tcPr>
            <w:tcW w:w="960" w:type="dxa"/>
            <w:tcBorders>
              <w:top w:val="nil"/>
              <w:left w:val="nil"/>
              <w:bottom w:val="nil"/>
              <w:right w:val="nil"/>
            </w:tcBorders>
            <w:noWrap/>
            <w:vAlign w:val="bottom"/>
            <w:hideMark/>
          </w:tcPr>
          <w:p w14:paraId="5DCBD3FE"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222</w:t>
            </w:r>
          </w:p>
        </w:tc>
      </w:tr>
      <w:tr w:rsidR="001B2C67" w:rsidRPr="001B2C67" w14:paraId="15E3B313" w14:textId="77777777" w:rsidTr="001B2C67">
        <w:trPr>
          <w:trHeight w:val="288"/>
          <w:jc w:val="center"/>
        </w:trPr>
        <w:tc>
          <w:tcPr>
            <w:tcW w:w="2500" w:type="dxa"/>
            <w:tcBorders>
              <w:top w:val="nil"/>
              <w:left w:val="nil"/>
              <w:bottom w:val="nil"/>
              <w:right w:val="nil"/>
            </w:tcBorders>
            <w:vAlign w:val="center"/>
            <w:hideMark/>
          </w:tcPr>
          <w:p w14:paraId="1CC7A169"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Black. Not FSM.</w:t>
            </w:r>
          </w:p>
        </w:tc>
        <w:tc>
          <w:tcPr>
            <w:tcW w:w="1380" w:type="dxa"/>
            <w:tcBorders>
              <w:top w:val="nil"/>
              <w:left w:val="nil"/>
              <w:bottom w:val="nil"/>
              <w:right w:val="nil"/>
            </w:tcBorders>
            <w:noWrap/>
            <w:vAlign w:val="bottom"/>
            <w:hideMark/>
          </w:tcPr>
          <w:p w14:paraId="3187F84F"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2730</w:t>
            </w:r>
          </w:p>
        </w:tc>
        <w:tc>
          <w:tcPr>
            <w:tcW w:w="960" w:type="dxa"/>
            <w:tcBorders>
              <w:top w:val="nil"/>
              <w:left w:val="nil"/>
              <w:bottom w:val="nil"/>
              <w:right w:val="nil"/>
            </w:tcBorders>
            <w:noWrap/>
            <w:vAlign w:val="bottom"/>
            <w:hideMark/>
          </w:tcPr>
          <w:p w14:paraId="484DCD42"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1876</w:t>
            </w:r>
          </w:p>
        </w:tc>
        <w:tc>
          <w:tcPr>
            <w:tcW w:w="960" w:type="dxa"/>
            <w:tcBorders>
              <w:top w:val="nil"/>
              <w:left w:val="nil"/>
              <w:bottom w:val="nil"/>
              <w:right w:val="nil"/>
            </w:tcBorders>
            <w:noWrap/>
            <w:vAlign w:val="bottom"/>
            <w:hideMark/>
          </w:tcPr>
          <w:p w14:paraId="6BC83FA8"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1552</w:t>
            </w:r>
          </w:p>
        </w:tc>
        <w:tc>
          <w:tcPr>
            <w:tcW w:w="960" w:type="dxa"/>
            <w:tcBorders>
              <w:top w:val="nil"/>
              <w:left w:val="nil"/>
              <w:bottom w:val="nil"/>
              <w:right w:val="nil"/>
            </w:tcBorders>
            <w:noWrap/>
            <w:vAlign w:val="bottom"/>
            <w:hideMark/>
          </w:tcPr>
          <w:p w14:paraId="7C3EF255"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500</w:t>
            </w:r>
          </w:p>
        </w:tc>
      </w:tr>
      <w:tr w:rsidR="001B2C67" w:rsidRPr="001B2C67" w14:paraId="0616C4EB" w14:textId="77777777" w:rsidTr="001B2C67">
        <w:trPr>
          <w:trHeight w:val="288"/>
          <w:jc w:val="center"/>
        </w:trPr>
        <w:tc>
          <w:tcPr>
            <w:tcW w:w="2500" w:type="dxa"/>
            <w:tcBorders>
              <w:top w:val="nil"/>
              <w:left w:val="nil"/>
              <w:bottom w:val="nil"/>
              <w:right w:val="nil"/>
            </w:tcBorders>
            <w:vAlign w:val="center"/>
            <w:hideMark/>
          </w:tcPr>
          <w:p w14:paraId="5B598DAF"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Mixed. FSM.</w:t>
            </w:r>
          </w:p>
        </w:tc>
        <w:tc>
          <w:tcPr>
            <w:tcW w:w="1380" w:type="dxa"/>
            <w:tcBorders>
              <w:top w:val="nil"/>
              <w:left w:val="nil"/>
              <w:bottom w:val="nil"/>
              <w:right w:val="nil"/>
            </w:tcBorders>
            <w:noWrap/>
            <w:vAlign w:val="bottom"/>
            <w:hideMark/>
          </w:tcPr>
          <w:p w14:paraId="159D4BBE"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1870</w:t>
            </w:r>
          </w:p>
        </w:tc>
        <w:tc>
          <w:tcPr>
            <w:tcW w:w="960" w:type="dxa"/>
            <w:tcBorders>
              <w:top w:val="nil"/>
              <w:left w:val="nil"/>
              <w:bottom w:val="nil"/>
              <w:right w:val="nil"/>
            </w:tcBorders>
            <w:noWrap/>
            <w:vAlign w:val="bottom"/>
            <w:hideMark/>
          </w:tcPr>
          <w:p w14:paraId="4E6F7158"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1079</w:t>
            </w:r>
          </w:p>
        </w:tc>
        <w:tc>
          <w:tcPr>
            <w:tcW w:w="960" w:type="dxa"/>
            <w:tcBorders>
              <w:top w:val="nil"/>
              <w:left w:val="nil"/>
              <w:bottom w:val="nil"/>
              <w:right w:val="nil"/>
            </w:tcBorders>
            <w:noWrap/>
            <w:vAlign w:val="bottom"/>
            <w:hideMark/>
          </w:tcPr>
          <w:p w14:paraId="245C1516"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914</w:t>
            </w:r>
          </w:p>
        </w:tc>
        <w:tc>
          <w:tcPr>
            <w:tcW w:w="960" w:type="dxa"/>
            <w:tcBorders>
              <w:top w:val="nil"/>
              <w:left w:val="nil"/>
              <w:bottom w:val="nil"/>
              <w:right w:val="nil"/>
            </w:tcBorders>
            <w:noWrap/>
            <w:vAlign w:val="bottom"/>
            <w:hideMark/>
          </w:tcPr>
          <w:p w14:paraId="7BA1B7D8"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363</w:t>
            </w:r>
          </w:p>
        </w:tc>
      </w:tr>
      <w:tr w:rsidR="001B2C67" w:rsidRPr="001B2C67" w14:paraId="4CE50EF6" w14:textId="77777777" w:rsidTr="001B2C67">
        <w:trPr>
          <w:trHeight w:val="288"/>
          <w:jc w:val="center"/>
        </w:trPr>
        <w:tc>
          <w:tcPr>
            <w:tcW w:w="2500" w:type="dxa"/>
            <w:tcBorders>
              <w:top w:val="nil"/>
              <w:left w:val="nil"/>
              <w:bottom w:val="nil"/>
              <w:right w:val="nil"/>
            </w:tcBorders>
            <w:vAlign w:val="center"/>
            <w:hideMark/>
          </w:tcPr>
          <w:p w14:paraId="328D3121"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Mixed. Not FSM.</w:t>
            </w:r>
          </w:p>
        </w:tc>
        <w:tc>
          <w:tcPr>
            <w:tcW w:w="1380" w:type="dxa"/>
            <w:tcBorders>
              <w:top w:val="nil"/>
              <w:left w:val="nil"/>
              <w:bottom w:val="nil"/>
              <w:right w:val="nil"/>
            </w:tcBorders>
            <w:noWrap/>
            <w:vAlign w:val="bottom"/>
            <w:hideMark/>
          </w:tcPr>
          <w:p w14:paraId="6DA29CF2"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3244</w:t>
            </w:r>
          </w:p>
        </w:tc>
        <w:tc>
          <w:tcPr>
            <w:tcW w:w="960" w:type="dxa"/>
            <w:tcBorders>
              <w:top w:val="nil"/>
              <w:left w:val="nil"/>
              <w:bottom w:val="nil"/>
              <w:right w:val="nil"/>
            </w:tcBorders>
            <w:noWrap/>
            <w:vAlign w:val="bottom"/>
            <w:hideMark/>
          </w:tcPr>
          <w:p w14:paraId="126BE794"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2063</w:t>
            </w:r>
          </w:p>
        </w:tc>
        <w:tc>
          <w:tcPr>
            <w:tcW w:w="960" w:type="dxa"/>
            <w:tcBorders>
              <w:top w:val="nil"/>
              <w:left w:val="nil"/>
              <w:bottom w:val="nil"/>
              <w:right w:val="nil"/>
            </w:tcBorders>
            <w:noWrap/>
            <w:vAlign w:val="bottom"/>
            <w:hideMark/>
          </w:tcPr>
          <w:p w14:paraId="509FCF63"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1804</w:t>
            </w:r>
          </w:p>
        </w:tc>
        <w:tc>
          <w:tcPr>
            <w:tcW w:w="960" w:type="dxa"/>
            <w:tcBorders>
              <w:top w:val="nil"/>
              <w:left w:val="nil"/>
              <w:bottom w:val="nil"/>
              <w:right w:val="nil"/>
            </w:tcBorders>
            <w:noWrap/>
            <w:vAlign w:val="bottom"/>
            <w:hideMark/>
          </w:tcPr>
          <w:p w14:paraId="1DE3F2C4"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552</w:t>
            </w:r>
          </w:p>
        </w:tc>
      </w:tr>
      <w:tr w:rsidR="001B2C67" w:rsidRPr="001B2C67" w14:paraId="79AA3AEC" w14:textId="77777777" w:rsidTr="001B2C67">
        <w:trPr>
          <w:trHeight w:val="288"/>
          <w:jc w:val="center"/>
        </w:trPr>
        <w:tc>
          <w:tcPr>
            <w:tcW w:w="2500" w:type="dxa"/>
            <w:tcBorders>
              <w:top w:val="nil"/>
              <w:left w:val="nil"/>
              <w:bottom w:val="nil"/>
              <w:right w:val="nil"/>
            </w:tcBorders>
            <w:vAlign w:val="center"/>
            <w:hideMark/>
          </w:tcPr>
          <w:p w14:paraId="0A7BD155"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South Asian. FSM.</w:t>
            </w:r>
          </w:p>
        </w:tc>
        <w:tc>
          <w:tcPr>
            <w:tcW w:w="1380" w:type="dxa"/>
            <w:tcBorders>
              <w:top w:val="nil"/>
              <w:left w:val="nil"/>
              <w:bottom w:val="nil"/>
              <w:right w:val="nil"/>
            </w:tcBorders>
            <w:noWrap/>
            <w:vAlign w:val="bottom"/>
            <w:hideMark/>
          </w:tcPr>
          <w:p w14:paraId="4B1A54D0"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2085</w:t>
            </w:r>
          </w:p>
        </w:tc>
        <w:tc>
          <w:tcPr>
            <w:tcW w:w="960" w:type="dxa"/>
            <w:tcBorders>
              <w:top w:val="nil"/>
              <w:left w:val="nil"/>
              <w:bottom w:val="nil"/>
              <w:right w:val="nil"/>
            </w:tcBorders>
            <w:noWrap/>
            <w:vAlign w:val="bottom"/>
            <w:hideMark/>
          </w:tcPr>
          <w:p w14:paraId="4C348C79"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1520</w:t>
            </w:r>
          </w:p>
        </w:tc>
        <w:tc>
          <w:tcPr>
            <w:tcW w:w="960" w:type="dxa"/>
            <w:tcBorders>
              <w:top w:val="nil"/>
              <w:left w:val="nil"/>
              <w:bottom w:val="nil"/>
              <w:right w:val="nil"/>
            </w:tcBorders>
            <w:noWrap/>
            <w:vAlign w:val="bottom"/>
            <w:hideMark/>
          </w:tcPr>
          <w:p w14:paraId="16FDE0CA"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1394</w:t>
            </w:r>
          </w:p>
        </w:tc>
        <w:tc>
          <w:tcPr>
            <w:tcW w:w="960" w:type="dxa"/>
            <w:tcBorders>
              <w:top w:val="nil"/>
              <w:left w:val="nil"/>
              <w:bottom w:val="nil"/>
              <w:right w:val="nil"/>
            </w:tcBorders>
            <w:noWrap/>
            <w:vAlign w:val="bottom"/>
            <w:hideMark/>
          </w:tcPr>
          <w:p w14:paraId="24A56F44"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311</w:t>
            </w:r>
          </w:p>
        </w:tc>
      </w:tr>
      <w:tr w:rsidR="001B2C67" w:rsidRPr="001B2C67" w14:paraId="373E3355" w14:textId="77777777" w:rsidTr="001B2C67">
        <w:trPr>
          <w:trHeight w:val="288"/>
          <w:jc w:val="center"/>
        </w:trPr>
        <w:tc>
          <w:tcPr>
            <w:tcW w:w="2500" w:type="dxa"/>
            <w:tcBorders>
              <w:top w:val="nil"/>
              <w:left w:val="nil"/>
              <w:bottom w:val="nil"/>
              <w:right w:val="nil"/>
            </w:tcBorders>
            <w:vAlign w:val="center"/>
            <w:hideMark/>
          </w:tcPr>
          <w:p w14:paraId="12A36AEB"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South Asian. Not FSM.</w:t>
            </w:r>
          </w:p>
        </w:tc>
        <w:tc>
          <w:tcPr>
            <w:tcW w:w="1380" w:type="dxa"/>
            <w:tcBorders>
              <w:top w:val="nil"/>
              <w:left w:val="nil"/>
              <w:bottom w:val="nil"/>
              <w:right w:val="nil"/>
            </w:tcBorders>
            <w:noWrap/>
            <w:vAlign w:val="bottom"/>
            <w:hideMark/>
          </w:tcPr>
          <w:p w14:paraId="22498487"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4694</w:t>
            </w:r>
          </w:p>
        </w:tc>
        <w:tc>
          <w:tcPr>
            <w:tcW w:w="960" w:type="dxa"/>
            <w:tcBorders>
              <w:top w:val="nil"/>
              <w:left w:val="nil"/>
              <w:bottom w:val="nil"/>
              <w:right w:val="nil"/>
            </w:tcBorders>
            <w:noWrap/>
            <w:vAlign w:val="bottom"/>
            <w:hideMark/>
          </w:tcPr>
          <w:p w14:paraId="796DE9A2"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3497</w:t>
            </w:r>
          </w:p>
        </w:tc>
        <w:tc>
          <w:tcPr>
            <w:tcW w:w="960" w:type="dxa"/>
            <w:tcBorders>
              <w:top w:val="nil"/>
              <w:left w:val="nil"/>
              <w:bottom w:val="nil"/>
              <w:right w:val="nil"/>
            </w:tcBorders>
            <w:noWrap/>
            <w:vAlign w:val="bottom"/>
            <w:hideMark/>
          </w:tcPr>
          <w:p w14:paraId="08A8EDB5"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2866</w:t>
            </w:r>
          </w:p>
        </w:tc>
        <w:tc>
          <w:tcPr>
            <w:tcW w:w="960" w:type="dxa"/>
            <w:tcBorders>
              <w:top w:val="nil"/>
              <w:left w:val="nil"/>
              <w:bottom w:val="nil"/>
              <w:right w:val="nil"/>
            </w:tcBorders>
            <w:noWrap/>
            <w:vAlign w:val="bottom"/>
            <w:hideMark/>
          </w:tcPr>
          <w:p w14:paraId="53B3E3FD"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714</w:t>
            </w:r>
          </w:p>
        </w:tc>
      </w:tr>
      <w:tr w:rsidR="001B2C67" w:rsidRPr="001B2C67" w14:paraId="0D5C75C8" w14:textId="77777777" w:rsidTr="001B2C67">
        <w:trPr>
          <w:trHeight w:val="288"/>
          <w:jc w:val="center"/>
        </w:trPr>
        <w:tc>
          <w:tcPr>
            <w:tcW w:w="2500" w:type="dxa"/>
            <w:tcBorders>
              <w:top w:val="nil"/>
              <w:left w:val="nil"/>
              <w:bottom w:val="nil"/>
              <w:right w:val="nil"/>
            </w:tcBorders>
            <w:vAlign w:val="center"/>
            <w:hideMark/>
          </w:tcPr>
          <w:p w14:paraId="68441639"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White British. FSM.</w:t>
            </w:r>
          </w:p>
        </w:tc>
        <w:tc>
          <w:tcPr>
            <w:tcW w:w="1380" w:type="dxa"/>
            <w:tcBorders>
              <w:top w:val="nil"/>
              <w:left w:val="nil"/>
              <w:bottom w:val="nil"/>
              <w:right w:val="nil"/>
            </w:tcBorders>
            <w:noWrap/>
            <w:vAlign w:val="bottom"/>
            <w:hideMark/>
          </w:tcPr>
          <w:p w14:paraId="17157A73"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19333</w:t>
            </w:r>
          </w:p>
        </w:tc>
        <w:tc>
          <w:tcPr>
            <w:tcW w:w="960" w:type="dxa"/>
            <w:tcBorders>
              <w:top w:val="nil"/>
              <w:left w:val="nil"/>
              <w:bottom w:val="nil"/>
              <w:right w:val="nil"/>
            </w:tcBorders>
            <w:noWrap/>
            <w:vAlign w:val="bottom"/>
            <w:hideMark/>
          </w:tcPr>
          <w:p w14:paraId="2E075D47"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11361</w:t>
            </w:r>
          </w:p>
        </w:tc>
        <w:tc>
          <w:tcPr>
            <w:tcW w:w="960" w:type="dxa"/>
            <w:tcBorders>
              <w:top w:val="nil"/>
              <w:left w:val="nil"/>
              <w:bottom w:val="nil"/>
              <w:right w:val="nil"/>
            </w:tcBorders>
            <w:noWrap/>
            <w:vAlign w:val="bottom"/>
            <w:hideMark/>
          </w:tcPr>
          <w:p w14:paraId="6B923BEA"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10588</w:t>
            </w:r>
          </w:p>
        </w:tc>
        <w:tc>
          <w:tcPr>
            <w:tcW w:w="960" w:type="dxa"/>
            <w:tcBorders>
              <w:top w:val="nil"/>
              <w:left w:val="nil"/>
              <w:bottom w:val="nil"/>
              <w:right w:val="nil"/>
            </w:tcBorders>
            <w:noWrap/>
            <w:vAlign w:val="bottom"/>
            <w:hideMark/>
          </w:tcPr>
          <w:p w14:paraId="64117904"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5863</w:t>
            </w:r>
          </w:p>
        </w:tc>
      </w:tr>
      <w:tr w:rsidR="001B2C67" w:rsidRPr="001B2C67" w14:paraId="0C244360" w14:textId="77777777" w:rsidTr="001B2C67">
        <w:trPr>
          <w:trHeight w:val="288"/>
          <w:jc w:val="center"/>
        </w:trPr>
        <w:tc>
          <w:tcPr>
            <w:tcW w:w="2500" w:type="dxa"/>
            <w:tcBorders>
              <w:top w:val="nil"/>
              <w:left w:val="nil"/>
              <w:bottom w:val="nil"/>
              <w:right w:val="nil"/>
            </w:tcBorders>
            <w:vAlign w:val="center"/>
            <w:hideMark/>
          </w:tcPr>
          <w:p w14:paraId="2F1F3FA4"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White British. Not FSM.</w:t>
            </w:r>
          </w:p>
        </w:tc>
        <w:tc>
          <w:tcPr>
            <w:tcW w:w="1380" w:type="dxa"/>
            <w:tcBorders>
              <w:top w:val="nil"/>
              <w:left w:val="nil"/>
              <w:bottom w:val="nil"/>
              <w:right w:val="nil"/>
            </w:tcBorders>
            <w:noWrap/>
            <w:vAlign w:val="bottom"/>
            <w:hideMark/>
          </w:tcPr>
          <w:p w14:paraId="5CD94314"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46618</w:t>
            </w:r>
          </w:p>
        </w:tc>
        <w:tc>
          <w:tcPr>
            <w:tcW w:w="960" w:type="dxa"/>
            <w:tcBorders>
              <w:top w:val="nil"/>
              <w:left w:val="nil"/>
              <w:bottom w:val="nil"/>
              <w:right w:val="nil"/>
            </w:tcBorders>
            <w:noWrap/>
            <w:vAlign w:val="bottom"/>
            <w:hideMark/>
          </w:tcPr>
          <w:p w14:paraId="15EF4191"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31325</w:t>
            </w:r>
          </w:p>
        </w:tc>
        <w:tc>
          <w:tcPr>
            <w:tcW w:w="960" w:type="dxa"/>
            <w:tcBorders>
              <w:top w:val="nil"/>
              <w:left w:val="nil"/>
              <w:bottom w:val="nil"/>
              <w:right w:val="nil"/>
            </w:tcBorders>
            <w:noWrap/>
            <w:vAlign w:val="bottom"/>
            <w:hideMark/>
          </w:tcPr>
          <w:p w14:paraId="16B30F5A"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29459</w:t>
            </w:r>
          </w:p>
        </w:tc>
        <w:tc>
          <w:tcPr>
            <w:tcW w:w="960" w:type="dxa"/>
            <w:tcBorders>
              <w:top w:val="nil"/>
              <w:left w:val="nil"/>
              <w:bottom w:val="nil"/>
              <w:right w:val="nil"/>
            </w:tcBorders>
            <w:noWrap/>
            <w:vAlign w:val="bottom"/>
            <w:hideMark/>
          </w:tcPr>
          <w:p w14:paraId="6E60A198"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13084</w:t>
            </w:r>
          </w:p>
        </w:tc>
      </w:tr>
      <w:tr w:rsidR="001B2C67" w:rsidRPr="001B2C67" w14:paraId="7C553788" w14:textId="77777777" w:rsidTr="001B2C67">
        <w:trPr>
          <w:trHeight w:val="288"/>
          <w:jc w:val="center"/>
        </w:trPr>
        <w:tc>
          <w:tcPr>
            <w:tcW w:w="2500" w:type="dxa"/>
            <w:tcBorders>
              <w:top w:val="nil"/>
              <w:left w:val="nil"/>
              <w:bottom w:val="nil"/>
              <w:right w:val="nil"/>
            </w:tcBorders>
            <w:vAlign w:val="center"/>
            <w:hideMark/>
          </w:tcPr>
          <w:p w14:paraId="663976CA"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White Other. FSM.</w:t>
            </w:r>
          </w:p>
        </w:tc>
        <w:tc>
          <w:tcPr>
            <w:tcW w:w="1380" w:type="dxa"/>
            <w:tcBorders>
              <w:top w:val="nil"/>
              <w:left w:val="nil"/>
              <w:bottom w:val="nil"/>
              <w:right w:val="nil"/>
            </w:tcBorders>
            <w:noWrap/>
            <w:vAlign w:val="bottom"/>
            <w:hideMark/>
          </w:tcPr>
          <w:p w14:paraId="458F1712"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1151</w:t>
            </w:r>
          </w:p>
        </w:tc>
        <w:tc>
          <w:tcPr>
            <w:tcW w:w="960" w:type="dxa"/>
            <w:tcBorders>
              <w:top w:val="nil"/>
              <w:left w:val="nil"/>
              <w:bottom w:val="nil"/>
              <w:right w:val="nil"/>
            </w:tcBorders>
            <w:noWrap/>
            <w:vAlign w:val="bottom"/>
            <w:hideMark/>
          </w:tcPr>
          <w:p w14:paraId="1D74F8C4"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691</w:t>
            </w:r>
          </w:p>
        </w:tc>
        <w:tc>
          <w:tcPr>
            <w:tcW w:w="960" w:type="dxa"/>
            <w:tcBorders>
              <w:top w:val="nil"/>
              <w:left w:val="nil"/>
              <w:bottom w:val="nil"/>
              <w:right w:val="nil"/>
            </w:tcBorders>
            <w:noWrap/>
            <w:vAlign w:val="bottom"/>
            <w:hideMark/>
          </w:tcPr>
          <w:p w14:paraId="2B7827E8"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653</w:t>
            </w:r>
          </w:p>
        </w:tc>
        <w:tc>
          <w:tcPr>
            <w:tcW w:w="960" w:type="dxa"/>
            <w:tcBorders>
              <w:top w:val="nil"/>
              <w:left w:val="nil"/>
              <w:bottom w:val="nil"/>
              <w:right w:val="nil"/>
            </w:tcBorders>
            <w:noWrap/>
            <w:vAlign w:val="bottom"/>
            <w:hideMark/>
          </w:tcPr>
          <w:p w14:paraId="3B9FCBAB"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276</w:t>
            </w:r>
          </w:p>
        </w:tc>
      </w:tr>
      <w:tr w:rsidR="001B2C67" w:rsidRPr="001B2C67" w14:paraId="03E4C6CD" w14:textId="77777777" w:rsidTr="001B2C67">
        <w:trPr>
          <w:trHeight w:val="288"/>
          <w:jc w:val="center"/>
        </w:trPr>
        <w:tc>
          <w:tcPr>
            <w:tcW w:w="2500" w:type="dxa"/>
            <w:tcBorders>
              <w:top w:val="nil"/>
              <w:left w:val="nil"/>
              <w:bottom w:val="single" w:sz="4" w:space="0" w:color="auto"/>
              <w:right w:val="nil"/>
            </w:tcBorders>
            <w:vAlign w:val="center"/>
            <w:hideMark/>
          </w:tcPr>
          <w:p w14:paraId="6C40697E" w14:textId="77777777" w:rsidR="001B2C67" w:rsidRPr="001B2C67" w:rsidRDefault="001B2C67" w:rsidP="001B2C67">
            <w:pPr>
              <w:spacing w:after="0" w:line="240" w:lineRule="auto"/>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White Other. Not FSM.</w:t>
            </w:r>
          </w:p>
        </w:tc>
        <w:tc>
          <w:tcPr>
            <w:tcW w:w="1380" w:type="dxa"/>
            <w:tcBorders>
              <w:top w:val="nil"/>
              <w:left w:val="nil"/>
              <w:bottom w:val="single" w:sz="4" w:space="0" w:color="auto"/>
              <w:right w:val="nil"/>
            </w:tcBorders>
            <w:noWrap/>
            <w:vAlign w:val="bottom"/>
            <w:hideMark/>
          </w:tcPr>
          <w:p w14:paraId="7E1C082C"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4006</w:t>
            </w:r>
          </w:p>
        </w:tc>
        <w:tc>
          <w:tcPr>
            <w:tcW w:w="960" w:type="dxa"/>
            <w:tcBorders>
              <w:top w:val="nil"/>
              <w:left w:val="nil"/>
              <w:bottom w:val="single" w:sz="4" w:space="0" w:color="auto"/>
              <w:right w:val="nil"/>
            </w:tcBorders>
            <w:noWrap/>
            <w:vAlign w:val="bottom"/>
            <w:hideMark/>
          </w:tcPr>
          <w:p w14:paraId="14727480"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2823</w:t>
            </w:r>
          </w:p>
        </w:tc>
        <w:tc>
          <w:tcPr>
            <w:tcW w:w="960" w:type="dxa"/>
            <w:tcBorders>
              <w:top w:val="nil"/>
              <w:left w:val="nil"/>
              <w:bottom w:val="single" w:sz="4" w:space="0" w:color="auto"/>
              <w:right w:val="nil"/>
            </w:tcBorders>
            <w:noWrap/>
            <w:vAlign w:val="bottom"/>
            <w:hideMark/>
          </w:tcPr>
          <w:p w14:paraId="05EC175D"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2594</w:t>
            </w:r>
          </w:p>
        </w:tc>
        <w:tc>
          <w:tcPr>
            <w:tcW w:w="960" w:type="dxa"/>
            <w:tcBorders>
              <w:top w:val="nil"/>
              <w:left w:val="nil"/>
              <w:bottom w:val="single" w:sz="4" w:space="0" w:color="auto"/>
              <w:right w:val="nil"/>
            </w:tcBorders>
            <w:noWrap/>
            <w:vAlign w:val="bottom"/>
            <w:hideMark/>
          </w:tcPr>
          <w:p w14:paraId="4D48FB7D" w14:textId="77777777" w:rsidR="001B2C67" w:rsidRPr="001B2C67" w:rsidRDefault="001B2C67" w:rsidP="001B2C67">
            <w:pPr>
              <w:spacing w:after="0" w:line="240" w:lineRule="auto"/>
              <w:jc w:val="center"/>
              <w:rPr>
                <w:rFonts w:ascii="Aptos Narrow" w:eastAsia="Times New Roman" w:hAnsi="Aptos Narrow" w:cs="Times New Roman"/>
                <w:color w:val="000000"/>
                <w:kern w:val="0"/>
                <w:sz w:val="22"/>
                <w:szCs w:val="22"/>
                <w:lang w:eastAsia="en-GB"/>
                <w14:ligatures w14:val="none"/>
              </w:rPr>
            </w:pPr>
            <w:r w:rsidRPr="001B2C67">
              <w:rPr>
                <w:rFonts w:ascii="Aptos Narrow" w:eastAsia="Times New Roman" w:hAnsi="Aptos Narrow" w:cs="Times New Roman"/>
                <w:color w:val="000000"/>
                <w:kern w:val="0"/>
                <w:sz w:val="22"/>
                <w:szCs w:val="22"/>
                <w:lang w:eastAsia="en-GB"/>
                <w14:ligatures w14:val="none"/>
              </w:rPr>
              <w:t>739</w:t>
            </w:r>
          </w:p>
        </w:tc>
      </w:tr>
    </w:tbl>
    <w:p w14:paraId="467A9973" w14:textId="1507B7DB" w:rsidR="004E4AD1" w:rsidRPr="00911555" w:rsidRDefault="00EE1743" w:rsidP="00911555">
      <w:pPr>
        <w:spacing w:after="0" w:line="240" w:lineRule="auto"/>
        <w:jc w:val="both"/>
        <w:rPr>
          <w:sz w:val="20"/>
          <w:szCs w:val="20"/>
        </w:rPr>
        <w:sectPr w:rsidR="004E4AD1" w:rsidRPr="00911555" w:rsidSect="005A6139">
          <w:pgSz w:w="11906" w:h="16838"/>
          <w:pgMar w:top="1440" w:right="1440" w:bottom="1440" w:left="1440" w:header="708" w:footer="708" w:gutter="0"/>
          <w:cols w:space="708"/>
          <w:docGrid w:linePitch="360"/>
        </w:sectPr>
      </w:pPr>
      <w:r w:rsidRPr="00911555">
        <w:rPr>
          <w:sz w:val="20"/>
          <w:szCs w:val="20"/>
        </w:rPr>
        <w:t xml:space="preserve">Notes: </w:t>
      </w:r>
      <w:r w:rsidR="00624909" w:rsidRPr="00911555">
        <w:rPr>
          <w:sz w:val="20"/>
          <w:szCs w:val="20"/>
        </w:rPr>
        <w:t xml:space="preserve"> Figures refer to number of respondents. Figures within rows are not mutually exclusive (e.g. some of the pupils that responded in Wave 1 will have also responded in Wave 2 or Wave 3). See Appendix B for further details</w:t>
      </w:r>
      <w:r w:rsidR="00911555" w:rsidRPr="00911555">
        <w:rPr>
          <w:sz w:val="20"/>
          <w:szCs w:val="20"/>
        </w:rPr>
        <w:t>.</w:t>
      </w:r>
    </w:p>
    <w:p w14:paraId="258B884D" w14:textId="7C6528BC" w:rsidR="005D6901" w:rsidRDefault="005D6901" w:rsidP="0097774C">
      <w:pPr>
        <w:spacing w:after="0"/>
        <w:jc w:val="center"/>
        <w:rPr>
          <w:b/>
          <w:bCs/>
        </w:rPr>
      </w:pPr>
      <w:r w:rsidRPr="00541165">
        <w:rPr>
          <w:b/>
          <w:bCs/>
        </w:rPr>
        <w:lastRenderedPageBreak/>
        <w:t xml:space="preserve">Table </w:t>
      </w:r>
      <w:r w:rsidR="00A27C49">
        <w:rPr>
          <w:b/>
          <w:bCs/>
        </w:rPr>
        <w:t>2</w:t>
      </w:r>
      <w:r w:rsidRPr="00541165">
        <w:rPr>
          <w:b/>
          <w:bCs/>
        </w:rPr>
        <w:t xml:space="preserve">. </w:t>
      </w:r>
      <w:r>
        <w:rPr>
          <w:b/>
          <w:bCs/>
        </w:rPr>
        <w:t xml:space="preserve">The </w:t>
      </w:r>
      <w:r w:rsidRPr="00895E9C">
        <w:rPr>
          <w:b/>
          <w:bCs/>
          <w:u w:val="single"/>
        </w:rPr>
        <w:t xml:space="preserve">cognitive </w:t>
      </w:r>
      <w:r>
        <w:rPr>
          <w:b/>
          <w:bCs/>
        </w:rPr>
        <w:t>engagement of</w:t>
      </w:r>
      <w:r w:rsidRPr="00541165">
        <w:rPr>
          <w:b/>
          <w:bCs/>
        </w:rPr>
        <w:t xml:space="preserve"> White</w:t>
      </w:r>
      <w:r>
        <w:rPr>
          <w:b/>
          <w:bCs/>
        </w:rPr>
        <w:t xml:space="preserve"> </w:t>
      </w:r>
      <w:r w:rsidRPr="00541165">
        <w:rPr>
          <w:b/>
          <w:bCs/>
        </w:rPr>
        <w:t xml:space="preserve">Working-Class secondary pupils in comparison to other </w:t>
      </w:r>
      <w:r>
        <w:rPr>
          <w:b/>
          <w:bCs/>
        </w:rPr>
        <w:t>ethnic and socio-economic groups</w:t>
      </w:r>
    </w:p>
    <w:p w14:paraId="027D16BE" w14:textId="0CEBD5F3" w:rsidR="005D6901" w:rsidRDefault="005D6901" w:rsidP="0097774C">
      <w:pPr>
        <w:pStyle w:val="ListParagraph"/>
        <w:numPr>
          <w:ilvl w:val="0"/>
          <w:numId w:val="5"/>
        </w:numPr>
        <w:spacing w:after="0"/>
        <w:jc w:val="center"/>
      </w:pPr>
      <w:r>
        <w:t>Ethnicity-by-SES</w:t>
      </w:r>
    </w:p>
    <w:tbl>
      <w:tblPr>
        <w:tblW w:w="5000" w:type="pct"/>
        <w:jc w:val="center"/>
        <w:tblLook w:val="04A0" w:firstRow="1" w:lastRow="0" w:firstColumn="1" w:lastColumn="0" w:noHBand="0" w:noVBand="1"/>
      </w:tblPr>
      <w:tblGrid>
        <w:gridCol w:w="2450"/>
        <w:gridCol w:w="1287"/>
        <w:gridCol w:w="1590"/>
        <w:gridCol w:w="1808"/>
        <w:gridCol w:w="1891"/>
      </w:tblGrid>
      <w:tr w:rsidR="00BC7D8B" w:rsidRPr="00BC7D8B" w14:paraId="081F4CE0" w14:textId="77777777" w:rsidTr="00BC7D8B">
        <w:trPr>
          <w:trHeight w:val="580"/>
          <w:jc w:val="center"/>
        </w:trPr>
        <w:tc>
          <w:tcPr>
            <w:tcW w:w="1185" w:type="pct"/>
            <w:tcBorders>
              <w:top w:val="single" w:sz="4" w:space="0" w:color="auto"/>
              <w:left w:val="nil"/>
              <w:bottom w:val="single" w:sz="4" w:space="0" w:color="auto"/>
              <w:right w:val="nil"/>
            </w:tcBorders>
            <w:shd w:val="clear" w:color="000000" w:fill="A6C9EC"/>
            <w:noWrap/>
            <w:vAlign w:val="bottom"/>
            <w:hideMark/>
          </w:tcPr>
          <w:p w14:paraId="67A6D7A7" w14:textId="77777777" w:rsidR="00BC7D8B" w:rsidRPr="00BC7D8B" w:rsidRDefault="00BC7D8B" w:rsidP="00BC7D8B">
            <w:pPr>
              <w:spacing w:after="0" w:line="240" w:lineRule="auto"/>
              <w:rPr>
                <w:rFonts w:ascii="Calibri" w:eastAsia="Times New Roman" w:hAnsi="Calibri" w:cs="Calibri"/>
                <w:b/>
                <w:bCs/>
                <w:kern w:val="0"/>
                <w:sz w:val="22"/>
                <w:szCs w:val="22"/>
                <w:lang w:eastAsia="en-GB"/>
                <w14:ligatures w14:val="none"/>
              </w:rPr>
            </w:pPr>
            <w:r w:rsidRPr="00BC7D8B">
              <w:rPr>
                <w:rFonts w:ascii="Calibri" w:eastAsia="Times New Roman" w:hAnsi="Calibri" w:cs="Calibri"/>
                <w:b/>
                <w:bCs/>
                <w:kern w:val="0"/>
                <w:sz w:val="22"/>
                <w:szCs w:val="22"/>
                <w:lang w:eastAsia="en-GB"/>
                <w14:ligatures w14:val="none"/>
              </w:rPr>
              <w:t>Group</w:t>
            </w:r>
          </w:p>
        </w:tc>
        <w:tc>
          <w:tcPr>
            <w:tcW w:w="756" w:type="pct"/>
            <w:tcBorders>
              <w:top w:val="single" w:sz="4" w:space="0" w:color="auto"/>
              <w:left w:val="nil"/>
              <w:bottom w:val="single" w:sz="4" w:space="0" w:color="auto"/>
              <w:right w:val="nil"/>
            </w:tcBorders>
            <w:shd w:val="clear" w:color="000000" w:fill="A6C9EC"/>
            <w:vAlign w:val="bottom"/>
            <w:hideMark/>
          </w:tcPr>
          <w:p w14:paraId="06AC198F" w14:textId="77777777" w:rsidR="00BC7D8B" w:rsidRPr="00BC7D8B" w:rsidRDefault="00BC7D8B" w:rsidP="00BC7D8B">
            <w:pPr>
              <w:spacing w:after="0" w:line="240" w:lineRule="auto"/>
              <w:jc w:val="center"/>
              <w:rPr>
                <w:rFonts w:ascii="Calibri" w:eastAsia="Times New Roman" w:hAnsi="Calibri" w:cs="Calibri"/>
                <w:b/>
                <w:bCs/>
                <w:kern w:val="0"/>
                <w:sz w:val="22"/>
                <w:szCs w:val="22"/>
                <w:lang w:eastAsia="en-GB"/>
                <w14:ligatures w14:val="none"/>
              </w:rPr>
            </w:pPr>
            <w:r w:rsidRPr="00BC7D8B">
              <w:rPr>
                <w:rFonts w:ascii="Calibri" w:eastAsia="Times New Roman" w:hAnsi="Calibri" w:cs="Calibri"/>
                <w:b/>
                <w:bCs/>
                <w:kern w:val="0"/>
                <w:sz w:val="22"/>
                <w:szCs w:val="22"/>
                <w:lang w:eastAsia="en-GB"/>
                <w14:ligatures w14:val="none"/>
              </w:rPr>
              <w:t>Agency</w:t>
            </w:r>
          </w:p>
        </w:tc>
        <w:tc>
          <w:tcPr>
            <w:tcW w:w="924" w:type="pct"/>
            <w:tcBorders>
              <w:top w:val="single" w:sz="4" w:space="0" w:color="auto"/>
              <w:left w:val="nil"/>
              <w:bottom w:val="single" w:sz="4" w:space="0" w:color="auto"/>
              <w:right w:val="nil"/>
            </w:tcBorders>
            <w:shd w:val="clear" w:color="000000" w:fill="A6C9EC"/>
            <w:vAlign w:val="bottom"/>
            <w:hideMark/>
          </w:tcPr>
          <w:p w14:paraId="135D280B" w14:textId="77777777" w:rsidR="00BC7D8B" w:rsidRPr="00BC7D8B" w:rsidRDefault="00BC7D8B" w:rsidP="00BC7D8B">
            <w:pPr>
              <w:spacing w:after="0" w:line="240" w:lineRule="auto"/>
              <w:jc w:val="center"/>
              <w:rPr>
                <w:rFonts w:ascii="Calibri" w:eastAsia="Times New Roman" w:hAnsi="Calibri" w:cs="Calibri"/>
                <w:b/>
                <w:bCs/>
                <w:kern w:val="0"/>
                <w:sz w:val="22"/>
                <w:szCs w:val="22"/>
                <w:lang w:eastAsia="en-GB"/>
                <w14:ligatures w14:val="none"/>
              </w:rPr>
            </w:pPr>
            <w:r w:rsidRPr="00BC7D8B">
              <w:rPr>
                <w:rFonts w:ascii="Calibri" w:eastAsia="Times New Roman" w:hAnsi="Calibri" w:cs="Calibri"/>
                <w:b/>
                <w:bCs/>
                <w:kern w:val="0"/>
                <w:sz w:val="22"/>
                <w:szCs w:val="22"/>
                <w:lang w:eastAsia="en-GB"/>
                <w14:ligatures w14:val="none"/>
              </w:rPr>
              <w:t>Value of education</w:t>
            </w:r>
          </w:p>
        </w:tc>
        <w:tc>
          <w:tcPr>
            <w:tcW w:w="1045" w:type="pct"/>
            <w:tcBorders>
              <w:top w:val="single" w:sz="4" w:space="0" w:color="auto"/>
              <w:left w:val="nil"/>
              <w:bottom w:val="single" w:sz="4" w:space="0" w:color="auto"/>
              <w:right w:val="nil"/>
            </w:tcBorders>
            <w:shd w:val="clear" w:color="000000" w:fill="A6C9EC"/>
            <w:vAlign w:val="bottom"/>
            <w:hideMark/>
          </w:tcPr>
          <w:p w14:paraId="77D5DE19" w14:textId="77777777" w:rsidR="00BC7D8B" w:rsidRPr="00BC7D8B" w:rsidRDefault="00BC7D8B" w:rsidP="00BC7D8B">
            <w:pPr>
              <w:spacing w:after="0" w:line="240" w:lineRule="auto"/>
              <w:jc w:val="center"/>
              <w:rPr>
                <w:rFonts w:ascii="Calibri" w:eastAsia="Times New Roman" w:hAnsi="Calibri" w:cs="Calibri"/>
                <w:b/>
                <w:bCs/>
                <w:kern w:val="0"/>
                <w:sz w:val="22"/>
                <w:szCs w:val="22"/>
                <w:lang w:eastAsia="en-GB"/>
                <w14:ligatures w14:val="none"/>
              </w:rPr>
            </w:pPr>
            <w:r w:rsidRPr="00BC7D8B">
              <w:rPr>
                <w:rFonts w:ascii="Calibri" w:eastAsia="Times New Roman" w:hAnsi="Calibri" w:cs="Calibri"/>
                <w:b/>
                <w:bCs/>
                <w:kern w:val="0"/>
                <w:sz w:val="22"/>
                <w:szCs w:val="22"/>
                <w:lang w:eastAsia="en-GB"/>
                <w14:ligatures w14:val="none"/>
              </w:rPr>
              <w:t>Interest in lessons</w:t>
            </w:r>
          </w:p>
        </w:tc>
        <w:tc>
          <w:tcPr>
            <w:tcW w:w="1091" w:type="pct"/>
            <w:tcBorders>
              <w:top w:val="single" w:sz="4" w:space="0" w:color="auto"/>
              <w:left w:val="nil"/>
              <w:bottom w:val="single" w:sz="4" w:space="0" w:color="auto"/>
              <w:right w:val="nil"/>
            </w:tcBorders>
            <w:shd w:val="clear" w:color="000000" w:fill="A6C9EC"/>
            <w:vAlign w:val="bottom"/>
            <w:hideMark/>
          </w:tcPr>
          <w:p w14:paraId="62B65672" w14:textId="77777777" w:rsidR="00BC7D8B" w:rsidRPr="00BC7D8B" w:rsidRDefault="00BC7D8B" w:rsidP="00BC7D8B">
            <w:pPr>
              <w:spacing w:after="0" w:line="240" w:lineRule="auto"/>
              <w:jc w:val="center"/>
              <w:rPr>
                <w:rFonts w:ascii="Calibri" w:eastAsia="Times New Roman" w:hAnsi="Calibri" w:cs="Calibri"/>
                <w:b/>
                <w:bCs/>
                <w:kern w:val="0"/>
                <w:sz w:val="22"/>
                <w:szCs w:val="22"/>
                <w:lang w:eastAsia="en-GB"/>
                <w14:ligatures w14:val="none"/>
              </w:rPr>
            </w:pPr>
            <w:r w:rsidRPr="00BC7D8B">
              <w:rPr>
                <w:rFonts w:ascii="Calibri" w:eastAsia="Times New Roman" w:hAnsi="Calibri" w:cs="Calibri"/>
                <w:b/>
                <w:bCs/>
                <w:kern w:val="0"/>
                <w:sz w:val="22"/>
                <w:szCs w:val="22"/>
                <w:lang w:eastAsia="en-GB"/>
                <w14:ligatures w14:val="none"/>
              </w:rPr>
              <w:t>Behaviour</w:t>
            </w:r>
          </w:p>
        </w:tc>
      </w:tr>
      <w:tr w:rsidR="00BC7D8B" w:rsidRPr="00BC7D8B" w14:paraId="7E9D04C5" w14:textId="77777777" w:rsidTr="00BC7D8B">
        <w:trPr>
          <w:trHeight w:val="288"/>
          <w:jc w:val="center"/>
        </w:trPr>
        <w:tc>
          <w:tcPr>
            <w:tcW w:w="1185" w:type="pct"/>
            <w:tcBorders>
              <w:top w:val="nil"/>
              <w:left w:val="nil"/>
              <w:bottom w:val="nil"/>
              <w:right w:val="nil"/>
            </w:tcBorders>
            <w:noWrap/>
            <w:vAlign w:val="bottom"/>
            <w:hideMark/>
          </w:tcPr>
          <w:p w14:paraId="33D4F1B6"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Black. Not FSM.</w:t>
            </w:r>
          </w:p>
        </w:tc>
        <w:tc>
          <w:tcPr>
            <w:tcW w:w="756" w:type="pct"/>
            <w:tcBorders>
              <w:top w:val="nil"/>
              <w:left w:val="nil"/>
              <w:bottom w:val="nil"/>
              <w:right w:val="nil"/>
            </w:tcBorders>
            <w:shd w:val="clear" w:color="000000" w:fill="63BE7B"/>
            <w:noWrap/>
            <w:vAlign w:val="bottom"/>
            <w:hideMark/>
          </w:tcPr>
          <w:p w14:paraId="0B499FC6" w14:textId="52B1BCF3"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8.06</w:t>
            </w:r>
            <w:r w:rsidR="0097774C">
              <w:rPr>
                <w:rFonts w:ascii="Calibri" w:eastAsia="Times New Roman" w:hAnsi="Calibri" w:cs="Calibri"/>
                <w:kern w:val="0"/>
                <w:sz w:val="22"/>
                <w:szCs w:val="22"/>
                <w:lang w:eastAsia="en-GB"/>
                <w14:ligatures w14:val="none"/>
              </w:rPr>
              <w:t>*</w:t>
            </w:r>
          </w:p>
        </w:tc>
        <w:tc>
          <w:tcPr>
            <w:tcW w:w="924" w:type="pct"/>
            <w:tcBorders>
              <w:top w:val="nil"/>
              <w:left w:val="nil"/>
              <w:bottom w:val="nil"/>
              <w:right w:val="nil"/>
            </w:tcBorders>
            <w:shd w:val="clear" w:color="000000" w:fill="69C07C"/>
            <w:noWrap/>
            <w:vAlign w:val="bottom"/>
            <w:hideMark/>
          </w:tcPr>
          <w:p w14:paraId="22831B70" w14:textId="67D2225B"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7.33</w:t>
            </w:r>
            <w:r w:rsidR="0097774C">
              <w:rPr>
                <w:rFonts w:ascii="Calibri" w:eastAsia="Times New Roman" w:hAnsi="Calibri" w:cs="Calibri"/>
                <w:kern w:val="0"/>
                <w:sz w:val="22"/>
                <w:szCs w:val="22"/>
                <w:lang w:eastAsia="en-GB"/>
                <w14:ligatures w14:val="none"/>
              </w:rPr>
              <w:t>*</w:t>
            </w:r>
          </w:p>
        </w:tc>
        <w:tc>
          <w:tcPr>
            <w:tcW w:w="1045" w:type="pct"/>
            <w:tcBorders>
              <w:top w:val="nil"/>
              <w:left w:val="nil"/>
              <w:bottom w:val="nil"/>
              <w:right w:val="nil"/>
            </w:tcBorders>
            <w:shd w:val="clear" w:color="000000" w:fill="C1DA81"/>
            <w:noWrap/>
            <w:vAlign w:val="bottom"/>
            <w:hideMark/>
          </w:tcPr>
          <w:p w14:paraId="1AC06D7C" w14:textId="7CA902BD"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5.23</w:t>
            </w:r>
            <w:r w:rsidR="0097774C">
              <w:rPr>
                <w:rFonts w:ascii="Calibri" w:eastAsia="Times New Roman" w:hAnsi="Calibri" w:cs="Calibri"/>
                <w:kern w:val="0"/>
                <w:sz w:val="22"/>
                <w:szCs w:val="22"/>
                <w:lang w:eastAsia="en-GB"/>
                <w14:ligatures w14:val="none"/>
              </w:rPr>
              <w:t>*</w:t>
            </w:r>
          </w:p>
        </w:tc>
        <w:tc>
          <w:tcPr>
            <w:tcW w:w="1091" w:type="pct"/>
            <w:tcBorders>
              <w:top w:val="nil"/>
              <w:left w:val="nil"/>
              <w:bottom w:val="nil"/>
              <w:right w:val="nil"/>
            </w:tcBorders>
            <w:shd w:val="clear" w:color="000000" w:fill="FDD780"/>
            <w:noWrap/>
            <w:vAlign w:val="bottom"/>
            <w:hideMark/>
          </w:tcPr>
          <w:p w14:paraId="6334E0B2" w14:textId="78144F50"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4.85</w:t>
            </w:r>
            <w:r w:rsidR="0097774C">
              <w:rPr>
                <w:rFonts w:ascii="Calibri" w:eastAsia="Times New Roman" w:hAnsi="Calibri" w:cs="Calibri"/>
                <w:kern w:val="0"/>
                <w:sz w:val="22"/>
                <w:szCs w:val="22"/>
                <w:lang w:eastAsia="en-GB"/>
                <w14:ligatures w14:val="none"/>
              </w:rPr>
              <w:t>*</w:t>
            </w:r>
          </w:p>
        </w:tc>
      </w:tr>
      <w:tr w:rsidR="00BC7D8B" w:rsidRPr="00BC7D8B" w14:paraId="5B7447FB" w14:textId="77777777" w:rsidTr="00BC7D8B">
        <w:trPr>
          <w:trHeight w:val="288"/>
          <w:jc w:val="center"/>
        </w:trPr>
        <w:tc>
          <w:tcPr>
            <w:tcW w:w="1185" w:type="pct"/>
            <w:tcBorders>
              <w:top w:val="nil"/>
              <w:left w:val="nil"/>
              <w:bottom w:val="nil"/>
              <w:right w:val="nil"/>
            </w:tcBorders>
            <w:noWrap/>
            <w:vAlign w:val="bottom"/>
            <w:hideMark/>
          </w:tcPr>
          <w:p w14:paraId="68CD0049"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Asian. Not FSM.</w:t>
            </w:r>
          </w:p>
        </w:tc>
        <w:tc>
          <w:tcPr>
            <w:tcW w:w="756" w:type="pct"/>
            <w:tcBorders>
              <w:top w:val="nil"/>
              <w:left w:val="nil"/>
              <w:bottom w:val="nil"/>
              <w:right w:val="nil"/>
            </w:tcBorders>
            <w:shd w:val="clear" w:color="000000" w:fill="7FC67D"/>
            <w:noWrap/>
            <w:vAlign w:val="bottom"/>
            <w:hideMark/>
          </w:tcPr>
          <w:p w14:paraId="1B90E124" w14:textId="1F6DCF2D"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7.96</w:t>
            </w:r>
            <w:r w:rsidR="0097774C">
              <w:rPr>
                <w:rFonts w:ascii="Calibri" w:eastAsia="Times New Roman" w:hAnsi="Calibri" w:cs="Calibri"/>
                <w:kern w:val="0"/>
                <w:sz w:val="22"/>
                <w:szCs w:val="22"/>
                <w:lang w:eastAsia="en-GB"/>
                <w14:ligatures w14:val="none"/>
              </w:rPr>
              <w:t>*</w:t>
            </w:r>
          </w:p>
        </w:tc>
        <w:tc>
          <w:tcPr>
            <w:tcW w:w="924" w:type="pct"/>
            <w:tcBorders>
              <w:top w:val="nil"/>
              <w:left w:val="nil"/>
              <w:bottom w:val="nil"/>
              <w:right w:val="nil"/>
            </w:tcBorders>
            <w:shd w:val="clear" w:color="000000" w:fill="63BE7B"/>
            <w:noWrap/>
            <w:vAlign w:val="bottom"/>
            <w:hideMark/>
          </w:tcPr>
          <w:p w14:paraId="2019D5C8" w14:textId="518148C9"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7.35</w:t>
            </w:r>
            <w:r w:rsidR="0097774C">
              <w:rPr>
                <w:rFonts w:ascii="Calibri" w:eastAsia="Times New Roman" w:hAnsi="Calibri" w:cs="Calibri"/>
                <w:kern w:val="0"/>
                <w:sz w:val="22"/>
                <w:szCs w:val="22"/>
                <w:lang w:eastAsia="en-GB"/>
                <w14:ligatures w14:val="none"/>
              </w:rPr>
              <w:t>*</w:t>
            </w:r>
          </w:p>
        </w:tc>
        <w:tc>
          <w:tcPr>
            <w:tcW w:w="1045" w:type="pct"/>
            <w:tcBorders>
              <w:top w:val="nil"/>
              <w:left w:val="nil"/>
              <w:bottom w:val="nil"/>
              <w:right w:val="nil"/>
            </w:tcBorders>
            <w:shd w:val="clear" w:color="000000" w:fill="63BE7B"/>
            <w:noWrap/>
            <w:vAlign w:val="bottom"/>
            <w:hideMark/>
          </w:tcPr>
          <w:p w14:paraId="1A2B19DF" w14:textId="3D8A45EA"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5.51</w:t>
            </w:r>
            <w:r w:rsidR="0097774C">
              <w:rPr>
                <w:rFonts w:ascii="Calibri" w:eastAsia="Times New Roman" w:hAnsi="Calibri" w:cs="Calibri"/>
                <w:kern w:val="0"/>
                <w:sz w:val="22"/>
                <w:szCs w:val="22"/>
                <w:lang w:eastAsia="en-GB"/>
                <w14:ligatures w14:val="none"/>
              </w:rPr>
              <w:t>*</w:t>
            </w:r>
          </w:p>
        </w:tc>
        <w:tc>
          <w:tcPr>
            <w:tcW w:w="1091" w:type="pct"/>
            <w:tcBorders>
              <w:top w:val="nil"/>
              <w:left w:val="nil"/>
              <w:bottom w:val="nil"/>
              <w:right w:val="nil"/>
            </w:tcBorders>
            <w:shd w:val="clear" w:color="000000" w:fill="63BE7B"/>
            <w:noWrap/>
            <w:vAlign w:val="bottom"/>
            <w:hideMark/>
          </w:tcPr>
          <w:p w14:paraId="028C4D0B" w14:textId="34B3FD9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5.38</w:t>
            </w:r>
            <w:r w:rsidR="0097774C">
              <w:rPr>
                <w:rFonts w:ascii="Calibri" w:eastAsia="Times New Roman" w:hAnsi="Calibri" w:cs="Calibri"/>
                <w:kern w:val="0"/>
                <w:sz w:val="22"/>
                <w:szCs w:val="22"/>
                <w:lang w:eastAsia="en-GB"/>
                <w14:ligatures w14:val="none"/>
              </w:rPr>
              <w:t>*</w:t>
            </w:r>
          </w:p>
        </w:tc>
      </w:tr>
      <w:tr w:rsidR="00BC7D8B" w:rsidRPr="00BC7D8B" w14:paraId="059796B9" w14:textId="77777777" w:rsidTr="00BC7D8B">
        <w:trPr>
          <w:trHeight w:val="288"/>
          <w:jc w:val="center"/>
        </w:trPr>
        <w:tc>
          <w:tcPr>
            <w:tcW w:w="1185" w:type="pct"/>
            <w:tcBorders>
              <w:top w:val="nil"/>
              <w:left w:val="nil"/>
              <w:bottom w:val="nil"/>
              <w:right w:val="nil"/>
            </w:tcBorders>
            <w:noWrap/>
            <w:vAlign w:val="bottom"/>
            <w:hideMark/>
          </w:tcPr>
          <w:p w14:paraId="16FA4FBD"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South Asian. Not FSM.</w:t>
            </w:r>
          </w:p>
        </w:tc>
        <w:tc>
          <w:tcPr>
            <w:tcW w:w="756" w:type="pct"/>
            <w:tcBorders>
              <w:top w:val="nil"/>
              <w:left w:val="nil"/>
              <w:bottom w:val="nil"/>
              <w:right w:val="nil"/>
            </w:tcBorders>
            <w:shd w:val="clear" w:color="000000" w:fill="A7D27F"/>
            <w:noWrap/>
            <w:vAlign w:val="bottom"/>
            <w:hideMark/>
          </w:tcPr>
          <w:p w14:paraId="1BD1D131" w14:textId="46E6CDB1"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7.81</w:t>
            </w:r>
            <w:r w:rsidR="0097774C">
              <w:rPr>
                <w:rFonts w:ascii="Calibri" w:eastAsia="Times New Roman" w:hAnsi="Calibri" w:cs="Calibri"/>
                <w:kern w:val="0"/>
                <w:sz w:val="22"/>
                <w:szCs w:val="22"/>
                <w:lang w:eastAsia="en-GB"/>
                <w14:ligatures w14:val="none"/>
              </w:rPr>
              <w:t>*</w:t>
            </w:r>
          </w:p>
        </w:tc>
        <w:tc>
          <w:tcPr>
            <w:tcW w:w="924" w:type="pct"/>
            <w:tcBorders>
              <w:top w:val="nil"/>
              <w:left w:val="nil"/>
              <w:bottom w:val="nil"/>
              <w:right w:val="nil"/>
            </w:tcBorders>
            <w:shd w:val="clear" w:color="000000" w:fill="A8D27F"/>
            <w:noWrap/>
            <w:vAlign w:val="bottom"/>
            <w:hideMark/>
          </w:tcPr>
          <w:p w14:paraId="5B52FBDF" w14:textId="52098006"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7.12</w:t>
            </w:r>
            <w:r w:rsidR="0097774C">
              <w:rPr>
                <w:rFonts w:ascii="Calibri" w:eastAsia="Times New Roman" w:hAnsi="Calibri" w:cs="Calibri"/>
                <w:kern w:val="0"/>
                <w:sz w:val="22"/>
                <w:szCs w:val="22"/>
                <w:lang w:eastAsia="en-GB"/>
                <w14:ligatures w14:val="none"/>
              </w:rPr>
              <w:t>*</w:t>
            </w:r>
          </w:p>
        </w:tc>
        <w:tc>
          <w:tcPr>
            <w:tcW w:w="1045" w:type="pct"/>
            <w:tcBorders>
              <w:top w:val="nil"/>
              <w:left w:val="nil"/>
              <w:bottom w:val="nil"/>
              <w:right w:val="nil"/>
            </w:tcBorders>
            <w:shd w:val="clear" w:color="000000" w:fill="C4DA81"/>
            <w:noWrap/>
            <w:vAlign w:val="bottom"/>
            <w:hideMark/>
          </w:tcPr>
          <w:p w14:paraId="19958743" w14:textId="09F600D3"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5.23</w:t>
            </w:r>
            <w:r w:rsidR="0097774C">
              <w:rPr>
                <w:rFonts w:ascii="Calibri" w:eastAsia="Times New Roman" w:hAnsi="Calibri" w:cs="Calibri"/>
                <w:kern w:val="0"/>
                <w:sz w:val="22"/>
                <w:szCs w:val="22"/>
                <w:lang w:eastAsia="en-GB"/>
                <w14:ligatures w14:val="none"/>
              </w:rPr>
              <w:t>*</w:t>
            </w:r>
          </w:p>
        </w:tc>
        <w:tc>
          <w:tcPr>
            <w:tcW w:w="1091" w:type="pct"/>
            <w:tcBorders>
              <w:top w:val="nil"/>
              <w:left w:val="nil"/>
              <w:bottom w:val="nil"/>
              <w:right w:val="nil"/>
            </w:tcBorders>
            <w:shd w:val="clear" w:color="000000" w:fill="92CC7E"/>
            <w:noWrap/>
            <w:vAlign w:val="bottom"/>
            <w:hideMark/>
          </w:tcPr>
          <w:p w14:paraId="1872C260" w14:textId="1EDD8E9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5.23</w:t>
            </w:r>
            <w:r w:rsidR="0097774C">
              <w:rPr>
                <w:rFonts w:ascii="Calibri" w:eastAsia="Times New Roman" w:hAnsi="Calibri" w:cs="Calibri"/>
                <w:kern w:val="0"/>
                <w:sz w:val="22"/>
                <w:szCs w:val="22"/>
                <w:lang w:eastAsia="en-GB"/>
                <w14:ligatures w14:val="none"/>
              </w:rPr>
              <w:t>*</w:t>
            </w:r>
          </w:p>
        </w:tc>
      </w:tr>
      <w:tr w:rsidR="00BC7D8B" w:rsidRPr="00BC7D8B" w14:paraId="718F0E29" w14:textId="77777777" w:rsidTr="00BC7D8B">
        <w:trPr>
          <w:trHeight w:val="288"/>
          <w:jc w:val="center"/>
        </w:trPr>
        <w:tc>
          <w:tcPr>
            <w:tcW w:w="1185" w:type="pct"/>
            <w:tcBorders>
              <w:top w:val="nil"/>
              <w:left w:val="nil"/>
              <w:bottom w:val="nil"/>
              <w:right w:val="nil"/>
            </w:tcBorders>
            <w:noWrap/>
            <w:vAlign w:val="bottom"/>
            <w:hideMark/>
          </w:tcPr>
          <w:p w14:paraId="237DF360"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Black. FSM.</w:t>
            </w:r>
          </w:p>
        </w:tc>
        <w:tc>
          <w:tcPr>
            <w:tcW w:w="756" w:type="pct"/>
            <w:tcBorders>
              <w:top w:val="nil"/>
              <w:left w:val="nil"/>
              <w:bottom w:val="nil"/>
              <w:right w:val="nil"/>
            </w:tcBorders>
            <w:shd w:val="clear" w:color="000000" w:fill="C2DA81"/>
            <w:noWrap/>
            <w:vAlign w:val="bottom"/>
            <w:hideMark/>
          </w:tcPr>
          <w:p w14:paraId="31EE7E3F" w14:textId="53C4FB3A"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7.71</w:t>
            </w:r>
            <w:r w:rsidR="0097774C">
              <w:rPr>
                <w:rFonts w:ascii="Calibri" w:eastAsia="Times New Roman" w:hAnsi="Calibri" w:cs="Calibri"/>
                <w:kern w:val="0"/>
                <w:sz w:val="22"/>
                <w:szCs w:val="22"/>
                <w:lang w:eastAsia="en-GB"/>
                <w14:ligatures w14:val="none"/>
              </w:rPr>
              <w:t>*</w:t>
            </w:r>
          </w:p>
        </w:tc>
        <w:tc>
          <w:tcPr>
            <w:tcW w:w="924" w:type="pct"/>
            <w:tcBorders>
              <w:top w:val="nil"/>
              <w:left w:val="nil"/>
              <w:bottom w:val="nil"/>
              <w:right w:val="nil"/>
            </w:tcBorders>
            <w:shd w:val="clear" w:color="000000" w:fill="D3DF82"/>
            <w:noWrap/>
            <w:vAlign w:val="bottom"/>
            <w:hideMark/>
          </w:tcPr>
          <w:p w14:paraId="256DFE98" w14:textId="129750F5"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6.97</w:t>
            </w:r>
            <w:r w:rsidR="0097774C">
              <w:rPr>
                <w:rFonts w:ascii="Calibri" w:eastAsia="Times New Roman" w:hAnsi="Calibri" w:cs="Calibri"/>
                <w:kern w:val="0"/>
                <w:sz w:val="22"/>
                <w:szCs w:val="22"/>
                <w:lang w:eastAsia="en-GB"/>
                <w14:ligatures w14:val="none"/>
              </w:rPr>
              <w:t>*</w:t>
            </w:r>
          </w:p>
        </w:tc>
        <w:tc>
          <w:tcPr>
            <w:tcW w:w="1045" w:type="pct"/>
            <w:tcBorders>
              <w:top w:val="nil"/>
              <w:left w:val="nil"/>
              <w:bottom w:val="nil"/>
              <w:right w:val="nil"/>
            </w:tcBorders>
            <w:shd w:val="clear" w:color="000000" w:fill="FDEB84"/>
            <w:noWrap/>
            <w:vAlign w:val="bottom"/>
            <w:hideMark/>
          </w:tcPr>
          <w:p w14:paraId="07CCE08B" w14:textId="248B2ACF"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5.06</w:t>
            </w:r>
            <w:r w:rsidR="0097774C">
              <w:rPr>
                <w:rFonts w:ascii="Calibri" w:eastAsia="Times New Roman" w:hAnsi="Calibri" w:cs="Calibri"/>
                <w:kern w:val="0"/>
                <w:sz w:val="22"/>
                <w:szCs w:val="22"/>
                <w:lang w:eastAsia="en-GB"/>
                <w14:ligatures w14:val="none"/>
              </w:rPr>
              <w:t>*</w:t>
            </w:r>
          </w:p>
        </w:tc>
        <w:tc>
          <w:tcPr>
            <w:tcW w:w="1091" w:type="pct"/>
            <w:tcBorders>
              <w:top w:val="nil"/>
              <w:left w:val="nil"/>
              <w:bottom w:val="nil"/>
              <w:right w:val="nil"/>
            </w:tcBorders>
            <w:shd w:val="clear" w:color="000000" w:fill="FCBE7B"/>
            <w:noWrap/>
            <w:vAlign w:val="bottom"/>
            <w:hideMark/>
          </w:tcPr>
          <w:p w14:paraId="59CEE75F" w14:textId="619B5375"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4.79</w:t>
            </w:r>
            <w:r w:rsidR="0097774C">
              <w:rPr>
                <w:rFonts w:ascii="Calibri" w:eastAsia="Times New Roman" w:hAnsi="Calibri" w:cs="Calibri"/>
                <w:kern w:val="0"/>
                <w:sz w:val="22"/>
                <w:szCs w:val="22"/>
                <w:lang w:eastAsia="en-GB"/>
                <w14:ligatures w14:val="none"/>
              </w:rPr>
              <w:t>*</w:t>
            </w:r>
          </w:p>
        </w:tc>
      </w:tr>
      <w:tr w:rsidR="00BC7D8B" w:rsidRPr="00BC7D8B" w14:paraId="1F4A62FD" w14:textId="77777777" w:rsidTr="00BC7D8B">
        <w:trPr>
          <w:trHeight w:val="288"/>
          <w:jc w:val="center"/>
        </w:trPr>
        <w:tc>
          <w:tcPr>
            <w:tcW w:w="1185" w:type="pct"/>
            <w:tcBorders>
              <w:top w:val="nil"/>
              <w:left w:val="nil"/>
              <w:bottom w:val="nil"/>
              <w:right w:val="nil"/>
            </w:tcBorders>
            <w:noWrap/>
            <w:vAlign w:val="bottom"/>
            <w:hideMark/>
          </w:tcPr>
          <w:p w14:paraId="181F3541"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Asian. FSM.</w:t>
            </w:r>
          </w:p>
        </w:tc>
        <w:tc>
          <w:tcPr>
            <w:tcW w:w="756" w:type="pct"/>
            <w:tcBorders>
              <w:top w:val="nil"/>
              <w:left w:val="nil"/>
              <w:bottom w:val="nil"/>
              <w:right w:val="nil"/>
            </w:tcBorders>
            <w:shd w:val="clear" w:color="000000" w:fill="F5E884"/>
            <w:noWrap/>
            <w:vAlign w:val="bottom"/>
            <w:hideMark/>
          </w:tcPr>
          <w:p w14:paraId="004AC9EC" w14:textId="6A2976F1"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7.51</w:t>
            </w:r>
            <w:r w:rsidR="0097774C">
              <w:rPr>
                <w:rFonts w:ascii="Calibri" w:eastAsia="Times New Roman" w:hAnsi="Calibri" w:cs="Calibri"/>
                <w:kern w:val="0"/>
                <w:sz w:val="22"/>
                <w:szCs w:val="22"/>
                <w:lang w:eastAsia="en-GB"/>
                <w14:ligatures w14:val="none"/>
              </w:rPr>
              <w:t>*</w:t>
            </w:r>
          </w:p>
        </w:tc>
        <w:tc>
          <w:tcPr>
            <w:tcW w:w="924" w:type="pct"/>
            <w:tcBorders>
              <w:top w:val="nil"/>
              <w:left w:val="nil"/>
              <w:bottom w:val="nil"/>
              <w:right w:val="nil"/>
            </w:tcBorders>
            <w:shd w:val="clear" w:color="000000" w:fill="F2E884"/>
            <w:noWrap/>
            <w:vAlign w:val="bottom"/>
            <w:hideMark/>
          </w:tcPr>
          <w:p w14:paraId="503104E7" w14:textId="2AD04296"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6.87</w:t>
            </w:r>
            <w:r w:rsidR="0097774C">
              <w:rPr>
                <w:rFonts w:ascii="Calibri" w:eastAsia="Times New Roman" w:hAnsi="Calibri" w:cs="Calibri"/>
                <w:kern w:val="0"/>
                <w:sz w:val="22"/>
                <w:szCs w:val="22"/>
                <w:lang w:eastAsia="en-GB"/>
                <w14:ligatures w14:val="none"/>
              </w:rPr>
              <w:t>*</w:t>
            </w:r>
          </w:p>
        </w:tc>
        <w:tc>
          <w:tcPr>
            <w:tcW w:w="1045" w:type="pct"/>
            <w:tcBorders>
              <w:top w:val="nil"/>
              <w:left w:val="nil"/>
              <w:bottom w:val="nil"/>
              <w:right w:val="nil"/>
            </w:tcBorders>
            <w:shd w:val="clear" w:color="000000" w:fill="FEDA80"/>
            <w:noWrap/>
            <w:vAlign w:val="bottom"/>
            <w:hideMark/>
          </w:tcPr>
          <w:p w14:paraId="0395E52B" w14:textId="1C2A79B1"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4.99</w:t>
            </w:r>
            <w:r w:rsidR="0097774C">
              <w:rPr>
                <w:rFonts w:ascii="Calibri" w:eastAsia="Times New Roman" w:hAnsi="Calibri" w:cs="Calibri"/>
                <w:kern w:val="0"/>
                <w:sz w:val="22"/>
                <w:szCs w:val="22"/>
                <w:lang w:eastAsia="en-GB"/>
                <w14:ligatures w14:val="none"/>
              </w:rPr>
              <w:t>*</w:t>
            </w:r>
          </w:p>
        </w:tc>
        <w:tc>
          <w:tcPr>
            <w:tcW w:w="1091" w:type="pct"/>
            <w:tcBorders>
              <w:top w:val="nil"/>
              <w:left w:val="nil"/>
              <w:bottom w:val="nil"/>
              <w:right w:val="nil"/>
            </w:tcBorders>
            <w:shd w:val="clear" w:color="000000" w:fill="F1E784"/>
            <w:noWrap/>
            <w:vAlign w:val="bottom"/>
            <w:hideMark/>
          </w:tcPr>
          <w:p w14:paraId="28855CEB"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4.94</w:t>
            </w:r>
          </w:p>
        </w:tc>
      </w:tr>
      <w:tr w:rsidR="00BC7D8B" w:rsidRPr="00BC7D8B" w14:paraId="0E846C76" w14:textId="77777777" w:rsidTr="00BC7D8B">
        <w:trPr>
          <w:trHeight w:val="288"/>
          <w:jc w:val="center"/>
        </w:trPr>
        <w:tc>
          <w:tcPr>
            <w:tcW w:w="1185" w:type="pct"/>
            <w:tcBorders>
              <w:top w:val="nil"/>
              <w:left w:val="nil"/>
              <w:bottom w:val="nil"/>
              <w:right w:val="nil"/>
            </w:tcBorders>
            <w:noWrap/>
            <w:vAlign w:val="bottom"/>
            <w:hideMark/>
          </w:tcPr>
          <w:p w14:paraId="03C43F8F"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Mixed race. Not FSM.</w:t>
            </w:r>
          </w:p>
        </w:tc>
        <w:tc>
          <w:tcPr>
            <w:tcW w:w="756" w:type="pct"/>
            <w:tcBorders>
              <w:top w:val="nil"/>
              <w:left w:val="nil"/>
              <w:bottom w:val="nil"/>
              <w:right w:val="nil"/>
            </w:tcBorders>
            <w:shd w:val="clear" w:color="000000" w:fill="F9EA84"/>
            <w:noWrap/>
            <w:vAlign w:val="bottom"/>
            <w:hideMark/>
          </w:tcPr>
          <w:p w14:paraId="1AC6F48B" w14:textId="1727BA79"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7.50</w:t>
            </w:r>
            <w:r w:rsidR="0097774C">
              <w:rPr>
                <w:rFonts w:ascii="Calibri" w:eastAsia="Times New Roman" w:hAnsi="Calibri" w:cs="Calibri"/>
                <w:kern w:val="0"/>
                <w:sz w:val="22"/>
                <w:szCs w:val="22"/>
                <w:lang w:eastAsia="en-GB"/>
                <w14:ligatures w14:val="none"/>
              </w:rPr>
              <w:t>*</w:t>
            </w:r>
          </w:p>
        </w:tc>
        <w:tc>
          <w:tcPr>
            <w:tcW w:w="924" w:type="pct"/>
            <w:tcBorders>
              <w:top w:val="nil"/>
              <w:left w:val="nil"/>
              <w:bottom w:val="nil"/>
              <w:right w:val="nil"/>
            </w:tcBorders>
            <w:shd w:val="clear" w:color="000000" w:fill="E9E583"/>
            <w:noWrap/>
            <w:vAlign w:val="bottom"/>
            <w:hideMark/>
          </w:tcPr>
          <w:p w14:paraId="5DA036AF" w14:textId="0BE6A839"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6.90</w:t>
            </w:r>
            <w:r w:rsidR="0097774C">
              <w:rPr>
                <w:rFonts w:ascii="Calibri" w:eastAsia="Times New Roman" w:hAnsi="Calibri" w:cs="Calibri"/>
                <w:kern w:val="0"/>
                <w:sz w:val="22"/>
                <w:szCs w:val="22"/>
                <w:lang w:eastAsia="en-GB"/>
                <w14:ligatures w14:val="none"/>
              </w:rPr>
              <w:t>*</w:t>
            </w:r>
          </w:p>
        </w:tc>
        <w:tc>
          <w:tcPr>
            <w:tcW w:w="1045" w:type="pct"/>
            <w:tcBorders>
              <w:top w:val="nil"/>
              <w:left w:val="nil"/>
              <w:bottom w:val="nil"/>
              <w:right w:val="nil"/>
            </w:tcBorders>
            <w:shd w:val="clear" w:color="000000" w:fill="DDE283"/>
            <w:noWrap/>
            <w:vAlign w:val="bottom"/>
            <w:hideMark/>
          </w:tcPr>
          <w:p w14:paraId="665ECEA2" w14:textId="2E3E03F4"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5.15</w:t>
            </w:r>
            <w:r w:rsidR="0097774C">
              <w:rPr>
                <w:rFonts w:ascii="Calibri" w:eastAsia="Times New Roman" w:hAnsi="Calibri" w:cs="Calibri"/>
                <w:kern w:val="0"/>
                <w:sz w:val="22"/>
                <w:szCs w:val="22"/>
                <w:lang w:eastAsia="en-GB"/>
                <w14:ligatures w14:val="none"/>
              </w:rPr>
              <w:t>*</w:t>
            </w:r>
          </w:p>
        </w:tc>
        <w:tc>
          <w:tcPr>
            <w:tcW w:w="1091" w:type="pct"/>
            <w:tcBorders>
              <w:top w:val="nil"/>
              <w:left w:val="nil"/>
              <w:bottom w:val="nil"/>
              <w:right w:val="nil"/>
            </w:tcBorders>
            <w:shd w:val="clear" w:color="000000" w:fill="A3D17F"/>
            <w:noWrap/>
            <w:vAlign w:val="bottom"/>
            <w:hideMark/>
          </w:tcPr>
          <w:p w14:paraId="5E2A0EBE" w14:textId="3989414F"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5.18</w:t>
            </w:r>
            <w:r w:rsidR="0097774C">
              <w:rPr>
                <w:rFonts w:ascii="Calibri" w:eastAsia="Times New Roman" w:hAnsi="Calibri" w:cs="Calibri"/>
                <w:kern w:val="0"/>
                <w:sz w:val="22"/>
                <w:szCs w:val="22"/>
                <w:lang w:eastAsia="en-GB"/>
                <w14:ligatures w14:val="none"/>
              </w:rPr>
              <w:t>*</w:t>
            </w:r>
          </w:p>
        </w:tc>
      </w:tr>
      <w:tr w:rsidR="00BC7D8B" w:rsidRPr="00BC7D8B" w14:paraId="56ACBD1C" w14:textId="77777777" w:rsidTr="00BC7D8B">
        <w:trPr>
          <w:trHeight w:val="288"/>
          <w:jc w:val="center"/>
        </w:trPr>
        <w:tc>
          <w:tcPr>
            <w:tcW w:w="1185" w:type="pct"/>
            <w:tcBorders>
              <w:top w:val="nil"/>
              <w:left w:val="nil"/>
              <w:bottom w:val="nil"/>
              <w:right w:val="nil"/>
            </w:tcBorders>
            <w:noWrap/>
            <w:vAlign w:val="bottom"/>
            <w:hideMark/>
          </w:tcPr>
          <w:p w14:paraId="0941B1C1"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South Asian. FSM.</w:t>
            </w:r>
          </w:p>
        </w:tc>
        <w:tc>
          <w:tcPr>
            <w:tcW w:w="756" w:type="pct"/>
            <w:tcBorders>
              <w:top w:val="nil"/>
              <w:left w:val="nil"/>
              <w:bottom w:val="nil"/>
              <w:right w:val="nil"/>
            </w:tcBorders>
            <w:shd w:val="clear" w:color="000000" w:fill="FEE683"/>
            <w:noWrap/>
            <w:vAlign w:val="bottom"/>
            <w:hideMark/>
          </w:tcPr>
          <w:p w14:paraId="384CE625" w14:textId="01EA5E13"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7.45</w:t>
            </w:r>
            <w:r w:rsidR="0097774C">
              <w:rPr>
                <w:rFonts w:ascii="Calibri" w:eastAsia="Times New Roman" w:hAnsi="Calibri" w:cs="Calibri"/>
                <w:kern w:val="0"/>
                <w:sz w:val="22"/>
                <w:szCs w:val="22"/>
                <w:lang w:eastAsia="en-GB"/>
                <w14:ligatures w14:val="none"/>
              </w:rPr>
              <w:t>*</w:t>
            </w:r>
          </w:p>
        </w:tc>
        <w:tc>
          <w:tcPr>
            <w:tcW w:w="924" w:type="pct"/>
            <w:tcBorders>
              <w:top w:val="nil"/>
              <w:left w:val="nil"/>
              <w:bottom w:val="nil"/>
              <w:right w:val="nil"/>
            </w:tcBorders>
            <w:shd w:val="clear" w:color="000000" w:fill="FEDE81"/>
            <w:noWrap/>
            <w:vAlign w:val="bottom"/>
            <w:hideMark/>
          </w:tcPr>
          <w:p w14:paraId="7925F9A5" w14:textId="3EDBA8C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6.77</w:t>
            </w:r>
            <w:r w:rsidR="0097774C">
              <w:rPr>
                <w:rFonts w:ascii="Calibri" w:eastAsia="Times New Roman" w:hAnsi="Calibri" w:cs="Calibri"/>
                <w:kern w:val="0"/>
                <w:sz w:val="22"/>
                <w:szCs w:val="22"/>
                <w:lang w:eastAsia="en-GB"/>
                <w14:ligatures w14:val="none"/>
              </w:rPr>
              <w:t>*</w:t>
            </w:r>
          </w:p>
        </w:tc>
        <w:tc>
          <w:tcPr>
            <w:tcW w:w="1045" w:type="pct"/>
            <w:tcBorders>
              <w:top w:val="nil"/>
              <w:left w:val="nil"/>
              <w:bottom w:val="nil"/>
              <w:right w:val="nil"/>
            </w:tcBorders>
            <w:shd w:val="clear" w:color="000000" w:fill="FBA276"/>
            <w:noWrap/>
            <w:vAlign w:val="bottom"/>
            <w:hideMark/>
          </w:tcPr>
          <w:p w14:paraId="40E737D6"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4.78</w:t>
            </w:r>
          </w:p>
        </w:tc>
        <w:tc>
          <w:tcPr>
            <w:tcW w:w="1091" w:type="pct"/>
            <w:tcBorders>
              <w:top w:val="nil"/>
              <w:left w:val="nil"/>
              <w:bottom w:val="nil"/>
              <w:right w:val="nil"/>
            </w:tcBorders>
            <w:shd w:val="clear" w:color="000000" w:fill="FDCC7E"/>
            <w:noWrap/>
            <w:vAlign w:val="bottom"/>
            <w:hideMark/>
          </w:tcPr>
          <w:p w14:paraId="0155E131"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4.82</w:t>
            </w:r>
          </w:p>
        </w:tc>
      </w:tr>
      <w:tr w:rsidR="00BC7D8B" w:rsidRPr="00BC7D8B" w14:paraId="795C3315" w14:textId="77777777" w:rsidTr="00BC7D8B">
        <w:trPr>
          <w:trHeight w:val="288"/>
          <w:jc w:val="center"/>
        </w:trPr>
        <w:tc>
          <w:tcPr>
            <w:tcW w:w="1185" w:type="pct"/>
            <w:tcBorders>
              <w:top w:val="nil"/>
              <w:left w:val="nil"/>
              <w:bottom w:val="nil"/>
              <w:right w:val="nil"/>
            </w:tcBorders>
            <w:noWrap/>
            <w:vAlign w:val="bottom"/>
            <w:hideMark/>
          </w:tcPr>
          <w:p w14:paraId="3BDFD0BC"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White (Other). Not FSM.</w:t>
            </w:r>
          </w:p>
        </w:tc>
        <w:tc>
          <w:tcPr>
            <w:tcW w:w="756" w:type="pct"/>
            <w:tcBorders>
              <w:top w:val="nil"/>
              <w:left w:val="nil"/>
              <w:bottom w:val="nil"/>
              <w:right w:val="nil"/>
            </w:tcBorders>
            <w:shd w:val="clear" w:color="000000" w:fill="FEE482"/>
            <w:noWrap/>
            <w:vAlign w:val="bottom"/>
            <w:hideMark/>
          </w:tcPr>
          <w:p w14:paraId="1457A161" w14:textId="548EB609"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7.43</w:t>
            </w:r>
            <w:r w:rsidR="0097774C">
              <w:rPr>
                <w:rFonts w:ascii="Calibri" w:eastAsia="Times New Roman" w:hAnsi="Calibri" w:cs="Calibri"/>
                <w:kern w:val="0"/>
                <w:sz w:val="22"/>
                <w:szCs w:val="22"/>
                <w:lang w:eastAsia="en-GB"/>
                <w14:ligatures w14:val="none"/>
              </w:rPr>
              <w:t>*</w:t>
            </w:r>
          </w:p>
        </w:tc>
        <w:tc>
          <w:tcPr>
            <w:tcW w:w="924" w:type="pct"/>
            <w:tcBorders>
              <w:top w:val="nil"/>
              <w:left w:val="nil"/>
              <w:bottom w:val="nil"/>
              <w:right w:val="nil"/>
            </w:tcBorders>
            <w:shd w:val="clear" w:color="000000" w:fill="FDD47F"/>
            <w:noWrap/>
            <w:vAlign w:val="bottom"/>
            <w:hideMark/>
          </w:tcPr>
          <w:p w14:paraId="00D6BAFE" w14:textId="20502D04"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6.73</w:t>
            </w:r>
            <w:r w:rsidR="0097774C">
              <w:rPr>
                <w:rFonts w:ascii="Calibri" w:eastAsia="Times New Roman" w:hAnsi="Calibri" w:cs="Calibri"/>
                <w:kern w:val="0"/>
                <w:sz w:val="22"/>
                <w:szCs w:val="22"/>
                <w:lang w:eastAsia="en-GB"/>
                <w14:ligatures w14:val="none"/>
              </w:rPr>
              <w:t>*</w:t>
            </w:r>
          </w:p>
        </w:tc>
        <w:tc>
          <w:tcPr>
            <w:tcW w:w="1045" w:type="pct"/>
            <w:tcBorders>
              <w:top w:val="nil"/>
              <w:left w:val="nil"/>
              <w:bottom w:val="nil"/>
              <w:right w:val="nil"/>
            </w:tcBorders>
            <w:shd w:val="clear" w:color="000000" w:fill="DAE182"/>
            <w:noWrap/>
            <w:vAlign w:val="bottom"/>
            <w:hideMark/>
          </w:tcPr>
          <w:p w14:paraId="48D050F4" w14:textId="037CE703"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5.16</w:t>
            </w:r>
            <w:r w:rsidR="0097774C">
              <w:rPr>
                <w:rFonts w:ascii="Calibri" w:eastAsia="Times New Roman" w:hAnsi="Calibri" w:cs="Calibri"/>
                <w:kern w:val="0"/>
                <w:sz w:val="22"/>
                <w:szCs w:val="22"/>
                <w:lang w:eastAsia="en-GB"/>
                <w14:ligatures w14:val="none"/>
              </w:rPr>
              <w:t>*</w:t>
            </w:r>
          </w:p>
        </w:tc>
        <w:tc>
          <w:tcPr>
            <w:tcW w:w="1091" w:type="pct"/>
            <w:tcBorders>
              <w:top w:val="nil"/>
              <w:left w:val="nil"/>
              <w:bottom w:val="nil"/>
              <w:right w:val="nil"/>
            </w:tcBorders>
            <w:shd w:val="clear" w:color="000000" w:fill="B3D680"/>
            <w:noWrap/>
            <w:vAlign w:val="bottom"/>
            <w:hideMark/>
          </w:tcPr>
          <w:p w14:paraId="7ABE80B2" w14:textId="3DA68D58"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5.13</w:t>
            </w:r>
            <w:r w:rsidR="0097774C">
              <w:rPr>
                <w:rFonts w:ascii="Calibri" w:eastAsia="Times New Roman" w:hAnsi="Calibri" w:cs="Calibri"/>
                <w:kern w:val="0"/>
                <w:sz w:val="22"/>
                <w:szCs w:val="22"/>
                <w:lang w:eastAsia="en-GB"/>
                <w14:ligatures w14:val="none"/>
              </w:rPr>
              <w:t>*</w:t>
            </w:r>
          </w:p>
        </w:tc>
      </w:tr>
      <w:tr w:rsidR="00BC7D8B" w:rsidRPr="00BC7D8B" w14:paraId="20C573EE" w14:textId="77777777" w:rsidTr="00BC7D8B">
        <w:trPr>
          <w:trHeight w:val="288"/>
          <w:jc w:val="center"/>
        </w:trPr>
        <w:tc>
          <w:tcPr>
            <w:tcW w:w="1185" w:type="pct"/>
            <w:tcBorders>
              <w:top w:val="nil"/>
              <w:left w:val="nil"/>
              <w:bottom w:val="nil"/>
              <w:right w:val="nil"/>
            </w:tcBorders>
            <w:noWrap/>
            <w:vAlign w:val="bottom"/>
            <w:hideMark/>
          </w:tcPr>
          <w:p w14:paraId="6120A7BC"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White (British). Not FSM.</w:t>
            </w:r>
          </w:p>
        </w:tc>
        <w:tc>
          <w:tcPr>
            <w:tcW w:w="756" w:type="pct"/>
            <w:tcBorders>
              <w:top w:val="nil"/>
              <w:left w:val="nil"/>
              <w:bottom w:val="nil"/>
              <w:right w:val="nil"/>
            </w:tcBorders>
            <w:shd w:val="clear" w:color="000000" w:fill="FCC07B"/>
            <w:noWrap/>
            <w:vAlign w:val="bottom"/>
            <w:hideMark/>
          </w:tcPr>
          <w:p w14:paraId="3CCFC1EC" w14:textId="1E844D1B"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7.24</w:t>
            </w:r>
            <w:r w:rsidR="0097774C">
              <w:rPr>
                <w:rFonts w:ascii="Calibri" w:eastAsia="Times New Roman" w:hAnsi="Calibri" w:cs="Calibri"/>
                <w:kern w:val="0"/>
                <w:sz w:val="22"/>
                <w:szCs w:val="22"/>
                <w:lang w:eastAsia="en-GB"/>
                <w14:ligatures w14:val="none"/>
              </w:rPr>
              <w:t>*</w:t>
            </w:r>
          </w:p>
        </w:tc>
        <w:tc>
          <w:tcPr>
            <w:tcW w:w="924" w:type="pct"/>
            <w:tcBorders>
              <w:top w:val="nil"/>
              <w:left w:val="nil"/>
              <w:bottom w:val="nil"/>
              <w:right w:val="nil"/>
            </w:tcBorders>
            <w:shd w:val="clear" w:color="000000" w:fill="FDCB7D"/>
            <w:noWrap/>
            <w:vAlign w:val="bottom"/>
            <w:hideMark/>
          </w:tcPr>
          <w:p w14:paraId="094F406C" w14:textId="36FCEE56"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6.69</w:t>
            </w:r>
            <w:r w:rsidR="0097774C">
              <w:rPr>
                <w:rFonts w:ascii="Calibri" w:eastAsia="Times New Roman" w:hAnsi="Calibri" w:cs="Calibri"/>
                <w:kern w:val="0"/>
                <w:sz w:val="22"/>
                <w:szCs w:val="22"/>
                <w:lang w:eastAsia="en-GB"/>
                <w14:ligatures w14:val="none"/>
              </w:rPr>
              <w:t>*</w:t>
            </w:r>
          </w:p>
        </w:tc>
        <w:tc>
          <w:tcPr>
            <w:tcW w:w="1045" w:type="pct"/>
            <w:tcBorders>
              <w:top w:val="nil"/>
              <w:left w:val="nil"/>
              <w:bottom w:val="nil"/>
              <w:right w:val="nil"/>
            </w:tcBorders>
            <w:shd w:val="clear" w:color="000000" w:fill="FEE983"/>
            <w:noWrap/>
            <w:vAlign w:val="bottom"/>
            <w:hideMark/>
          </w:tcPr>
          <w:p w14:paraId="40671FDD" w14:textId="69B70B6B"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5.04</w:t>
            </w:r>
            <w:r w:rsidR="0097774C">
              <w:rPr>
                <w:rFonts w:ascii="Calibri" w:eastAsia="Times New Roman" w:hAnsi="Calibri" w:cs="Calibri"/>
                <w:kern w:val="0"/>
                <w:sz w:val="22"/>
                <w:szCs w:val="22"/>
                <w:lang w:eastAsia="en-GB"/>
                <w14:ligatures w14:val="none"/>
              </w:rPr>
              <w:t>*</w:t>
            </w:r>
          </w:p>
        </w:tc>
        <w:tc>
          <w:tcPr>
            <w:tcW w:w="1091" w:type="pct"/>
            <w:tcBorders>
              <w:top w:val="nil"/>
              <w:left w:val="nil"/>
              <w:bottom w:val="nil"/>
              <w:right w:val="nil"/>
            </w:tcBorders>
            <w:shd w:val="clear" w:color="000000" w:fill="B6D680"/>
            <w:noWrap/>
            <w:vAlign w:val="bottom"/>
            <w:hideMark/>
          </w:tcPr>
          <w:p w14:paraId="4F3E36B4" w14:textId="7ADAF99A"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5.12</w:t>
            </w:r>
            <w:r w:rsidR="0097774C">
              <w:rPr>
                <w:rFonts w:ascii="Calibri" w:eastAsia="Times New Roman" w:hAnsi="Calibri" w:cs="Calibri"/>
                <w:kern w:val="0"/>
                <w:sz w:val="22"/>
                <w:szCs w:val="22"/>
                <w:lang w:eastAsia="en-GB"/>
                <w14:ligatures w14:val="none"/>
              </w:rPr>
              <w:t>*</w:t>
            </w:r>
          </w:p>
        </w:tc>
      </w:tr>
      <w:tr w:rsidR="00BC7D8B" w:rsidRPr="00BC7D8B" w14:paraId="71AD0C91" w14:textId="77777777" w:rsidTr="00BC7D8B">
        <w:trPr>
          <w:trHeight w:val="288"/>
          <w:jc w:val="center"/>
        </w:trPr>
        <w:tc>
          <w:tcPr>
            <w:tcW w:w="1185" w:type="pct"/>
            <w:tcBorders>
              <w:top w:val="nil"/>
              <w:left w:val="nil"/>
              <w:bottom w:val="nil"/>
              <w:right w:val="nil"/>
            </w:tcBorders>
            <w:noWrap/>
            <w:vAlign w:val="bottom"/>
            <w:hideMark/>
          </w:tcPr>
          <w:p w14:paraId="51FD3173"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White (Other). FSM.</w:t>
            </w:r>
          </w:p>
        </w:tc>
        <w:tc>
          <w:tcPr>
            <w:tcW w:w="756" w:type="pct"/>
            <w:tcBorders>
              <w:top w:val="nil"/>
              <w:left w:val="nil"/>
              <w:bottom w:val="nil"/>
              <w:right w:val="nil"/>
            </w:tcBorders>
            <w:shd w:val="clear" w:color="000000" w:fill="FCBA7A"/>
            <w:noWrap/>
            <w:vAlign w:val="bottom"/>
            <w:hideMark/>
          </w:tcPr>
          <w:p w14:paraId="795EE742" w14:textId="6AB1C9CB"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7.20</w:t>
            </w:r>
            <w:r w:rsidR="0097774C">
              <w:rPr>
                <w:rFonts w:ascii="Calibri" w:eastAsia="Times New Roman" w:hAnsi="Calibri" w:cs="Calibri"/>
                <w:kern w:val="0"/>
                <w:sz w:val="22"/>
                <w:szCs w:val="22"/>
                <w:lang w:eastAsia="en-GB"/>
                <w14:ligatures w14:val="none"/>
              </w:rPr>
              <w:t>*</w:t>
            </w:r>
          </w:p>
        </w:tc>
        <w:tc>
          <w:tcPr>
            <w:tcW w:w="924" w:type="pct"/>
            <w:tcBorders>
              <w:top w:val="nil"/>
              <w:left w:val="nil"/>
              <w:bottom w:val="nil"/>
              <w:right w:val="nil"/>
            </w:tcBorders>
            <w:shd w:val="clear" w:color="000000" w:fill="FBAE78"/>
            <w:noWrap/>
            <w:vAlign w:val="bottom"/>
            <w:hideMark/>
          </w:tcPr>
          <w:p w14:paraId="48DAD10D" w14:textId="07AA9AAF"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6.58</w:t>
            </w:r>
            <w:r w:rsidR="0097774C">
              <w:rPr>
                <w:rFonts w:ascii="Calibri" w:eastAsia="Times New Roman" w:hAnsi="Calibri" w:cs="Calibri"/>
                <w:kern w:val="0"/>
                <w:sz w:val="22"/>
                <w:szCs w:val="22"/>
                <w:lang w:eastAsia="en-GB"/>
                <w14:ligatures w14:val="none"/>
              </w:rPr>
              <w:t>*</w:t>
            </w:r>
          </w:p>
        </w:tc>
        <w:tc>
          <w:tcPr>
            <w:tcW w:w="1045" w:type="pct"/>
            <w:tcBorders>
              <w:top w:val="nil"/>
              <w:left w:val="nil"/>
              <w:bottom w:val="nil"/>
              <w:right w:val="nil"/>
            </w:tcBorders>
            <w:shd w:val="clear" w:color="000000" w:fill="FCB87A"/>
            <w:noWrap/>
            <w:vAlign w:val="bottom"/>
            <w:hideMark/>
          </w:tcPr>
          <w:p w14:paraId="0D92C627"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4.86</w:t>
            </w:r>
          </w:p>
        </w:tc>
        <w:tc>
          <w:tcPr>
            <w:tcW w:w="1091" w:type="pct"/>
            <w:tcBorders>
              <w:top w:val="nil"/>
              <w:left w:val="nil"/>
              <w:bottom w:val="nil"/>
              <w:right w:val="nil"/>
            </w:tcBorders>
            <w:shd w:val="clear" w:color="000000" w:fill="FCC47C"/>
            <w:noWrap/>
            <w:vAlign w:val="bottom"/>
            <w:hideMark/>
          </w:tcPr>
          <w:p w14:paraId="52C88542"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4.80</w:t>
            </w:r>
          </w:p>
        </w:tc>
      </w:tr>
      <w:tr w:rsidR="00BC7D8B" w:rsidRPr="00BC7D8B" w14:paraId="33E9C606" w14:textId="77777777" w:rsidTr="00BC7D8B">
        <w:trPr>
          <w:trHeight w:val="300"/>
          <w:jc w:val="center"/>
        </w:trPr>
        <w:tc>
          <w:tcPr>
            <w:tcW w:w="1185" w:type="pct"/>
            <w:tcBorders>
              <w:top w:val="nil"/>
              <w:left w:val="nil"/>
              <w:bottom w:val="nil"/>
              <w:right w:val="nil"/>
            </w:tcBorders>
            <w:noWrap/>
            <w:vAlign w:val="bottom"/>
            <w:hideMark/>
          </w:tcPr>
          <w:p w14:paraId="16C7FD7B"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Mixed race. FSM.</w:t>
            </w:r>
          </w:p>
        </w:tc>
        <w:tc>
          <w:tcPr>
            <w:tcW w:w="756" w:type="pct"/>
            <w:tcBorders>
              <w:top w:val="nil"/>
              <w:left w:val="nil"/>
              <w:bottom w:val="nil"/>
              <w:right w:val="nil"/>
            </w:tcBorders>
            <w:shd w:val="clear" w:color="000000" w:fill="FA9974"/>
            <w:noWrap/>
            <w:vAlign w:val="bottom"/>
            <w:hideMark/>
          </w:tcPr>
          <w:p w14:paraId="11541341"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7.01</w:t>
            </w:r>
          </w:p>
        </w:tc>
        <w:tc>
          <w:tcPr>
            <w:tcW w:w="924" w:type="pct"/>
            <w:tcBorders>
              <w:top w:val="nil"/>
              <w:left w:val="nil"/>
              <w:bottom w:val="nil"/>
              <w:right w:val="nil"/>
            </w:tcBorders>
            <w:shd w:val="clear" w:color="000000" w:fill="F9826F"/>
            <w:noWrap/>
            <w:vAlign w:val="bottom"/>
            <w:hideMark/>
          </w:tcPr>
          <w:p w14:paraId="61736799"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6.41</w:t>
            </w:r>
          </w:p>
        </w:tc>
        <w:tc>
          <w:tcPr>
            <w:tcW w:w="1045" w:type="pct"/>
            <w:tcBorders>
              <w:top w:val="nil"/>
              <w:left w:val="nil"/>
              <w:bottom w:val="nil"/>
              <w:right w:val="nil"/>
            </w:tcBorders>
            <w:shd w:val="clear" w:color="000000" w:fill="F98B71"/>
            <w:noWrap/>
            <w:vAlign w:val="bottom"/>
            <w:hideMark/>
          </w:tcPr>
          <w:p w14:paraId="235A4142"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4.69</w:t>
            </w:r>
          </w:p>
        </w:tc>
        <w:tc>
          <w:tcPr>
            <w:tcW w:w="1091" w:type="pct"/>
            <w:tcBorders>
              <w:top w:val="nil"/>
              <w:left w:val="nil"/>
              <w:bottom w:val="nil"/>
              <w:right w:val="nil"/>
            </w:tcBorders>
            <w:shd w:val="clear" w:color="000000" w:fill="FCB479"/>
            <w:noWrap/>
            <w:vAlign w:val="bottom"/>
            <w:hideMark/>
          </w:tcPr>
          <w:p w14:paraId="5886514C"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4.77</w:t>
            </w:r>
          </w:p>
        </w:tc>
      </w:tr>
      <w:tr w:rsidR="00BC7D8B" w:rsidRPr="00BC7D8B" w14:paraId="37B55651" w14:textId="77777777" w:rsidTr="00BC7D8B">
        <w:trPr>
          <w:trHeight w:val="300"/>
          <w:jc w:val="center"/>
        </w:trPr>
        <w:tc>
          <w:tcPr>
            <w:tcW w:w="1185" w:type="pct"/>
            <w:tcBorders>
              <w:top w:val="single" w:sz="8" w:space="0" w:color="auto"/>
              <w:left w:val="single" w:sz="8" w:space="0" w:color="auto"/>
              <w:bottom w:val="single" w:sz="8" w:space="0" w:color="auto"/>
              <w:right w:val="nil"/>
            </w:tcBorders>
            <w:noWrap/>
            <w:vAlign w:val="bottom"/>
            <w:hideMark/>
          </w:tcPr>
          <w:p w14:paraId="2A5E9FDC" w14:textId="77777777" w:rsidR="00BC7D8B" w:rsidRPr="00BC7D8B" w:rsidRDefault="00BC7D8B" w:rsidP="00BC7D8B">
            <w:pPr>
              <w:spacing w:after="0" w:line="240" w:lineRule="auto"/>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White (British). FSM</w:t>
            </w:r>
          </w:p>
        </w:tc>
        <w:tc>
          <w:tcPr>
            <w:tcW w:w="756" w:type="pct"/>
            <w:tcBorders>
              <w:top w:val="single" w:sz="8" w:space="0" w:color="auto"/>
              <w:left w:val="nil"/>
              <w:bottom w:val="single" w:sz="8" w:space="0" w:color="auto"/>
              <w:right w:val="nil"/>
            </w:tcBorders>
            <w:shd w:val="clear" w:color="000000" w:fill="F8696B"/>
            <w:noWrap/>
            <w:vAlign w:val="bottom"/>
            <w:hideMark/>
          </w:tcPr>
          <w:p w14:paraId="0B277FEF"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6.74</w:t>
            </w:r>
          </w:p>
        </w:tc>
        <w:tc>
          <w:tcPr>
            <w:tcW w:w="924" w:type="pct"/>
            <w:tcBorders>
              <w:top w:val="single" w:sz="8" w:space="0" w:color="auto"/>
              <w:left w:val="nil"/>
              <w:bottom w:val="single" w:sz="8" w:space="0" w:color="auto"/>
              <w:right w:val="nil"/>
            </w:tcBorders>
            <w:shd w:val="clear" w:color="000000" w:fill="F8696B"/>
            <w:noWrap/>
            <w:vAlign w:val="bottom"/>
            <w:hideMark/>
          </w:tcPr>
          <w:p w14:paraId="0563B278"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6.31</w:t>
            </w:r>
          </w:p>
        </w:tc>
        <w:tc>
          <w:tcPr>
            <w:tcW w:w="1045" w:type="pct"/>
            <w:tcBorders>
              <w:top w:val="single" w:sz="8" w:space="0" w:color="auto"/>
              <w:left w:val="nil"/>
              <w:bottom w:val="single" w:sz="8" w:space="0" w:color="auto"/>
              <w:right w:val="nil"/>
            </w:tcBorders>
            <w:shd w:val="clear" w:color="000000" w:fill="F8696B"/>
            <w:noWrap/>
            <w:vAlign w:val="bottom"/>
            <w:hideMark/>
          </w:tcPr>
          <w:p w14:paraId="5CC25360"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4.56</w:t>
            </w:r>
          </w:p>
        </w:tc>
        <w:tc>
          <w:tcPr>
            <w:tcW w:w="1091" w:type="pct"/>
            <w:tcBorders>
              <w:top w:val="single" w:sz="8" w:space="0" w:color="auto"/>
              <w:left w:val="nil"/>
              <w:bottom w:val="single" w:sz="8" w:space="0" w:color="auto"/>
              <w:right w:val="nil"/>
            </w:tcBorders>
            <w:shd w:val="clear" w:color="000000" w:fill="F8696B"/>
            <w:noWrap/>
            <w:vAlign w:val="bottom"/>
            <w:hideMark/>
          </w:tcPr>
          <w:p w14:paraId="2605630B" w14:textId="77777777" w:rsidR="00BC7D8B" w:rsidRPr="00BC7D8B" w:rsidRDefault="00BC7D8B" w:rsidP="00BC7D8B">
            <w:pPr>
              <w:spacing w:after="0" w:line="240" w:lineRule="auto"/>
              <w:jc w:val="center"/>
              <w:rPr>
                <w:rFonts w:ascii="Calibri" w:eastAsia="Times New Roman" w:hAnsi="Calibri" w:cs="Calibri"/>
                <w:kern w:val="0"/>
                <w:sz w:val="22"/>
                <w:szCs w:val="22"/>
                <w:lang w:eastAsia="en-GB"/>
                <w14:ligatures w14:val="none"/>
              </w:rPr>
            </w:pPr>
            <w:r w:rsidRPr="00BC7D8B">
              <w:rPr>
                <w:rFonts w:ascii="Calibri" w:eastAsia="Times New Roman" w:hAnsi="Calibri" w:cs="Calibri"/>
                <w:kern w:val="0"/>
                <w:sz w:val="22"/>
                <w:szCs w:val="22"/>
                <w:lang w:eastAsia="en-GB"/>
                <w14:ligatures w14:val="none"/>
              </w:rPr>
              <w:t>4.59</w:t>
            </w:r>
          </w:p>
        </w:tc>
      </w:tr>
    </w:tbl>
    <w:p w14:paraId="10846BCB" w14:textId="493921FD" w:rsidR="00676121" w:rsidRPr="0097774C" w:rsidRDefault="005D6901" w:rsidP="0097774C">
      <w:pPr>
        <w:pStyle w:val="ListParagraph"/>
        <w:numPr>
          <w:ilvl w:val="0"/>
          <w:numId w:val="5"/>
        </w:numPr>
        <w:spacing w:after="0"/>
        <w:jc w:val="center"/>
      </w:pPr>
      <w:r>
        <w:t>Ethnicity-by-SES-by-Gender</w:t>
      </w:r>
    </w:p>
    <w:tbl>
      <w:tblPr>
        <w:tblW w:w="8340" w:type="dxa"/>
        <w:jc w:val="center"/>
        <w:tblLook w:val="04A0" w:firstRow="1" w:lastRow="0" w:firstColumn="1" w:lastColumn="0" w:noHBand="0" w:noVBand="1"/>
      </w:tblPr>
      <w:tblGrid>
        <w:gridCol w:w="2920"/>
        <w:gridCol w:w="1220"/>
        <w:gridCol w:w="1320"/>
        <w:gridCol w:w="1400"/>
        <w:gridCol w:w="1480"/>
      </w:tblGrid>
      <w:tr w:rsidR="0097774C" w:rsidRPr="0097774C" w14:paraId="63355E26" w14:textId="28EEAD12" w:rsidTr="0097774C">
        <w:trPr>
          <w:trHeight w:val="576"/>
          <w:jc w:val="center"/>
        </w:trPr>
        <w:tc>
          <w:tcPr>
            <w:tcW w:w="2920" w:type="dxa"/>
            <w:tcBorders>
              <w:top w:val="single" w:sz="4" w:space="0" w:color="auto"/>
              <w:left w:val="nil"/>
              <w:bottom w:val="single" w:sz="4" w:space="0" w:color="auto"/>
              <w:right w:val="nil"/>
            </w:tcBorders>
            <w:shd w:val="clear" w:color="000000" w:fill="A6C9EC"/>
            <w:vAlign w:val="bottom"/>
            <w:hideMark/>
          </w:tcPr>
          <w:p w14:paraId="5FB87FBF" w14:textId="77777777" w:rsidR="0097774C" w:rsidRPr="0097774C" w:rsidRDefault="0097774C" w:rsidP="0097774C">
            <w:pPr>
              <w:spacing w:after="0" w:line="240" w:lineRule="auto"/>
              <w:rPr>
                <w:rFonts w:ascii="Calibri" w:eastAsia="Times New Roman" w:hAnsi="Calibri" w:cs="Calibri"/>
                <w:b/>
                <w:bCs/>
                <w:kern w:val="0"/>
                <w:sz w:val="22"/>
                <w:szCs w:val="22"/>
                <w:lang w:eastAsia="en-GB"/>
                <w14:ligatures w14:val="none"/>
              </w:rPr>
            </w:pPr>
            <w:r w:rsidRPr="0097774C">
              <w:rPr>
                <w:rFonts w:ascii="Calibri" w:eastAsia="Times New Roman" w:hAnsi="Calibri" w:cs="Calibri"/>
                <w:b/>
                <w:bCs/>
                <w:kern w:val="0"/>
                <w:sz w:val="22"/>
                <w:szCs w:val="22"/>
                <w:lang w:eastAsia="en-GB"/>
                <w14:ligatures w14:val="none"/>
              </w:rPr>
              <w:t>Group</w:t>
            </w:r>
          </w:p>
        </w:tc>
        <w:tc>
          <w:tcPr>
            <w:tcW w:w="1220" w:type="dxa"/>
            <w:tcBorders>
              <w:top w:val="single" w:sz="4" w:space="0" w:color="auto"/>
              <w:left w:val="nil"/>
              <w:bottom w:val="single" w:sz="4" w:space="0" w:color="auto"/>
              <w:right w:val="nil"/>
            </w:tcBorders>
            <w:shd w:val="clear" w:color="000000" w:fill="A6C9EC"/>
            <w:vAlign w:val="bottom"/>
            <w:hideMark/>
          </w:tcPr>
          <w:p w14:paraId="4409B70D" w14:textId="77777777" w:rsidR="0097774C" w:rsidRPr="0097774C" w:rsidRDefault="0097774C" w:rsidP="0097774C">
            <w:pPr>
              <w:spacing w:after="0" w:line="240" w:lineRule="auto"/>
              <w:jc w:val="center"/>
              <w:rPr>
                <w:rFonts w:ascii="Calibri" w:eastAsia="Times New Roman" w:hAnsi="Calibri" w:cs="Calibri"/>
                <w:b/>
                <w:bCs/>
                <w:kern w:val="0"/>
                <w:sz w:val="22"/>
                <w:szCs w:val="22"/>
                <w:lang w:eastAsia="en-GB"/>
                <w14:ligatures w14:val="none"/>
              </w:rPr>
            </w:pPr>
            <w:r w:rsidRPr="0097774C">
              <w:rPr>
                <w:rFonts w:ascii="Calibri" w:eastAsia="Times New Roman" w:hAnsi="Calibri" w:cs="Calibri"/>
                <w:b/>
                <w:bCs/>
                <w:kern w:val="0"/>
                <w:sz w:val="22"/>
                <w:szCs w:val="22"/>
                <w:lang w:eastAsia="en-GB"/>
                <w14:ligatures w14:val="none"/>
              </w:rPr>
              <w:t>Agency</w:t>
            </w:r>
          </w:p>
        </w:tc>
        <w:tc>
          <w:tcPr>
            <w:tcW w:w="1320" w:type="dxa"/>
            <w:tcBorders>
              <w:top w:val="single" w:sz="4" w:space="0" w:color="auto"/>
              <w:left w:val="nil"/>
              <w:bottom w:val="single" w:sz="4" w:space="0" w:color="auto"/>
              <w:right w:val="nil"/>
            </w:tcBorders>
            <w:shd w:val="clear" w:color="000000" w:fill="A6C9EC"/>
            <w:vAlign w:val="bottom"/>
            <w:hideMark/>
          </w:tcPr>
          <w:p w14:paraId="43C04072" w14:textId="77777777" w:rsidR="0097774C" w:rsidRPr="0097774C" w:rsidRDefault="0097774C" w:rsidP="0097774C">
            <w:pPr>
              <w:spacing w:after="0" w:line="240" w:lineRule="auto"/>
              <w:jc w:val="center"/>
              <w:rPr>
                <w:rFonts w:ascii="Calibri" w:eastAsia="Times New Roman" w:hAnsi="Calibri" w:cs="Calibri"/>
                <w:b/>
                <w:bCs/>
                <w:kern w:val="0"/>
                <w:sz w:val="22"/>
                <w:szCs w:val="22"/>
                <w:lang w:eastAsia="en-GB"/>
                <w14:ligatures w14:val="none"/>
              </w:rPr>
            </w:pPr>
            <w:r w:rsidRPr="0097774C">
              <w:rPr>
                <w:rFonts w:ascii="Calibri" w:eastAsia="Times New Roman" w:hAnsi="Calibri" w:cs="Calibri"/>
                <w:b/>
                <w:bCs/>
                <w:kern w:val="0"/>
                <w:sz w:val="22"/>
                <w:szCs w:val="22"/>
                <w:lang w:eastAsia="en-GB"/>
                <w14:ligatures w14:val="none"/>
              </w:rPr>
              <w:t>Value of education</w:t>
            </w:r>
          </w:p>
        </w:tc>
        <w:tc>
          <w:tcPr>
            <w:tcW w:w="1400" w:type="dxa"/>
            <w:tcBorders>
              <w:top w:val="single" w:sz="4" w:space="0" w:color="auto"/>
              <w:left w:val="nil"/>
              <w:bottom w:val="single" w:sz="4" w:space="0" w:color="auto"/>
              <w:right w:val="nil"/>
            </w:tcBorders>
            <w:shd w:val="clear" w:color="000000" w:fill="A6C9EC"/>
            <w:vAlign w:val="bottom"/>
            <w:hideMark/>
          </w:tcPr>
          <w:p w14:paraId="41751D45" w14:textId="77777777" w:rsidR="0097774C" w:rsidRPr="0097774C" w:rsidRDefault="0097774C" w:rsidP="0097774C">
            <w:pPr>
              <w:spacing w:after="0" w:line="240" w:lineRule="auto"/>
              <w:jc w:val="center"/>
              <w:rPr>
                <w:rFonts w:ascii="Calibri" w:eastAsia="Times New Roman" w:hAnsi="Calibri" w:cs="Calibri"/>
                <w:b/>
                <w:bCs/>
                <w:kern w:val="0"/>
                <w:sz w:val="22"/>
                <w:szCs w:val="22"/>
                <w:lang w:eastAsia="en-GB"/>
                <w14:ligatures w14:val="none"/>
              </w:rPr>
            </w:pPr>
            <w:r w:rsidRPr="0097774C">
              <w:rPr>
                <w:rFonts w:ascii="Calibri" w:eastAsia="Times New Roman" w:hAnsi="Calibri" w:cs="Calibri"/>
                <w:b/>
                <w:bCs/>
                <w:kern w:val="0"/>
                <w:sz w:val="22"/>
                <w:szCs w:val="22"/>
                <w:lang w:eastAsia="en-GB"/>
                <w14:ligatures w14:val="none"/>
              </w:rPr>
              <w:t>Interest in lessons</w:t>
            </w:r>
          </w:p>
        </w:tc>
        <w:tc>
          <w:tcPr>
            <w:tcW w:w="1480" w:type="dxa"/>
            <w:tcBorders>
              <w:top w:val="single" w:sz="4" w:space="0" w:color="auto"/>
              <w:left w:val="nil"/>
              <w:bottom w:val="single" w:sz="4" w:space="0" w:color="auto"/>
              <w:right w:val="nil"/>
            </w:tcBorders>
            <w:shd w:val="clear" w:color="000000" w:fill="A6C9EC"/>
            <w:vAlign w:val="bottom"/>
            <w:hideMark/>
          </w:tcPr>
          <w:p w14:paraId="44F0C153" w14:textId="77777777" w:rsidR="0097774C" w:rsidRPr="0097774C" w:rsidRDefault="0097774C" w:rsidP="0097774C">
            <w:pPr>
              <w:spacing w:after="0" w:line="240" w:lineRule="auto"/>
              <w:jc w:val="center"/>
              <w:rPr>
                <w:rFonts w:ascii="Calibri" w:eastAsia="Times New Roman" w:hAnsi="Calibri" w:cs="Calibri"/>
                <w:b/>
                <w:bCs/>
                <w:kern w:val="0"/>
                <w:sz w:val="22"/>
                <w:szCs w:val="22"/>
                <w:lang w:eastAsia="en-GB"/>
                <w14:ligatures w14:val="none"/>
              </w:rPr>
            </w:pPr>
            <w:r w:rsidRPr="0097774C">
              <w:rPr>
                <w:rFonts w:ascii="Calibri" w:eastAsia="Times New Roman" w:hAnsi="Calibri" w:cs="Calibri"/>
                <w:b/>
                <w:bCs/>
                <w:kern w:val="0"/>
                <w:sz w:val="22"/>
                <w:szCs w:val="22"/>
                <w:lang w:eastAsia="en-GB"/>
                <w14:ligatures w14:val="none"/>
              </w:rPr>
              <w:t>Behaviour</w:t>
            </w:r>
          </w:p>
        </w:tc>
      </w:tr>
      <w:tr w:rsidR="0097774C" w:rsidRPr="0097774C" w14:paraId="6E1DE4D2" w14:textId="25D9C343" w:rsidTr="0097774C">
        <w:trPr>
          <w:trHeight w:val="288"/>
          <w:jc w:val="center"/>
        </w:trPr>
        <w:tc>
          <w:tcPr>
            <w:tcW w:w="2920" w:type="dxa"/>
            <w:tcBorders>
              <w:top w:val="nil"/>
              <w:left w:val="nil"/>
              <w:bottom w:val="nil"/>
              <w:right w:val="nil"/>
            </w:tcBorders>
            <w:noWrap/>
            <w:vAlign w:val="bottom"/>
            <w:hideMark/>
          </w:tcPr>
          <w:p w14:paraId="1169BF35"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Black. Not FSM. Girl.</w:t>
            </w:r>
          </w:p>
        </w:tc>
        <w:tc>
          <w:tcPr>
            <w:tcW w:w="1220" w:type="dxa"/>
            <w:tcBorders>
              <w:top w:val="nil"/>
              <w:left w:val="nil"/>
              <w:bottom w:val="nil"/>
              <w:right w:val="nil"/>
            </w:tcBorders>
            <w:shd w:val="clear" w:color="000000" w:fill="63BE7B"/>
            <w:noWrap/>
            <w:vAlign w:val="bottom"/>
            <w:hideMark/>
          </w:tcPr>
          <w:p w14:paraId="20D92135" w14:textId="1A0C4BE5"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8.19</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63BE7B"/>
            <w:noWrap/>
            <w:vAlign w:val="bottom"/>
            <w:hideMark/>
          </w:tcPr>
          <w:p w14:paraId="44DBB6A2" w14:textId="6F23513A"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7.50</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ECE683"/>
            <w:noWrap/>
            <w:vAlign w:val="bottom"/>
            <w:hideMark/>
          </w:tcPr>
          <w:p w14:paraId="3BFA5086" w14:textId="57AC42C5"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5.14</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FA8E72"/>
            <w:noWrap/>
            <w:vAlign w:val="bottom"/>
            <w:hideMark/>
          </w:tcPr>
          <w:p w14:paraId="0CEFFF32" w14:textId="0B16ABC8"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4.55</w:t>
            </w:r>
            <w:r w:rsidR="003A1990">
              <w:rPr>
                <w:rFonts w:ascii="Calibri" w:eastAsia="Times New Roman" w:hAnsi="Calibri" w:cs="Calibri"/>
                <w:kern w:val="0"/>
                <w:sz w:val="22"/>
                <w:szCs w:val="22"/>
                <w:lang w:eastAsia="en-GB"/>
                <w14:ligatures w14:val="none"/>
              </w:rPr>
              <w:t>*</w:t>
            </w:r>
          </w:p>
        </w:tc>
      </w:tr>
      <w:tr w:rsidR="0097774C" w:rsidRPr="0097774C" w14:paraId="3979DC5D" w14:textId="51F9E7B6" w:rsidTr="0097774C">
        <w:trPr>
          <w:trHeight w:val="288"/>
          <w:jc w:val="center"/>
        </w:trPr>
        <w:tc>
          <w:tcPr>
            <w:tcW w:w="2920" w:type="dxa"/>
            <w:tcBorders>
              <w:top w:val="nil"/>
              <w:left w:val="nil"/>
              <w:bottom w:val="nil"/>
              <w:right w:val="nil"/>
            </w:tcBorders>
            <w:noWrap/>
            <w:vAlign w:val="bottom"/>
            <w:hideMark/>
          </w:tcPr>
          <w:p w14:paraId="0BE04D52"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Asian. Not FSM. Girl.</w:t>
            </w:r>
          </w:p>
        </w:tc>
        <w:tc>
          <w:tcPr>
            <w:tcW w:w="1220" w:type="dxa"/>
            <w:tcBorders>
              <w:top w:val="nil"/>
              <w:left w:val="nil"/>
              <w:bottom w:val="nil"/>
              <w:right w:val="nil"/>
            </w:tcBorders>
            <w:shd w:val="clear" w:color="000000" w:fill="8FCB7E"/>
            <w:noWrap/>
            <w:vAlign w:val="bottom"/>
            <w:hideMark/>
          </w:tcPr>
          <w:p w14:paraId="3702EE2C" w14:textId="4EBF4023"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7.99</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71C27C"/>
            <w:noWrap/>
            <w:vAlign w:val="bottom"/>
            <w:hideMark/>
          </w:tcPr>
          <w:p w14:paraId="0677EE59" w14:textId="5FB2F30E"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7.45</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8BCA7E"/>
            <w:noWrap/>
            <w:vAlign w:val="bottom"/>
            <w:hideMark/>
          </w:tcPr>
          <w:p w14:paraId="41FF7013" w14:textId="4720FD8F"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5.46</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C8DC81"/>
            <w:noWrap/>
            <w:vAlign w:val="bottom"/>
            <w:hideMark/>
          </w:tcPr>
          <w:p w14:paraId="7F7B5507" w14:textId="6E13DD1E"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5.19</w:t>
            </w:r>
            <w:r w:rsidR="003A1990">
              <w:rPr>
                <w:rFonts w:ascii="Calibri" w:eastAsia="Times New Roman" w:hAnsi="Calibri" w:cs="Calibri"/>
                <w:kern w:val="0"/>
                <w:sz w:val="22"/>
                <w:szCs w:val="22"/>
                <w:lang w:eastAsia="en-GB"/>
                <w14:ligatures w14:val="none"/>
              </w:rPr>
              <w:t>*</w:t>
            </w:r>
          </w:p>
        </w:tc>
      </w:tr>
      <w:tr w:rsidR="0097774C" w:rsidRPr="0097774C" w14:paraId="4FB98EF8" w14:textId="22AD2FDA" w:rsidTr="0097774C">
        <w:trPr>
          <w:trHeight w:val="288"/>
          <w:jc w:val="center"/>
        </w:trPr>
        <w:tc>
          <w:tcPr>
            <w:tcW w:w="2920" w:type="dxa"/>
            <w:tcBorders>
              <w:top w:val="nil"/>
              <w:left w:val="nil"/>
              <w:bottom w:val="nil"/>
              <w:right w:val="nil"/>
            </w:tcBorders>
            <w:noWrap/>
            <w:vAlign w:val="bottom"/>
            <w:hideMark/>
          </w:tcPr>
          <w:p w14:paraId="1307A824"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Asian. Not FSM. Boy.</w:t>
            </w:r>
          </w:p>
        </w:tc>
        <w:tc>
          <w:tcPr>
            <w:tcW w:w="1220" w:type="dxa"/>
            <w:tcBorders>
              <w:top w:val="nil"/>
              <w:left w:val="nil"/>
              <w:bottom w:val="nil"/>
              <w:right w:val="nil"/>
            </w:tcBorders>
            <w:shd w:val="clear" w:color="000000" w:fill="9ACE7F"/>
            <w:noWrap/>
            <w:vAlign w:val="bottom"/>
            <w:hideMark/>
          </w:tcPr>
          <w:p w14:paraId="27CA2414" w14:textId="4B030AB9"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7.94</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9DCF7F"/>
            <w:noWrap/>
            <w:vAlign w:val="bottom"/>
            <w:hideMark/>
          </w:tcPr>
          <w:p w14:paraId="10D6D32F" w14:textId="45E0E4B6"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7.26</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63BE7B"/>
            <w:noWrap/>
            <w:vAlign w:val="bottom"/>
            <w:hideMark/>
          </w:tcPr>
          <w:p w14:paraId="1C70633B" w14:textId="0F017CE4"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5.59</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63BE7B"/>
            <w:noWrap/>
            <w:vAlign w:val="bottom"/>
            <w:hideMark/>
          </w:tcPr>
          <w:p w14:paraId="1E9B87E8" w14:textId="4AC120CB"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5.56</w:t>
            </w:r>
            <w:r w:rsidR="003A1990">
              <w:rPr>
                <w:rFonts w:ascii="Calibri" w:eastAsia="Times New Roman" w:hAnsi="Calibri" w:cs="Calibri"/>
                <w:kern w:val="0"/>
                <w:sz w:val="22"/>
                <w:szCs w:val="22"/>
                <w:lang w:eastAsia="en-GB"/>
                <w14:ligatures w14:val="none"/>
              </w:rPr>
              <w:t>*</w:t>
            </w:r>
          </w:p>
        </w:tc>
      </w:tr>
      <w:tr w:rsidR="0097774C" w:rsidRPr="0097774C" w14:paraId="02753069" w14:textId="5EEC1204" w:rsidTr="0097774C">
        <w:trPr>
          <w:trHeight w:val="288"/>
          <w:jc w:val="center"/>
        </w:trPr>
        <w:tc>
          <w:tcPr>
            <w:tcW w:w="2920" w:type="dxa"/>
            <w:tcBorders>
              <w:top w:val="nil"/>
              <w:left w:val="nil"/>
              <w:bottom w:val="nil"/>
              <w:right w:val="nil"/>
            </w:tcBorders>
            <w:noWrap/>
            <w:vAlign w:val="bottom"/>
            <w:hideMark/>
          </w:tcPr>
          <w:p w14:paraId="1CAEA912"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Black. Not FSM. Boy.</w:t>
            </w:r>
          </w:p>
        </w:tc>
        <w:tc>
          <w:tcPr>
            <w:tcW w:w="1220" w:type="dxa"/>
            <w:tcBorders>
              <w:top w:val="nil"/>
              <w:left w:val="nil"/>
              <w:bottom w:val="nil"/>
              <w:right w:val="nil"/>
            </w:tcBorders>
            <w:shd w:val="clear" w:color="000000" w:fill="9CCF7F"/>
            <w:noWrap/>
            <w:vAlign w:val="bottom"/>
            <w:hideMark/>
          </w:tcPr>
          <w:p w14:paraId="7398DD5F" w14:textId="788CC233"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7.93</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BAD780"/>
            <w:noWrap/>
            <w:vAlign w:val="bottom"/>
            <w:hideMark/>
          </w:tcPr>
          <w:p w14:paraId="4A716A71" w14:textId="383434F8"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7.13</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AFD480"/>
            <w:noWrap/>
            <w:vAlign w:val="bottom"/>
            <w:hideMark/>
          </w:tcPr>
          <w:p w14:paraId="7C0D3E4C" w14:textId="2163DC2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5.34</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D2DE82"/>
            <w:noWrap/>
            <w:vAlign w:val="bottom"/>
            <w:hideMark/>
          </w:tcPr>
          <w:p w14:paraId="231BF43B" w14:textId="3494C7C8"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5.15</w:t>
            </w:r>
            <w:r w:rsidR="003A1990">
              <w:rPr>
                <w:rFonts w:ascii="Calibri" w:eastAsia="Times New Roman" w:hAnsi="Calibri" w:cs="Calibri"/>
                <w:kern w:val="0"/>
                <w:sz w:val="22"/>
                <w:szCs w:val="22"/>
                <w:lang w:eastAsia="en-GB"/>
                <w14:ligatures w14:val="none"/>
              </w:rPr>
              <w:t>*</w:t>
            </w:r>
          </w:p>
        </w:tc>
      </w:tr>
      <w:tr w:rsidR="0097774C" w:rsidRPr="0097774C" w14:paraId="2AD88861" w14:textId="2D3531F8" w:rsidTr="0097774C">
        <w:trPr>
          <w:trHeight w:val="288"/>
          <w:jc w:val="center"/>
        </w:trPr>
        <w:tc>
          <w:tcPr>
            <w:tcW w:w="2920" w:type="dxa"/>
            <w:tcBorders>
              <w:top w:val="nil"/>
              <w:left w:val="nil"/>
              <w:bottom w:val="nil"/>
              <w:right w:val="nil"/>
            </w:tcBorders>
            <w:noWrap/>
            <w:vAlign w:val="bottom"/>
            <w:hideMark/>
          </w:tcPr>
          <w:p w14:paraId="64CEEFBA"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South Asian. Not FSM. Boy.</w:t>
            </w:r>
          </w:p>
        </w:tc>
        <w:tc>
          <w:tcPr>
            <w:tcW w:w="1220" w:type="dxa"/>
            <w:tcBorders>
              <w:top w:val="nil"/>
              <w:left w:val="nil"/>
              <w:bottom w:val="nil"/>
              <w:right w:val="nil"/>
            </w:tcBorders>
            <w:shd w:val="clear" w:color="000000" w:fill="A2D17F"/>
            <w:noWrap/>
            <w:vAlign w:val="bottom"/>
            <w:hideMark/>
          </w:tcPr>
          <w:p w14:paraId="71CFACA1" w14:textId="13DBF683"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7.90</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DBE182"/>
            <w:noWrap/>
            <w:vAlign w:val="bottom"/>
            <w:hideMark/>
          </w:tcPr>
          <w:p w14:paraId="471E8936" w14:textId="3C26D132"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6.99</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ACD380"/>
            <w:noWrap/>
            <w:vAlign w:val="bottom"/>
            <w:hideMark/>
          </w:tcPr>
          <w:p w14:paraId="7982A5AB" w14:textId="6905DFB4"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5.35</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7AC57D"/>
            <w:noWrap/>
            <w:vAlign w:val="bottom"/>
            <w:hideMark/>
          </w:tcPr>
          <w:p w14:paraId="241A9526" w14:textId="0F61C37A"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5.47</w:t>
            </w:r>
            <w:r w:rsidR="003A1990">
              <w:rPr>
                <w:rFonts w:ascii="Calibri" w:eastAsia="Times New Roman" w:hAnsi="Calibri" w:cs="Calibri"/>
                <w:kern w:val="0"/>
                <w:sz w:val="22"/>
                <w:szCs w:val="22"/>
                <w:lang w:eastAsia="en-GB"/>
                <w14:ligatures w14:val="none"/>
              </w:rPr>
              <w:t>*</w:t>
            </w:r>
          </w:p>
        </w:tc>
      </w:tr>
      <w:tr w:rsidR="0097774C" w:rsidRPr="0097774C" w14:paraId="61BFA99A" w14:textId="3C032F65" w:rsidTr="0097774C">
        <w:trPr>
          <w:trHeight w:val="288"/>
          <w:jc w:val="center"/>
        </w:trPr>
        <w:tc>
          <w:tcPr>
            <w:tcW w:w="2920" w:type="dxa"/>
            <w:tcBorders>
              <w:top w:val="nil"/>
              <w:left w:val="nil"/>
              <w:bottom w:val="nil"/>
              <w:right w:val="nil"/>
            </w:tcBorders>
            <w:noWrap/>
            <w:vAlign w:val="bottom"/>
            <w:hideMark/>
          </w:tcPr>
          <w:p w14:paraId="4FF4C635"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Black. FSM. Boy.</w:t>
            </w:r>
          </w:p>
        </w:tc>
        <w:tc>
          <w:tcPr>
            <w:tcW w:w="1220" w:type="dxa"/>
            <w:tcBorders>
              <w:top w:val="nil"/>
              <w:left w:val="nil"/>
              <w:bottom w:val="nil"/>
              <w:right w:val="nil"/>
            </w:tcBorders>
            <w:shd w:val="clear" w:color="000000" w:fill="B3D580"/>
            <w:noWrap/>
            <w:vAlign w:val="bottom"/>
            <w:hideMark/>
          </w:tcPr>
          <w:p w14:paraId="7C64B857" w14:textId="4534C0F9"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7.83</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E9E583"/>
            <w:noWrap/>
            <w:vAlign w:val="bottom"/>
            <w:hideMark/>
          </w:tcPr>
          <w:p w14:paraId="3F00E0AF" w14:textId="142A7713"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6.93</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D4DF82"/>
            <w:noWrap/>
            <w:vAlign w:val="bottom"/>
            <w:hideMark/>
          </w:tcPr>
          <w:p w14:paraId="1FB875D0" w14:textId="3A6C5501"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5.22</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E2E383"/>
            <w:noWrap/>
            <w:vAlign w:val="bottom"/>
            <w:hideMark/>
          </w:tcPr>
          <w:p w14:paraId="028C770C"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5.10</w:t>
            </w:r>
          </w:p>
        </w:tc>
      </w:tr>
      <w:tr w:rsidR="0097774C" w:rsidRPr="0097774C" w14:paraId="76C5C9E6" w14:textId="21884CE1" w:rsidTr="0097774C">
        <w:trPr>
          <w:trHeight w:val="288"/>
          <w:jc w:val="center"/>
        </w:trPr>
        <w:tc>
          <w:tcPr>
            <w:tcW w:w="2920" w:type="dxa"/>
            <w:tcBorders>
              <w:top w:val="nil"/>
              <w:left w:val="nil"/>
              <w:bottom w:val="nil"/>
              <w:right w:val="nil"/>
            </w:tcBorders>
            <w:noWrap/>
            <w:vAlign w:val="bottom"/>
            <w:hideMark/>
          </w:tcPr>
          <w:p w14:paraId="10DA532A"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South Asian. Not FSM. Girl.</w:t>
            </w:r>
          </w:p>
        </w:tc>
        <w:tc>
          <w:tcPr>
            <w:tcW w:w="1220" w:type="dxa"/>
            <w:tcBorders>
              <w:top w:val="nil"/>
              <w:left w:val="nil"/>
              <w:bottom w:val="nil"/>
              <w:right w:val="nil"/>
            </w:tcBorders>
            <w:shd w:val="clear" w:color="000000" w:fill="C6DB81"/>
            <w:noWrap/>
            <w:vAlign w:val="bottom"/>
            <w:hideMark/>
          </w:tcPr>
          <w:p w14:paraId="22B5310D" w14:textId="522A8B74"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7.74</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A6D27F"/>
            <w:noWrap/>
            <w:vAlign w:val="bottom"/>
            <w:hideMark/>
          </w:tcPr>
          <w:p w14:paraId="1C277B71" w14:textId="43404882"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7.22</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4E884"/>
            <w:noWrap/>
            <w:vAlign w:val="bottom"/>
            <w:hideMark/>
          </w:tcPr>
          <w:p w14:paraId="31B76EF9" w14:textId="0B32E448"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5.11</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F1E784"/>
            <w:noWrap/>
            <w:vAlign w:val="bottom"/>
            <w:hideMark/>
          </w:tcPr>
          <w:p w14:paraId="652926E3"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5.04</w:t>
            </w:r>
          </w:p>
        </w:tc>
      </w:tr>
      <w:tr w:rsidR="0097774C" w:rsidRPr="0097774C" w14:paraId="7D4B903D" w14:textId="082FCC6E" w:rsidTr="0097774C">
        <w:trPr>
          <w:trHeight w:val="288"/>
          <w:jc w:val="center"/>
        </w:trPr>
        <w:tc>
          <w:tcPr>
            <w:tcW w:w="2920" w:type="dxa"/>
            <w:tcBorders>
              <w:top w:val="nil"/>
              <w:left w:val="nil"/>
              <w:bottom w:val="nil"/>
              <w:right w:val="nil"/>
            </w:tcBorders>
            <w:noWrap/>
            <w:vAlign w:val="bottom"/>
            <w:hideMark/>
          </w:tcPr>
          <w:p w14:paraId="1CDF6AED"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Black. FSM. Girl.</w:t>
            </w:r>
          </w:p>
        </w:tc>
        <w:tc>
          <w:tcPr>
            <w:tcW w:w="1220" w:type="dxa"/>
            <w:tcBorders>
              <w:top w:val="nil"/>
              <w:left w:val="nil"/>
              <w:bottom w:val="nil"/>
              <w:right w:val="nil"/>
            </w:tcBorders>
            <w:shd w:val="clear" w:color="000000" w:fill="DAE182"/>
            <w:noWrap/>
            <w:vAlign w:val="bottom"/>
            <w:hideMark/>
          </w:tcPr>
          <w:p w14:paraId="4215CF01" w14:textId="59B364B0"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7.65</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CBDC81"/>
            <w:noWrap/>
            <w:vAlign w:val="bottom"/>
            <w:hideMark/>
          </w:tcPr>
          <w:p w14:paraId="59B32916" w14:textId="10CDD3BA"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7.06</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DC77D"/>
            <w:noWrap/>
            <w:vAlign w:val="bottom"/>
            <w:hideMark/>
          </w:tcPr>
          <w:p w14:paraId="493C1505"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4.90</w:t>
            </w:r>
          </w:p>
        </w:tc>
        <w:tc>
          <w:tcPr>
            <w:tcW w:w="1480" w:type="dxa"/>
            <w:tcBorders>
              <w:top w:val="nil"/>
              <w:left w:val="nil"/>
              <w:bottom w:val="nil"/>
              <w:right w:val="nil"/>
            </w:tcBorders>
            <w:shd w:val="clear" w:color="000000" w:fill="F97E6F"/>
            <w:noWrap/>
            <w:vAlign w:val="bottom"/>
            <w:hideMark/>
          </w:tcPr>
          <w:p w14:paraId="20FF4D77" w14:textId="481CAE91"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4.48</w:t>
            </w:r>
            <w:r w:rsidR="003A1990">
              <w:rPr>
                <w:rFonts w:ascii="Calibri" w:eastAsia="Times New Roman" w:hAnsi="Calibri" w:cs="Calibri"/>
                <w:kern w:val="0"/>
                <w:sz w:val="22"/>
                <w:szCs w:val="22"/>
                <w:lang w:eastAsia="en-GB"/>
                <w14:ligatures w14:val="none"/>
              </w:rPr>
              <w:t>*</w:t>
            </w:r>
          </w:p>
        </w:tc>
      </w:tr>
      <w:tr w:rsidR="0097774C" w:rsidRPr="0097774C" w14:paraId="265860E3" w14:textId="35D1CDFB" w:rsidTr="0097774C">
        <w:trPr>
          <w:trHeight w:val="288"/>
          <w:jc w:val="center"/>
        </w:trPr>
        <w:tc>
          <w:tcPr>
            <w:tcW w:w="2920" w:type="dxa"/>
            <w:tcBorders>
              <w:top w:val="nil"/>
              <w:left w:val="nil"/>
              <w:bottom w:val="nil"/>
              <w:right w:val="nil"/>
            </w:tcBorders>
            <w:noWrap/>
            <w:vAlign w:val="bottom"/>
            <w:hideMark/>
          </w:tcPr>
          <w:p w14:paraId="56E97556"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South Asian. FSM. Boy.</w:t>
            </w:r>
          </w:p>
        </w:tc>
        <w:tc>
          <w:tcPr>
            <w:tcW w:w="1220" w:type="dxa"/>
            <w:tcBorders>
              <w:top w:val="nil"/>
              <w:left w:val="nil"/>
              <w:bottom w:val="nil"/>
              <w:right w:val="nil"/>
            </w:tcBorders>
            <w:shd w:val="clear" w:color="000000" w:fill="E9E583"/>
            <w:noWrap/>
            <w:vAlign w:val="bottom"/>
            <w:hideMark/>
          </w:tcPr>
          <w:p w14:paraId="554743C6" w14:textId="55C09F7D"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7.58</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CBC7B"/>
            <w:noWrap/>
            <w:vAlign w:val="bottom"/>
            <w:hideMark/>
          </w:tcPr>
          <w:p w14:paraId="29FFF379"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6.63</w:t>
            </w:r>
          </w:p>
        </w:tc>
        <w:tc>
          <w:tcPr>
            <w:tcW w:w="1400" w:type="dxa"/>
            <w:tcBorders>
              <w:top w:val="nil"/>
              <w:left w:val="nil"/>
              <w:bottom w:val="nil"/>
              <w:right w:val="nil"/>
            </w:tcBorders>
            <w:shd w:val="clear" w:color="000000" w:fill="FCB77A"/>
            <w:noWrap/>
            <w:vAlign w:val="bottom"/>
            <w:hideMark/>
          </w:tcPr>
          <w:p w14:paraId="5B2C3C0D"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4.82</w:t>
            </w:r>
          </w:p>
        </w:tc>
        <w:tc>
          <w:tcPr>
            <w:tcW w:w="1480" w:type="dxa"/>
            <w:tcBorders>
              <w:top w:val="nil"/>
              <w:left w:val="nil"/>
              <w:bottom w:val="nil"/>
              <w:right w:val="nil"/>
            </w:tcBorders>
            <w:shd w:val="clear" w:color="000000" w:fill="FBEA84"/>
            <w:noWrap/>
            <w:vAlign w:val="bottom"/>
            <w:hideMark/>
          </w:tcPr>
          <w:p w14:paraId="4B08A96C"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5.00</w:t>
            </w:r>
          </w:p>
        </w:tc>
      </w:tr>
      <w:tr w:rsidR="0097774C" w:rsidRPr="0097774C" w14:paraId="79801CEA" w14:textId="1073C6A2" w:rsidTr="0097774C">
        <w:trPr>
          <w:trHeight w:val="288"/>
          <w:jc w:val="center"/>
        </w:trPr>
        <w:tc>
          <w:tcPr>
            <w:tcW w:w="2920" w:type="dxa"/>
            <w:tcBorders>
              <w:top w:val="nil"/>
              <w:left w:val="nil"/>
              <w:bottom w:val="nil"/>
              <w:right w:val="nil"/>
            </w:tcBorders>
            <w:noWrap/>
            <w:vAlign w:val="bottom"/>
            <w:hideMark/>
          </w:tcPr>
          <w:p w14:paraId="2789B756"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Mixed race. Not FSM. Boy.</w:t>
            </w:r>
          </w:p>
        </w:tc>
        <w:tc>
          <w:tcPr>
            <w:tcW w:w="1220" w:type="dxa"/>
            <w:tcBorders>
              <w:top w:val="nil"/>
              <w:left w:val="nil"/>
              <w:bottom w:val="nil"/>
              <w:right w:val="nil"/>
            </w:tcBorders>
            <w:shd w:val="clear" w:color="000000" w:fill="EAE583"/>
            <w:noWrap/>
            <w:vAlign w:val="bottom"/>
            <w:hideMark/>
          </w:tcPr>
          <w:p w14:paraId="694B3408" w14:textId="2EA04695"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7.58</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DEB84"/>
            <w:noWrap/>
            <w:vAlign w:val="bottom"/>
            <w:hideMark/>
          </w:tcPr>
          <w:p w14:paraId="0518164A" w14:textId="2A837936"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6.85</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D0DE82"/>
            <w:noWrap/>
            <w:vAlign w:val="bottom"/>
            <w:hideMark/>
          </w:tcPr>
          <w:p w14:paraId="081BC045" w14:textId="4F159CF3"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5.23</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94CC7E"/>
            <w:noWrap/>
            <w:vAlign w:val="bottom"/>
            <w:hideMark/>
          </w:tcPr>
          <w:p w14:paraId="2BABD110" w14:textId="7C905513"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5.38</w:t>
            </w:r>
            <w:r w:rsidR="003A1990">
              <w:rPr>
                <w:rFonts w:ascii="Calibri" w:eastAsia="Times New Roman" w:hAnsi="Calibri" w:cs="Calibri"/>
                <w:kern w:val="0"/>
                <w:sz w:val="22"/>
                <w:szCs w:val="22"/>
                <w:lang w:eastAsia="en-GB"/>
                <w14:ligatures w14:val="none"/>
              </w:rPr>
              <w:t>*</w:t>
            </w:r>
          </w:p>
        </w:tc>
      </w:tr>
      <w:tr w:rsidR="0097774C" w:rsidRPr="0097774C" w14:paraId="59E947E6" w14:textId="15E90B76" w:rsidTr="0097774C">
        <w:trPr>
          <w:trHeight w:val="288"/>
          <w:jc w:val="center"/>
        </w:trPr>
        <w:tc>
          <w:tcPr>
            <w:tcW w:w="2920" w:type="dxa"/>
            <w:tcBorders>
              <w:top w:val="nil"/>
              <w:left w:val="nil"/>
              <w:bottom w:val="nil"/>
              <w:right w:val="nil"/>
            </w:tcBorders>
            <w:noWrap/>
            <w:vAlign w:val="bottom"/>
            <w:hideMark/>
          </w:tcPr>
          <w:p w14:paraId="42E22F80"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Asian. FSM. Girl.</w:t>
            </w:r>
          </w:p>
        </w:tc>
        <w:tc>
          <w:tcPr>
            <w:tcW w:w="1220" w:type="dxa"/>
            <w:tcBorders>
              <w:top w:val="nil"/>
              <w:left w:val="nil"/>
              <w:bottom w:val="nil"/>
              <w:right w:val="nil"/>
            </w:tcBorders>
            <w:shd w:val="clear" w:color="000000" w:fill="EBE683"/>
            <w:noWrap/>
            <w:vAlign w:val="bottom"/>
            <w:hideMark/>
          </w:tcPr>
          <w:p w14:paraId="7A4509F4" w14:textId="1B83E9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7.57</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CEDD82"/>
            <w:noWrap/>
            <w:vAlign w:val="bottom"/>
            <w:hideMark/>
          </w:tcPr>
          <w:p w14:paraId="459BC848" w14:textId="3580D54B"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7.05</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DC77D"/>
            <w:noWrap/>
            <w:vAlign w:val="bottom"/>
            <w:hideMark/>
          </w:tcPr>
          <w:p w14:paraId="045F48B4"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4.90</w:t>
            </w:r>
          </w:p>
        </w:tc>
        <w:tc>
          <w:tcPr>
            <w:tcW w:w="1480" w:type="dxa"/>
            <w:tcBorders>
              <w:top w:val="nil"/>
              <w:left w:val="nil"/>
              <w:bottom w:val="nil"/>
              <w:right w:val="nil"/>
            </w:tcBorders>
            <w:shd w:val="clear" w:color="000000" w:fill="FCC07B"/>
            <w:noWrap/>
            <w:vAlign w:val="bottom"/>
            <w:hideMark/>
          </w:tcPr>
          <w:p w14:paraId="5674CCFF"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4.79</w:t>
            </w:r>
          </w:p>
        </w:tc>
      </w:tr>
      <w:tr w:rsidR="0097774C" w:rsidRPr="0097774C" w14:paraId="32C838B1" w14:textId="708B5ED3" w:rsidTr="0097774C">
        <w:trPr>
          <w:trHeight w:val="288"/>
          <w:jc w:val="center"/>
        </w:trPr>
        <w:tc>
          <w:tcPr>
            <w:tcW w:w="2920" w:type="dxa"/>
            <w:tcBorders>
              <w:top w:val="nil"/>
              <w:left w:val="nil"/>
              <w:bottom w:val="nil"/>
              <w:right w:val="nil"/>
            </w:tcBorders>
            <w:noWrap/>
            <w:vAlign w:val="bottom"/>
            <w:hideMark/>
          </w:tcPr>
          <w:p w14:paraId="657826A8"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Asian. FSM. Boy.</w:t>
            </w:r>
          </w:p>
        </w:tc>
        <w:tc>
          <w:tcPr>
            <w:tcW w:w="1220" w:type="dxa"/>
            <w:tcBorders>
              <w:top w:val="nil"/>
              <w:left w:val="nil"/>
              <w:bottom w:val="nil"/>
              <w:right w:val="nil"/>
            </w:tcBorders>
            <w:shd w:val="clear" w:color="000000" w:fill="FDEB84"/>
            <w:noWrap/>
            <w:vAlign w:val="bottom"/>
            <w:hideMark/>
          </w:tcPr>
          <w:p w14:paraId="4D6FEEA5" w14:textId="724350E9"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7.49</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CC37C"/>
            <w:noWrap/>
            <w:vAlign w:val="bottom"/>
            <w:hideMark/>
          </w:tcPr>
          <w:p w14:paraId="5A231432"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6.66</w:t>
            </w:r>
          </w:p>
        </w:tc>
        <w:tc>
          <w:tcPr>
            <w:tcW w:w="1400" w:type="dxa"/>
            <w:tcBorders>
              <w:top w:val="nil"/>
              <w:left w:val="nil"/>
              <w:bottom w:val="nil"/>
              <w:right w:val="nil"/>
            </w:tcBorders>
            <w:shd w:val="clear" w:color="000000" w:fill="E8E583"/>
            <w:noWrap/>
            <w:vAlign w:val="bottom"/>
            <w:hideMark/>
          </w:tcPr>
          <w:p w14:paraId="0ECA9D5B"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5.15</w:t>
            </w:r>
          </w:p>
        </w:tc>
        <w:tc>
          <w:tcPr>
            <w:tcW w:w="1480" w:type="dxa"/>
            <w:tcBorders>
              <w:top w:val="nil"/>
              <w:left w:val="nil"/>
              <w:bottom w:val="nil"/>
              <w:right w:val="nil"/>
            </w:tcBorders>
            <w:shd w:val="clear" w:color="000000" w:fill="EBE683"/>
            <w:noWrap/>
            <w:vAlign w:val="bottom"/>
            <w:hideMark/>
          </w:tcPr>
          <w:p w14:paraId="0E0361B6"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5.06</w:t>
            </w:r>
          </w:p>
        </w:tc>
      </w:tr>
      <w:tr w:rsidR="0097774C" w:rsidRPr="0097774C" w14:paraId="40F8E16A" w14:textId="7B25F445" w:rsidTr="0097774C">
        <w:trPr>
          <w:trHeight w:val="288"/>
          <w:jc w:val="center"/>
        </w:trPr>
        <w:tc>
          <w:tcPr>
            <w:tcW w:w="2920" w:type="dxa"/>
            <w:tcBorders>
              <w:top w:val="nil"/>
              <w:left w:val="nil"/>
              <w:bottom w:val="nil"/>
              <w:right w:val="nil"/>
            </w:tcBorders>
            <w:noWrap/>
            <w:vAlign w:val="bottom"/>
            <w:hideMark/>
          </w:tcPr>
          <w:p w14:paraId="4633B345"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White Other. Not FSM. Boy.</w:t>
            </w:r>
          </w:p>
        </w:tc>
        <w:tc>
          <w:tcPr>
            <w:tcW w:w="1220" w:type="dxa"/>
            <w:tcBorders>
              <w:top w:val="nil"/>
              <w:left w:val="nil"/>
              <w:bottom w:val="nil"/>
              <w:right w:val="nil"/>
            </w:tcBorders>
            <w:shd w:val="clear" w:color="000000" w:fill="FEE983"/>
            <w:noWrap/>
            <w:vAlign w:val="bottom"/>
            <w:hideMark/>
          </w:tcPr>
          <w:p w14:paraId="48713728" w14:textId="6777995C"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7.47</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CBE7B"/>
            <w:noWrap/>
            <w:vAlign w:val="bottom"/>
            <w:hideMark/>
          </w:tcPr>
          <w:p w14:paraId="3A5DD23F"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6.64</w:t>
            </w:r>
          </w:p>
        </w:tc>
        <w:tc>
          <w:tcPr>
            <w:tcW w:w="1400" w:type="dxa"/>
            <w:tcBorders>
              <w:top w:val="nil"/>
              <w:left w:val="nil"/>
              <w:bottom w:val="nil"/>
              <w:right w:val="nil"/>
            </w:tcBorders>
            <w:shd w:val="clear" w:color="000000" w:fill="DCE182"/>
            <w:noWrap/>
            <w:vAlign w:val="bottom"/>
            <w:hideMark/>
          </w:tcPr>
          <w:p w14:paraId="3C579720" w14:textId="3166C80E"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5.19</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96CD7E"/>
            <w:noWrap/>
            <w:vAlign w:val="bottom"/>
            <w:hideMark/>
          </w:tcPr>
          <w:p w14:paraId="074D711C" w14:textId="73115FAD"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5.37</w:t>
            </w:r>
            <w:r w:rsidR="003A1990">
              <w:rPr>
                <w:rFonts w:ascii="Calibri" w:eastAsia="Times New Roman" w:hAnsi="Calibri" w:cs="Calibri"/>
                <w:kern w:val="0"/>
                <w:sz w:val="22"/>
                <w:szCs w:val="22"/>
                <w:lang w:eastAsia="en-GB"/>
                <w14:ligatures w14:val="none"/>
              </w:rPr>
              <w:t>*</w:t>
            </w:r>
          </w:p>
        </w:tc>
      </w:tr>
      <w:tr w:rsidR="0097774C" w:rsidRPr="0097774C" w14:paraId="0CE2F6EF" w14:textId="2CC26880" w:rsidTr="0097774C">
        <w:trPr>
          <w:trHeight w:val="288"/>
          <w:jc w:val="center"/>
        </w:trPr>
        <w:tc>
          <w:tcPr>
            <w:tcW w:w="2920" w:type="dxa"/>
            <w:tcBorders>
              <w:top w:val="nil"/>
              <w:left w:val="nil"/>
              <w:bottom w:val="nil"/>
              <w:right w:val="nil"/>
            </w:tcBorders>
            <w:noWrap/>
            <w:vAlign w:val="bottom"/>
            <w:hideMark/>
          </w:tcPr>
          <w:p w14:paraId="26EC79B9"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Mixed race. Not FSM. Girl.</w:t>
            </w:r>
          </w:p>
        </w:tc>
        <w:tc>
          <w:tcPr>
            <w:tcW w:w="1220" w:type="dxa"/>
            <w:tcBorders>
              <w:top w:val="nil"/>
              <w:left w:val="nil"/>
              <w:bottom w:val="nil"/>
              <w:right w:val="nil"/>
            </w:tcBorders>
            <w:shd w:val="clear" w:color="000000" w:fill="FEE182"/>
            <w:noWrap/>
            <w:vAlign w:val="bottom"/>
            <w:hideMark/>
          </w:tcPr>
          <w:p w14:paraId="59067C5B" w14:textId="66265429"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7.42</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E9E583"/>
            <w:noWrap/>
            <w:vAlign w:val="bottom"/>
            <w:hideMark/>
          </w:tcPr>
          <w:p w14:paraId="68DD9A34" w14:textId="16577DC6"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6.93</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EE883"/>
            <w:noWrap/>
            <w:vAlign w:val="bottom"/>
            <w:hideMark/>
          </w:tcPr>
          <w:p w14:paraId="1871B35B" w14:textId="68557498"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5.06</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FEE683"/>
            <w:noWrap/>
            <w:vAlign w:val="bottom"/>
            <w:hideMark/>
          </w:tcPr>
          <w:p w14:paraId="5CFA6434"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4.97</w:t>
            </w:r>
          </w:p>
        </w:tc>
      </w:tr>
      <w:tr w:rsidR="0097774C" w:rsidRPr="0097774C" w14:paraId="0E968F02" w14:textId="77E007BA" w:rsidTr="0097774C">
        <w:trPr>
          <w:trHeight w:val="288"/>
          <w:jc w:val="center"/>
        </w:trPr>
        <w:tc>
          <w:tcPr>
            <w:tcW w:w="2920" w:type="dxa"/>
            <w:tcBorders>
              <w:top w:val="nil"/>
              <w:left w:val="nil"/>
              <w:bottom w:val="nil"/>
              <w:right w:val="nil"/>
            </w:tcBorders>
            <w:noWrap/>
            <w:vAlign w:val="bottom"/>
            <w:hideMark/>
          </w:tcPr>
          <w:p w14:paraId="7A27F2B5"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White Other. Not FSM. Girl.</w:t>
            </w:r>
          </w:p>
        </w:tc>
        <w:tc>
          <w:tcPr>
            <w:tcW w:w="1220" w:type="dxa"/>
            <w:tcBorders>
              <w:top w:val="nil"/>
              <w:left w:val="nil"/>
              <w:bottom w:val="nil"/>
              <w:right w:val="nil"/>
            </w:tcBorders>
            <w:shd w:val="clear" w:color="000000" w:fill="FEDA80"/>
            <w:noWrap/>
            <w:vAlign w:val="bottom"/>
            <w:hideMark/>
          </w:tcPr>
          <w:p w14:paraId="6996F952" w14:textId="6A62AA26"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7.38</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EE883"/>
            <w:noWrap/>
            <w:vAlign w:val="bottom"/>
            <w:hideMark/>
          </w:tcPr>
          <w:p w14:paraId="5FE7AA76" w14:textId="7ED6ED38"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6.82</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0E784"/>
            <w:noWrap/>
            <w:vAlign w:val="bottom"/>
            <w:hideMark/>
          </w:tcPr>
          <w:p w14:paraId="55834B61" w14:textId="6BCB10EE"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5.12</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FDCC7E"/>
            <w:noWrap/>
            <w:vAlign w:val="bottom"/>
            <w:hideMark/>
          </w:tcPr>
          <w:p w14:paraId="28EFB243"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4.84</w:t>
            </w:r>
          </w:p>
        </w:tc>
      </w:tr>
      <w:tr w:rsidR="0097774C" w:rsidRPr="0097774C" w14:paraId="3BD68C70" w14:textId="450058C4" w:rsidTr="0097774C">
        <w:trPr>
          <w:trHeight w:val="288"/>
          <w:jc w:val="center"/>
        </w:trPr>
        <w:tc>
          <w:tcPr>
            <w:tcW w:w="2920" w:type="dxa"/>
            <w:tcBorders>
              <w:top w:val="nil"/>
              <w:left w:val="nil"/>
              <w:bottom w:val="nil"/>
              <w:right w:val="nil"/>
            </w:tcBorders>
            <w:noWrap/>
            <w:vAlign w:val="bottom"/>
            <w:hideMark/>
          </w:tcPr>
          <w:p w14:paraId="40F8EAF6"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South Asian. FSM. Girl.</w:t>
            </w:r>
          </w:p>
        </w:tc>
        <w:tc>
          <w:tcPr>
            <w:tcW w:w="1220" w:type="dxa"/>
            <w:tcBorders>
              <w:top w:val="nil"/>
              <w:left w:val="nil"/>
              <w:bottom w:val="nil"/>
              <w:right w:val="nil"/>
            </w:tcBorders>
            <w:shd w:val="clear" w:color="000000" w:fill="FDD680"/>
            <w:noWrap/>
            <w:vAlign w:val="bottom"/>
            <w:hideMark/>
          </w:tcPr>
          <w:p w14:paraId="285AB1CA" w14:textId="20800593"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7.35</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DEB84"/>
            <w:noWrap/>
            <w:vAlign w:val="bottom"/>
            <w:hideMark/>
          </w:tcPr>
          <w:p w14:paraId="3A6364BB" w14:textId="249B8F58"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6.84</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A9C74"/>
            <w:noWrap/>
            <w:vAlign w:val="bottom"/>
            <w:hideMark/>
          </w:tcPr>
          <w:p w14:paraId="121C2551"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4.69</w:t>
            </w:r>
          </w:p>
        </w:tc>
        <w:tc>
          <w:tcPr>
            <w:tcW w:w="1480" w:type="dxa"/>
            <w:tcBorders>
              <w:top w:val="nil"/>
              <w:left w:val="nil"/>
              <w:bottom w:val="nil"/>
              <w:right w:val="nil"/>
            </w:tcBorders>
            <w:shd w:val="clear" w:color="000000" w:fill="FBA776"/>
            <w:noWrap/>
            <w:vAlign w:val="bottom"/>
            <w:hideMark/>
          </w:tcPr>
          <w:p w14:paraId="5CD03D8F"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4.67</w:t>
            </w:r>
          </w:p>
        </w:tc>
      </w:tr>
      <w:tr w:rsidR="0097774C" w:rsidRPr="0097774C" w14:paraId="394324F8" w14:textId="5426A405" w:rsidTr="0097774C">
        <w:trPr>
          <w:trHeight w:val="288"/>
          <w:jc w:val="center"/>
        </w:trPr>
        <w:tc>
          <w:tcPr>
            <w:tcW w:w="2920" w:type="dxa"/>
            <w:tcBorders>
              <w:top w:val="nil"/>
              <w:left w:val="nil"/>
              <w:bottom w:val="nil"/>
              <w:right w:val="nil"/>
            </w:tcBorders>
            <w:noWrap/>
            <w:vAlign w:val="bottom"/>
            <w:hideMark/>
          </w:tcPr>
          <w:p w14:paraId="30D67756"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White British. Not FSM. Boy.</w:t>
            </w:r>
          </w:p>
        </w:tc>
        <w:tc>
          <w:tcPr>
            <w:tcW w:w="1220" w:type="dxa"/>
            <w:tcBorders>
              <w:top w:val="nil"/>
              <w:left w:val="nil"/>
              <w:bottom w:val="nil"/>
              <w:right w:val="nil"/>
            </w:tcBorders>
            <w:shd w:val="clear" w:color="000000" w:fill="FDD17F"/>
            <w:noWrap/>
            <w:vAlign w:val="bottom"/>
            <w:hideMark/>
          </w:tcPr>
          <w:p w14:paraId="2EACDF22" w14:textId="2B6017DB"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7.32</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CBC7B"/>
            <w:noWrap/>
            <w:vAlign w:val="bottom"/>
            <w:hideMark/>
          </w:tcPr>
          <w:p w14:paraId="38F8DA5E" w14:textId="7542F41A"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6.63</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CEA84"/>
            <w:noWrap/>
            <w:vAlign w:val="bottom"/>
            <w:hideMark/>
          </w:tcPr>
          <w:p w14:paraId="3DDE18C6" w14:textId="0848CC1C"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5.08</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A9D380"/>
            <w:noWrap/>
            <w:vAlign w:val="bottom"/>
            <w:hideMark/>
          </w:tcPr>
          <w:p w14:paraId="0C69287E" w14:textId="00B67774"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5.30</w:t>
            </w:r>
            <w:r w:rsidR="003A1990">
              <w:rPr>
                <w:rFonts w:ascii="Calibri" w:eastAsia="Times New Roman" w:hAnsi="Calibri" w:cs="Calibri"/>
                <w:kern w:val="0"/>
                <w:sz w:val="22"/>
                <w:szCs w:val="22"/>
                <w:lang w:eastAsia="en-GB"/>
                <w14:ligatures w14:val="none"/>
              </w:rPr>
              <w:t>*</w:t>
            </w:r>
          </w:p>
        </w:tc>
      </w:tr>
      <w:tr w:rsidR="0097774C" w:rsidRPr="0097774C" w14:paraId="02BE3369" w14:textId="6BCF59D4" w:rsidTr="0097774C">
        <w:trPr>
          <w:trHeight w:val="288"/>
          <w:jc w:val="center"/>
        </w:trPr>
        <w:tc>
          <w:tcPr>
            <w:tcW w:w="2920" w:type="dxa"/>
            <w:tcBorders>
              <w:top w:val="nil"/>
              <w:left w:val="nil"/>
              <w:bottom w:val="nil"/>
              <w:right w:val="nil"/>
            </w:tcBorders>
            <w:noWrap/>
            <w:vAlign w:val="bottom"/>
            <w:hideMark/>
          </w:tcPr>
          <w:p w14:paraId="5FEE049A"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White Other. FSM. Boy.</w:t>
            </w:r>
          </w:p>
        </w:tc>
        <w:tc>
          <w:tcPr>
            <w:tcW w:w="1220" w:type="dxa"/>
            <w:tcBorders>
              <w:top w:val="nil"/>
              <w:left w:val="nil"/>
              <w:bottom w:val="nil"/>
              <w:right w:val="nil"/>
            </w:tcBorders>
            <w:shd w:val="clear" w:color="000000" w:fill="FDCC7E"/>
            <w:noWrap/>
            <w:vAlign w:val="bottom"/>
            <w:hideMark/>
          </w:tcPr>
          <w:p w14:paraId="49335EDD" w14:textId="3FC60950"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7.29</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A8F72"/>
            <w:noWrap/>
            <w:vAlign w:val="bottom"/>
            <w:hideMark/>
          </w:tcPr>
          <w:p w14:paraId="52CB12BC"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6.43</w:t>
            </w:r>
          </w:p>
        </w:tc>
        <w:tc>
          <w:tcPr>
            <w:tcW w:w="1400" w:type="dxa"/>
            <w:tcBorders>
              <w:top w:val="nil"/>
              <w:left w:val="nil"/>
              <w:bottom w:val="nil"/>
              <w:right w:val="nil"/>
            </w:tcBorders>
            <w:shd w:val="clear" w:color="000000" w:fill="FDCD7E"/>
            <w:noWrap/>
            <w:vAlign w:val="bottom"/>
            <w:hideMark/>
          </w:tcPr>
          <w:p w14:paraId="539A96F4"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4.93</w:t>
            </w:r>
          </w:p>
        </w:tc>
        <w:tc>
          <w:tcPr>
            <w:tcW w:w="1480" w:type="dxa"/>
            <w:tcBorders>
              <w:top w:val="nil"/>
              <w:left w:val="nil"/>
              <w:bottom w:val="nil"/>
              <w:right w:val="nil"/>
            </w:tcBorders>
            <w:shd w:val="clear" w:color="000000" w:fill="FEE783"/>
            <w:noWrap/>
            <w:vAlign w:val="bottom"/>
            <w:hideMark/>
          </w:tcPr>
          <w:p w14:paraId="6C9DF49E"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4.97</w:t>
            </w:r>
          </w:p>
        </w:tc>
      </w:tr>
      <w:tr w:rsidR="0097774C" w:rsidRPr="0097774C" w14:paraId="6291D070" w14:textId="3C58BEB9" w:rsidTr="0097774C">
        <w:trPr>
          <w:trHeight w:val="288"/>
          <w:jc w:val="center"/>
        </w:trPr>
        <w:tc>
          <w:tcPr>
            <w:tcW w:w="2920" w:type="dxa"/>
            <w:tcBorders>
              <w:top w:val="nil"/>
              <w:left w:val="nil"/>
              <w:bottom w:val="nil"/>
              <w:right w:val="nil"/>
            </w:tcBorders>
            <w:noWrap/>
            <w:vAlign w:val="bottom"/>
            <w:hideMark/>
          </w:tcPr>
          <w:p w14:paraId="55C6E6BC"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White British. Not FSM. Girl.</w:t>
            </w:r>
          </w:p>
        </w:tc>
        <w:tc>
          <w:tcPr>
            <w:tcW w:w="1220" w:type="dxa"/>
            <w:tcBorders>
              <w:top w:val="nil"/>
              <w:left w:val="nil"/>
              <w:bottom w:val="nil"/>
              <w:right w:val="nil"/>
            </w:tcBorders>
            <w:shd w:val="clear" w:color="000000" w:fill="FCB77A"/>
            <w:noWrap/>
            <w:vAlign w:val="bottom"/>
            <w:hideMark/>
          </w:tcPr>
          <w:p w14:paraId="4A8E9EDA"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7.15</w:t>
            </w:r>
          </w:p>
        </w:tc>
        <w:tc>
          <w:tcPr>
            <w:tcW w:w="1320" w:type="dxa"/>
            <w:tcBorders>
              <w:top w:val="nil"/>
              <w:left w:val="nil"/>
              <w:bottom w:val="nil"/>
              <w:right w:val="nil"/>
            </w:tcBorders>
            <w:shd w:val="clear" w:color="000000" w:fill="FED880"/>
            <w:noWrap/>
            <w:vAlign w:val="bottom"/>
            <w:hideMark/>
          </w:tcPr>
          <w:p w14:paraId="5C70F8E5" w14:textId="725D02D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6.76</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ED980"/>
            <w:noWrap/>
            <w:vAlign w:val="bottom"/>
            <w:hideMark/>
          </w:tcPr>
          <w:p w14:paraId="75095203"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4.99</w:t>
            </w:r>
          </w:p>
        </w:tc>
        <w:tc>
          <w:tcPr>
            <w:tcW w:w="1480" w:type="dxa"/>
            <w:tcBorders>
              <w:top w:val="nil"/>
              <w:left w:val="nil"/>
              <w:bottom w:val="nil"/>
              <w:right w:val="nil"/>
            </w:tcBorders>
            <w:shd w:val="clear" w:color="000000" w:fill="FED980"/>
            <w:noWrap/>
            <w:vAlign w:val="bottom"/>
            <w:hideMark/>
          </w:tcPr>
          <w:p w14:paraId="019C41B8"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4.90</w:t>
            </w:r>
          </w:p>
        </w:tc>
      </w:tr>
      <w:tr w:rsidR="0097774C" w:rsidRPr="0097774C" w14:paraId="14126BDD" w14:textId="2346F8ED" w:rsidTr="0097774C">
        <w:trPr>
          <w:trHeight w:val="288"/>
          <w:jc w:val="center"/>
        </w:trPr>
        <w:tc>
          <w:tcPr>
            <w:tcW w:w="2920" w:type="dxa"/>
            <w:tcBorders>
              <w:top w:val="nil"/>
              <w:left w:val="nil"/>
              <w:bottom w:val="nil"/>
              <w:right w:val="nil"/>
            </w:tcBorders>
            <w:noWrap/>
            <w:vAlign w:val="bottom"/>
            <w:hideMark/>
          </w:tcPr>
          <w:p w14:paraId="0EF6330E"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Mixed race. FSM. Boy.</w:t>
            </w:r>
          </w:p>
        </w:tc>
        <w:tc>
          <w:tcPr>
            <w:tcW w:w="1220" w:type="dxa"/>
            <w:tcBorders>
              <w:top w:val="nil"/>
              <w:left w:val="nil"/>
              <w:bottom w:val="nil"/>
              <w:right w:val="nil"/>
            </w:tcBorders>
            <w:shd w:val="clear" w:color="000000" w:fill="FCB679"/>
            <w:noWrap/>
            <w:vAlign w:val="bottom"/>
            <w:hideMark/>
          </w:tcPr>
          <w:p w14:paraId="16116147"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7.14</w:t>
            </w:r>
          </w:p>
        </w:tc>
        <w:tc>
          <w:tcPr>
            <w:tcW w:w="1320" w:type="dxa"/>
            <w:tcBorders>
              <w:top w:val="nil"/>
              <w:left w:val="nil"/>
              <w:bottom w:val="nil"/>
              <w:right w:val="nil"/>
            </w:tcBorders>
            <w:shd w:val="clear" w:color="000000" w:fill="F98570"/>
            <w:noWrap/>
            <w:vAlign w:val="bottom"/>
            <w:hideMark/>
          </w:tcPr>
          <w:p w14:paraId="33CD9552"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6.39</w:t>
            </w:r>
          </w:p>
        </w:tc>
        <w:tc>
          <w:tcPr>
            <w:tcW w:w="1400" w:type="dxa"/>
            <w:tcBorders>
              <w:top w:val="nil"/>
              <w:left w:val="nil"/>
              <w:bottom w:val="nil"/>
              <w:right w:val="nil"/>
            </w:tcBorders>
            <w:shd w:val="clear" w:color="000000" w:fill="FCB87A"/>
            <w:noWrap/>
            <w:vAlign w:val="bottom"/>
            <w:hideMark/>
          </w:tcPr>
          <w:p w14:paraId="70E62AED"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4.83</w:t>
            </w:r>
          </w:p>
        </w:tc>
        <w:tc>
          <w:tcPr>
            <w:tcW w:w="1480" w:type="dxa"/>
            <w:tcBorders>
              <w:top w:val="nil"/>
              <w:left w:val="nil"/>
              <w:bottom w:val="nil"/>
              <w:right w:val="nil"/>
            </w:tcBorders>
            <w:shd w:val="clear" w:color="000000" w:fill="DDE182"/>
            <w:noWrap/>
            <w:vAlign w:val="bottom"/>
            <w:hideMark/>
          </w:tcPr>
          <w:p w14:paraId="4909B285" w14:textId="674943AF"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5.11</w:t>
            </w:r>
            <w:r w:rsidR="003A1990">
              <w:rPr>
                <w:rFonts w:ascii="Calibri" w:eastAsia="Times New Roman" w:hAnsi="Calibri" w:cs="Calibri"/>
                <w:kern w:val="0"/>
                <w:sz w:val="22"/>
                <w:szCs w:val="22"/>
                <w:lang w:eastAsia="en-GB"/>
                <w14:ligatures w14:val="none"/>
              </w:rPr>
              <w:t>*</w:t>
            </w:r>
          </w:p>
        </w:tc>
      </w:tr>
      <w:tr w:rsidR="0097774C" w:rsidRPr="0097774C" w14:paraId="6A59A12D" w14:textId="464ACD6D" w:rsidTr="0097774C">
        <w:trPr>
          <w:trHeight w:val="288"/>
          <w:jc w:val="center"/>
        </w:trPr>
        <w:tc>
          <w:tcPr>
            <w:tcW w:w="2920" w:type="dxa"/>
            <w:tcBorders>
              <w:top w:val="nil"/>
              <w:left w:val="nil"/>
              <w:bottom w:val="nil"/>
              <w:right w:val="nil"/>
            </w:tcBorders>
            <w:noWrap/>
            <w:vAlign w:val="bottom"/>
            <w:hideMark/>
          </w:tcPr>
          <w:p w14:paraId="21C0C512"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White Other. FSM. Girl.</w:t>
            </w:r>
          </w:p>
        </w:tc>
        <w:tc>
          <w:tcPr>
            <w:tcW w:w="1220" w:type="dxa"/>
            <w:tcBorders>
              <w:top w:val="nil"/>
              <w:left w:val="nil"/>
              <w:bottom w:val="nil"/>
              <w:right w:val="nil"/>
            </w:tcBorders>
            <w:shd w:val="clear" w:color="000000" w:fill="FBAF78"/>
            <w:noWrap/>
            <w:vAlign w:val="bottom"/>
            <w:hideMark/>
          </w:tcPr>
          <w:p w14:paraId="7B54F776"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7.10</w:t>
            </w:r>
          </w:p>
        </w:tc>
        <w:tc>
          <w:tcPr>
            <w:tcW w:w="1320" w:type="dxa"/>
            <w:tcBorders>
              <w:top w:val="nil"/>
              <w:left w:val="nil"/>
              <w:bottom w:val="nil"/>
              <w:right w:val="nil"/>
            </w:tcBorders>
            <w:shd w:val="clear" w:color="000000" w:fill="FDD27F"/>
            <w:noWrap/>
            <w:vAlign w:val="bottom"/>
            <w:hideMark/>
          </w:tcPr>
          <w:p w14:paraId="05A6655A"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6.73</w:t>
            </w:r>
          </w:p>
        </w:tc>
        <w:tc>
          <w:tcPr>
            <w:tcW w:w="1400" w:type="dxa"/>
            <w:tcBorders>
              <w:top w:val="nil"/>
              <w:left w:val="nil"/>
              <w:bottom w:val="nil"/>
              <w:right w:val="nil"/>
            </w:tcBorders>
            <w:shd w:val="clear" w:color="000000" w:fill="FBA877"/>
            <w:noWrap/>
            <w:vAlign w:val="bottom"/>
            <w:hideMark/>
          </w:tcPr>
          <w:p w14:paraId="5B8AEE5B"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4.75</w:t>
            </w:r>
          </w:p>
        </w:tc>
        <w:tc>
          <w:tcPr>
            <w:tcW w:w="1480" w:type="dxa"/>
            <w:tcBorders>
              <w:top w:val="nil"/>
              <w:left w:val="nil"/>
              <w:bottom w:val="nil"/>
              <w:right w:val="nil"/>
            </w:tcBorders>
            <w:shd w:val="clear" w:color="000000" w:fill="FA9473"/>
            <w:noWrap/>
            <w:vAlign w:val="bottom"/>
            <w:hideMark/>
          </w:tcPr>
          <w:p w14:paraId="7BE70FE4" w14:textId="0B661BE8"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4.58</w:t>
            </w:r>
            <w:r w:rsidR="003A1990">
              <w:rPr>
                <w:rFonts w:ascii="Calibri" w:eastAsia="Times New Roman" w:hAnsi="Calibri" w:cs="Calibri"/>
                <w:kern w:val="0"/>
                <w:sz w:val="22"/>
                <w:szCs w:val="22"/>
                <w:lang w:eastAsia="en-GB"/>
                <w14:ligatures w14:val="none"/>
              </w:rPr>
              <w:t>*</w:t>
            </w:r>
          </w:p>
        </w:tc>
      </w:tr>
      <w:tr w:rsidR="0097774C" w:rsidRPr="0097774C" w14:paraId="52EFC06B" w14:textId="2413C166" w:rsidTr="0097774C">
        <w:trPr>
          <w:trHeight w:val="300"/>
          <w:jc w:val="center"/>
        </w:trPr>
        <w:tc>
          <w:tcPr>
            <w:tcW w:w="2920" w:type="dxa"/>
            <w:tcBorders>
              <w:top w:val="nil"/>
              <w:left w:val="nil"/>
              <w:bottom w:val="nil"/>
              <w:right w:val="nil"/>
            </w:tcBorders>
            <w:noWrap/>
            <w:vAlign w:val="bottom"/>
            <w:hideMark/>
          </w:tcPr>
          <w:p w14:paraId="0B89253A"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Mixed race. FSM. Girl.</w:t>
            </w:r>
          </w:p>
        </w:tc>
        <w:tc>
          <w:tcPr>
            <w:tcW w:w="1220" w:type="dxa"/>
            <w:tcBorders>
              <w:top w:val="nil"/>
              <w:left w:val="nil"/>
              <w:bottom w:val="nil"/>
              <w:right w:val="nil"/>
            </w:tcBorders>
            <w:shd w:val="clear" w:color="000000" w:fill="FA8F72"/>
            <w:noWrap/>
            <w:vAlign w:val="bottom"/>
            <w:hideMark/>
          </w:tcPr>
          <w:p w14:paraId="2765C86F"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6.89</w:t>
            </w:r>
          </w:p>
        </w:tc>
        <w:tc>
          <w:tcPr>
            <w:tcW w:w="1320" w:type="dxa"/>
            <w:tcBorders>
              <w:top w:val="nil"/>
              <w:left w:val="nil"/>
              <w:bottom w:val="nil"/>
              <w:right w:val="nil"/>
            </w:tcBorders>
            <w:shd w:val="clear" w:color="000000" w:fill="F98C71"/>
            <w:noWrap/>
            <w:vAlign w:val="bottom"/>
            <w:hideMark/>
          </w:tcPr>
          <w:p w14:paraId="06C7242B"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6.42</w:t>
            </w:r>
          </w:p>
        </w:tc>
        <w:tc>
          <w:tcPr>
            <w:tcW w:w="1400" w:type="dxa"/>
            <w:tcBorders>
              <w:top w:val="nil"/>
              <w:left w:val="nil"/>
              <w:bottom w:val="nil"/>
              <w:right w:val="nil"/>
            </w:tcBorders>
            <w:shd w:val="clear" w:color="000000" w:fill="F9816F"/>
            <w:noWrap/>
            <w:vAlign w:val="bottom"/>
            <w:hideMark/>
          </w:tcPr>
          <w:p w14:paraId="20C330EF" w14:textId="7C3B4165"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4.56</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F8706C"/>
            <w:noWrap/>
            <w:vAlign w:val="bottom"/>
            <w:hideMark/>
          </w:tcPr>
          <w:p w14:paraId="7B38F3D9" w14:textId="2AA808CB"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4.42</w:t>
            </w:r>
            <w:r w:rsidR="003A1990">
              <w:rPr>
                <w:rFonts w:ascii="Calibri" w:eastAsia="Times New Roman" w:hAnsi="Calibri" w:cs="Calibri"/>
                <w:kern w:val="0"/>
                <w:sz w:val="22"/>
                <w:szCs w:val="22"/>
                <w:lang w:eastAsia="en-GB"/>
                <w14:ligatures w14:val="none"/>
              </w:rPr>
              <w:t>*</w:t>
            </w:r>
          </w:p>
        </w:tc>
      </w:tr>
      <w:tr w:rsidR="0097774C" w:rsidRPr="0097774C" w14:paraId="4221ED2F" w14:textId="081FD521" w:rsidTr="0097774C">
        <w:trPr>
          <w:trHeight w:val="300"/>
          <w:jc w:val="center"/>
        </w:trPr>
        <w:tc>
          <w:tcPr>
            <w:tcW w:w="2920" w:type="dxa"/>
            <w:tcBorders>
              <w:top w:val="single" w:sz="8" w:space="0" w:color="auto"/>
              <w:left w:val="single" w:sz="8" w:space="0" w:color="auto"/>
              <w:bottom w:val="single" w:sz="8" w:space="0" w:color="auto"/>
              <w:right w:val="nil"/>
            </w:tcBorders>
            <w:noWrap/>
            <w:vAlign w:val="bottom"/>
            <w:hideMark/>
          </w:tcPr>
          <w:p w14:paraId="52B5BAFC"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White British. FSM. Boy.</w:t>
            </w:r>
          </w:p>
        </w:tc>
        <w:tc>
          <w:tcPr>
            <w:tcW w:w="1220" w:type="dxa"/>
            <w:tcBorders>
              <w:top w:val="single" w:sz="8" w:space="0" w:color="auto"/>
              <w:left w:val="nil"/>
              <w:bottom w:val="single" w:sz="8" w:space="0" w:color="auto"/>
              <w:right w:val="nil"/>
            </w:tcBorders>
            <w:shd w:val="clear" w:color="000000" w:fill="F98570"/>
            <w:noWrap/>
            <w:vAlign w:val="bottom"/>
            <w:hideMark/>
          </w:tcPr>
          <w:p w14:paraId="20D347E4"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6.83</w:t>
            </w:r>
          </w:p>
        </w:tc>
        <w:tc>
          <w:tcPr>
            <w:tcW w:w="1320" w:type="dxa"/>
            <w:tcBorders>
              <w:top w:val="single" w:sz="8" w:space="0" w:color="auto"/>
              <w:left w:val="nil"/>
              <w:bottom w:val="single" w:sz="8" w:space="0" w:color="auto"/>
              <w:right w:val="nil"/>
            </w:tcBorders>
            <w:shd w:val="clear" w:color="000000" w:fill="F8696B"/>
            <w:noWrap/>
            <w:vAlign w:val="bottom"/>
            <w:hideMark/>
          </w:tcPr>
          <w:p w14:paraId="6479B058"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6.27</w:t>
            </w:r>
          </w:p>
        </w:tc>
        <w:tc>
          <w:tcPr>
            <w:tcW w:w="1400" w:type="dxa"/>
            <w:tcBorders>
              <w:top w:val="single" w:sz="8" w:space="0" w:color="auto"/>
              <w:left w:val="nil"/>
              <w:bottom w:val="single" w:sz="8" w:space="0" w:color="auto"/>
              <w:right w:val="nil"/>
            </w:tcBorders>
            <w:shd w:val="clear" w:color="000000" w:fill="FA9072"/>
            <w:noWrap/>
            <w:vAlign w:val="bottom"/>
            <w:hideMark/>
          </w:tcPr>
          <w:p w14:paraId="2B6F1ADA"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4.63</w:t>
            </w:r>
          </w:p>
        </w:tc>
        <w:tc>
          <w:tcPr>
            <w:tcW w:w="1480" w:type="dxa"/>
            <w:tcBorders>
              <w:top w:val="single" w:sz="8" w:space="0" w:color="auto"/>
              <w:left w:val="nil"/>
              <w:bottom w:val="single" w:sz="8" w:space="0" w:color="auto"/>
              <w:right w:val="nil"/>
            </w:tcBorders>
            <w:shd w:val="clear" w:color="000000" w:fill="FCBA7A"/>
            <w:noWrap/>
            <w:vAlign w:val="bottom"/>
            <w:hideMark/>
          </w:tcPr>
          <w:p w14:paraId="6065F2D6" w14:textId="7777777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4.76</w:t>
            </w:r>
          </w:p>
        </w:tc>
      </w:tr>
      <w:tr w:rsidR="0097774C" w:rsidRPr="0097774C" w14:paraId="439B6473" w14:textId="59566B25" w:rsidTr="0097774C">
        <w:trPr>
          <w:trHeight w:val="300"/>
          <w:jc w:val="center"/>
        </w:trPr>
        <w:tc>
          <w:tcPr>
            <w:tcW w:w="2920" w:type="dxa"/>
            <w:tcBorders>
              <w:top w:val="nil"/>
              <w:left w:val="single" w:sz="8" w:space="0" w:color="auto"/>
              <w:bottom w:val="single" w:sz="8" w:space="0" w:color="auto"/>
              <w:right w:val="nil"/>
            </w:tcBorders>
            <w:noWrap/>
            <w:vAlign w:val="bottom"/>
            <w:hideMark/>
          </w:tcPr>
          <w:p w14:paraId="2A94FE11" w14:textId="77777777" w:rsidR="0097774C" w:rsidRPr="0097774C" w:rsidRDefault="0097774C" w:rsidP="0097774C">
            <w:pPr>
              <w:spacing w:after="0" w:line="240" w:lineRule="auto"/>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White British. FSM. Girl.</w:t>
            </w:r>
          </w:p>
        </w:tc>
        <w:tc>
          <w:tcPr>
            <w:tcW w:w="1220" w:type="dxa"/>
            <w:tcBorders>
              <w:top w:val="nil"/>
              <w:left w:val="nil"/>
              <w:bottom w:val="single" w:sz="8" w:space="0" w:color="auto"/>
              <w:right w:val="nil"/>
            </w:tcBorders>
            <w:shd w:val="clear" w:color="000000" w:fill="F8696B"/>
            <w:noWrap/>
            <w:vAlign w:val="bottom"/>
            <w:hideMark/>
          </w:tcPr>
          <w:p w14:paraId="30E38B6C" w14:textId="0481E097"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6.64</w:t>
            </w:r>
            <w:r w:rsidR="000970A0">
              <w:rPr>
                <w:rFonts w:ascii="Calibri" w:eastAsia="Times New Roman" w:hAnsi="Calibri" w:cs="Calibri"/>
                <w:kern w:val="0"/>
                <w:sz w:val="22"/>
                <w:szCs w:val="22"/>
                <w:lang w:eastAsia="en-GB"/>
                <w14:ligatures w14:val="none"/>
              </w:rPr>
              <w:t>*</w:t>
            </w:r>
          </w:p>
        </w:tc>
        <w:tc>
          <w:tcPr>
            <w:tcW w:w="1320" w:type="dxa"/>
            <w:tcBorders>
              <w:top w:val="nil"/>
              <w:left w:val="nil"/>
              <w:bottom w:val="single" w:sz="8" w:space="0" w:color="auto"/>
              <w:right w:val="nil"/>
            </w:tcBorders>
            <w:shd w:val="clear" w:color="000000" w:fill="F8796E"/>
            <w:noWrap/>
            <w:vAlign w:val="bottom"/>
            <w:hideMark/>
          </w:tcPr>
          <w:p w14:paraId="24687F62" w14:textId="64C8471D"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6.34</w:t>
            </w:r>
            <w:r w:rsidR="000970A0">
              <w:rPr>
                <w:rFonts w:ascii="Calibri" w:eastAsia="Times New Roman" w:hAnsi="Calibri" w:cs="Calibri"/>
                <w:kern w:val="0"/>
                <w:sz w:val="22"/>
                <w:szCs w:val="22"/>
                <w:lang w:eastAsia="en-GB"/>
                <w14:ligatures w14:val="none"/>
              </w:rPr>
              <w:t>*</w:t>
            </w:r>
          </w:p>
        </w:tc>
        <w:tc>
          <w:tcPr>
            <w:tcW w:w="1400" w:type="dxa"/>
            <w:tcBorders>
              <w:top w:val="nil"/>
              <w:left w:val="nil"/>
              <w:bottom w:val="single" w:sz="8" w:space="0" w:color="auto"/>
              <w:right w:val="nil"/>
            </w:tcBorders>
            <w:shd w:val="clear" w:color="000000" w:fill="F8696B"/>
            <w:noWrap/>
            <w:vAlign w:val="bottom"/>
            <w:hideMark/>
          </w:tcPr>
          <w:p w14:paraId="57EBA193" w14:textId="4F0E8CC5"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4.44</w:t>
            </w:r>
            <w:r w:rsidR="00927D11">
              <w:rPr>
                <w:rFonts w:ascii="Calibri" w:eastAsia="Times New Roman" w:hAnsi="Calibri" w:cs="Calibri"/>
                <w:kern w:val="0"/>
                <w:sz w:val="22"/>
                <w:szCs w:val="22"/>
                <w:lang w:eastAsia="en-GB"/>
                <w14:ligatures w14:val="none"/>
              </w:rPr>
              <w:t>*</w:t>
            </w:r>
          </w:p>
        </w:tc>
        <w:tc>
          <w:tcPr>
            <w:tcW w:w="1480" w:type="dxa"/>
            <w:tcBorders>
              <w:top w:val="nil"/>
              <w:left w:val="nil"/>
              <w:bottom w:val="single" w:sz="8" w:space="0" w:color="auto"/>
              <w:right w:val="nil"/>
            </w:tcBorders>
            <w:shd w:val="clear" w:color="000000" w:fill="F8696B"/>
            <w:noWrap/>
            <w:vAlign w:val="bottom"/>
            <w:hideMark/>
          </w:tcPr>
          <w:p w14:paraId="05A26F7B" w14:textId="55B20CF5" w:rsidR="0097774C" w:rsidRPr="0097774C" w:rsidRDefault="0097774C" w:rsidP="0097774C">
            <w:pPr>
              <w:spacing w:after="0" w:line="240" w:lineRule="auto"/>
              <w:jc w:val="center"/>
              <w:rPr>
                <w:rFonts w:ascii="Calibri" w:eastAsia="Times New Roman" w:hAnsi="Calibri" w:cs="Calibri"/>
                <w:kern w:val="0"/>
                <w:sz w:val="22"/>
                <w:szCs w:val="22"/>
                <w:lang w:eastAsia="en-GB"/>
                <w14:ligatures w14:val="none"/>
              </w:rPr>
            </w:pPr>
            <w:r w:rsidRPr="0097774C">
              <w:rPr>
                <w:rFonts w:ascii="Calibri" w:eastAsia="Times New Roman" w:hAnsi="Calibri" w:cs="Calibri"/>
                <w:kern w:val="0"/>
                <w:sz w:val="22"/>
                <w:szCs w:val="22"/>
                <w:lang w:eastAsia="en-GB"/>
                <w14:ligatures w14:val="none"/>
              </w:rPr>
              <w:t>4.38</w:t>
            </w:r>
            <w:r w:rsidR="003A1990">
              <w:rPr>
                <w:rFonts w:ascii="Calibri" w:eastAsia="Times New Roman" w:hAnsi="Calibri" w:cs="Calibri"/>
                <w:kern w:val="0"/>
                <w:sz w:val="22"/>
                <w:szCs w:val="22"/>
                <w:lang w:eastAsia="en-GB"/>
                <w14:ligatures w14:val="none"/>
              </w:rPr>
              <w:t>*</w:t>
            </w:r>
          </w:p>
        </w:tc>
      </w:tr>
    </w:tbl>
    <w:p w14:paraId="317A9EE5" w14:textId="1094B833" w:rsidR="005D6901" w:rsidRPr="0097774C" w:rsidRDefault="0097774C" w:rsidP="003A1990">
      <w:pPr>
        <w:spacing w:after="0" w:line="240" w:lineRule="auto"/>
        <w:jc w:val="both"/>
        <w:rPr>
          <w:sz w:val="20"/>
          <w:szCs w:val="20"/>
        </w:rPr>
        <w:sectPr w:rsidR="005D6901" w:rsidRPr="0097774C" w:rsidSect="005A6139">
          <w:pgSz w:w="11906" w:h="16838"/>
          <w:pgMar w:top="1440" w:right="1440" w:bottom="1440" w:left="1440" w:header="708" w:footer="708" w:gutter="0"/>
          <w:cols w:space="708"/>
          <w:docGrid w:linePitch="360"/>
        </w:sectPr>
      </w:pPr>
      <w:r w:rsidRPr="0097774C">
        <w:rPr>
          <w:sz w:val="20"/>
          <w:szCs w:val="20"/>
        </w:rPr>
        <w:t>Notes:</w:t>
      </w:r>
      <w:r w:rsidR="003A1990">
        <w:rPr>
          <w:sz w:val="20"/>
          <w:szCs w:val="20"/>
        </w:rPr>
        <w:t xml:space="preserve"> </w:t>
      </w:r>
      <w:r w:rsidR="003A1990" w:rsidRPr="00541165">
        <w:rPr>
          <w:sz w:val="20"/>
          <w:szCs w:val="20"/>
        </w:rPr>
        <w:t xml:space="preserve">Shading should be read vertically within columns, with green shading indicating higher scores and red shading lower scores. </w:t>
      </w:r>
      <w:r>
        <w:rPr>
          <w:sz w:val="20"/>
          <w:szCs w:val="20"/>
        </w:rPr>
        <w:t xml:space="preserve"> Figures refer to average scores on the 0-10 TEP scale. * indicates significant difference from White </w:t>
      </w:r>
      <w:r w:rsidR="003A1990">
        <w:rPr>
          <w:sz w:val="20"/>
          <w:szCs w:val="20"/>
        </w:rPr>
        <w:t>Working-Class</w:t>
      </w:r>
      <w:r>
        <w:rPr>
          <w:sz w:val="20"/>
          <w:szCs w:val="20"/>
        </w:rPr>
        <w:t xml:space="preserve"> pupils in panel (a), and White </w:t>
      </w:r>
      <w:r w:rsidR="003A1990">
        <w:rPr>
          <w:sz w:val="20"/>
          <w:szCs w:val="20"/>
        </w:rPr>
        <w:t>Working-Class</w:t>
      </w:r>
      <w:r>
        <w:rPr>
          <w:sz w:val="20"/>
          <w:szCs w:val="20"/>
        </w:rPr>
        <w:t xml:space="preserve"> boys in panel b.</w:t>
      </w:r>
    </w:p>
    <w:p w14:paraId="07DF20C7" w14:textId="4649B2FD" w:rsidR="003A1990" w:rsidRDefault="003A1990" w:rsidP="003A1990">
      <w:pPr>
        <w:spacing w:after="0"/>
        <w:jc w:val="center"/>
        <w:rPr>
          <w:b/>
          <w:bCs/>
        </w:rPr>
      </w:pPr>
      <w:r w:rsidRPr="00541165">
        <w:rPr>
          <w:b/>
          <w:bCs/>
        </w:rPr>
        <w:lastRenderedPageBreak/>
        <w:t xml:space="preserve">Table </w:t>
      </w:r>
      <w:r w:rsidR="00A27C49">
        <w:rPr>
          <w:b/>
          <w:bCs/>
        </w:rPr>
        <w:t>3</w:t>
      </w:r>
      <w:r w:rsidRPr="00541165">
        <w:rPr>
          <w:b/>
          <w:bCs/>
        </w:rPr>
        <w:t xml:space="preserve">. </w:t>
      </w:r>
      <w:r>
        <w:rPr>
          <w:b/>
          <w:bCs/>
        </w:rPr>
        <w:t xml:space="preserve">The </w:t>
      </w:r>
      <w:r w:rsidRPr="003A1990">
        <w:rPr>
          <w:b/>
          <w:bCs/>
          <w:u w:val="single"/>
        </w:rPr>
        <w:t>emotional</w:t>
      </w:r>
      <w:r>
        <w:rPr>
          <w:b/>
          <w:bCs/>
        </w:rPr>
        <w:t xml:space="preserve"> engagement of</w:t>
      </w:r>
      <w:r w:rsidRPr="00541165">
        <w:rPr>
          <w:b/>
          <w:bCs/>
        </w:rPr>
        <w:t xml:space="preserve"> White</w:t>
      </w:r>
      <w:r>
        <w:rPr>
          <w:b/>
          <w:bCs/>
        </w:rPr>
        <w:t xml:space="preserve"> </w:t>
      </w:r>
      <w:r w:rsidRPr="00541165">
        <w:rPr>
          <w:b/>
          <w:bCs/>
        </w:rPr>
        <w:t xml:space="preserve">Working-Class secondary pupils in comparison to other </w:t>
      </w:r>
      <w:r>
        <w:rPr>
          <w:b/>
          <w:bCs/>
        </w:rPr>
        <w:t>ethnic and socio-economic groups</w:t>
      </w:r>
    </w:p>
    <w:p w14:paraId="15F937E7" w14:textId="77777777" w:rsidR="003A1990" w:rsidRDefault="003A1990" w:rsidP="003A1990">
      <w:pPr>
        <w:pStyle w:val="ListParagraph"/>
        <w:numPr>
          <w:ilvl w:val="0"/>
          <w:numId w:val="6"/>
        </w:numPr>
        <w:spacing w:after="0"/>
        <w:jc w:val="center"/>
      </w:pPr>
      <w:r>
        <w:t>Ethnicity-by-SES</w:t>
      </w:r>
    </w:p>
    <w:tbl>
      <w:tblPr>
        <w:tblW w:w="8620" w:type="dxa"/>
        <w:jc w:val="center"/>
        <w:tblLook w:val="04A0" w:firstRow="1" w:lastRow="0" w:firstColumn="1" w:lastColumn="0" w:noHBand="0" w:noVBand="1"/>
      </w:tblPr>
      <w:tblGrid>
        <w:gridCol w:w="2540"/>
        <w:gridCol w:w="1620"/>
        <w:gridCol w:w="1400"/>
        <w:gridCol w:w="1540"/>
        <w:gridCol w:w="1520"/>
      </w:tblGrid>
      <w:tr w:rsidR="006F770C" w:rsidRPr="006F770C" w14:paraId="5718CDD7" w14:textId="77777777" w:rsidTr="006F770C">
        <w:trPr>
          <w:trHeight w:val="576"/>
          <w:jc w:val="center"/>
        </w:trPr>
        <w:tc>
          <w:tcPr>
            <w:tcW w:w="2540" w:type="dxa"/>
            <w:tcBorders>
              <w:top w:val="single" w:sz="4" w:space="0" w:color="auto"/>
              <w:left w:val="nil"/>
              <w:bottom w:val="single" w:sz="4" w:space="0" w:color="auto"/>
              <w:right w:val="nil"/>
            </w:tcBorders>
            <w:shd w:val="clear" w:color="000000" w:fill="C0E6F5"/>
            <w:noWrap/>
            <w:vAlign w:val="bottom"/>
            <w:hideMark/>
          </w:tcPr>
          <w:p w14:paraId="58AAA36A" w14:textId="77777777" w:rsidR="006F770C" w:rsidRPr="006F770C" w:rsidRDefault="006F770C" w:rsidP="006F770C">
            <w:pPr>
              <w:spacing w:after="0" w:line="240" w:lineRule="auto"/>
              <w:rPr>
                <w:rFonts w:ascii="Calibri" w:eastAsia="Times New Roman" w:hAnsi="Calibri" w:cs="Calibri"/>
                <w:b/>
                <w:bCs/>
                <w:kern w:val="0"/>
                <w:sz w:val="22"/>
                <w:szCs w:val="22"/>
                <w:lang w:eastAsia="en-GB"/>
                <w14:ligatures w14:val="none"/>
              </w:rPr>
            </w:pPr>
            <w:r w:rsidRPr="006F770C">
              <w:rPr>
                <w:rFonts w:ascii="Calibri" w:eastAsia="Times New Roman" w:hAnsi="Calibri" w:cs="Calibri"/>
                <w:b/>
                <w:bCs/>
                <w:kern w:val="0"/>
                <w:sz w:val="22"/>
                <w:szCs w:val="22"/>
                <w:lang w:eastAsia="en-GB"/>
                <w14:ligatures w14:val="none"/>
              </w:rPr>
              <w:t>Group</w:t>
            </w:r>
          </w:p>
        </w:tc>
        <w:tc>
          <w:tcPr>
            <w:tcW w:w="1620" w:type="dxa"/>
            <w:tcBorders>
              <w:top w:val="single" w:sz="4" w:space="0" w:color="auto"/>
              <w:left w:val="nil"/>
              <w:bottom w:val="single" w:sz="4" w:space="0" w:color="auto"/>
              <w:right w:val="nil"/>
            </w:tcBorders>
            <w:shd w:val="clear" w:color="000000" w:fill="C0E6F5"/>
            <w:vAlign w:val="bottom"/>
            <w:hideMark/>
          </w:tcPr>
          <w:p w14:paraId="254BFB5E" w14:textId="77777777" w:rsidR="006F770C" w:rsidRPr="006F770C" w:rsidRDefault="006F770C" w:rsidP="006F770C">
            <w:pPr>
              <w:spacing w:after="0" w:line="240" w:lineRule="auto"/>
              <w:jc w:val="center"/>
              <w:rPr>
                <w:rFonts w:ascii="Calibri" w:eastAsia="Times New Roman" w:hAnsi="Calibri" w:cs="Calibri"/>
                <w:b/>
                <w:bCs/>
                <w:kern w:val="0"/>
                <w:sz w:val="22"/>
                <w:szCs w:val="22"/>
                <w:lang w:eastAsia="en-GB"/>
                <w14:ligatures w14:val="none"/>
              </w:rPr>
            </w:pPr>
            <w:r w:rsidRPr="006F770C">
              <w:rPr>
                <w:rFonts w:ascii="Calibri" w:eastAsia="Times New Roman" w:hAnsi="Calibri" w:cs="Calibri"/>
                <w:b/>
                <w:bCs/>
                <w:kern w:val="0"/>
                <w:sz w:val="22"/>
                <w:szCs w:val="22"/>
                <w:lang w:eastAsia="en-GB"/>
                <w14:ligatures w14:val="none"/>
              </w:rPr>
              <w:t>Peer relationships</w:t>
            </w:r>
          </w:p>
        </w:tc>
        <w:tc>
          <w:tcPr>
            <w:tcW w:w="1400" w:type="dxa"/>
            <w:tcBorders>
              <w:top w:val="single" w:sz="4" w:space="0" w:color="auto"/>
              <w:left w:val="nil"/>
              <w:bottom w:val="single" w:sz="4" w:space="0" w:color="auto"/>
              <w:right w:val="nil"/>
            </w:tcBorders>
            <w:shd w:val="clear" w:color="000000" w:fill="C0E6F5"/>
            <w:vAlign w:val="bottom"/>
            <w:hideMark/>
          </w:tcPr>
          <w:p w14:paraId="6EF7012A" w14:textId="77777777" w:rsidR="006F770C" w:rsidRPr="006F770C" w:rsidRDefault="006F770C" w:rsidP="006F770C">
            <w:pPr>
              <w:spacing w:after="0" w:line="240" w:lineRule="auto"/>
              <w:jc w:val="center"/>
              <w:rPr>
                <w:rFonts w:ascii="Calibri" w:eastAsia="Times New Roman" w:hAnsi="Calibri" w:cs="Calibri"/>
                <w:b/>
                <w:bCs/>
                <w:kern w:val="0"/>
                <w:sz w:val="22"/>
                <w:szCs w:val="22"/>
                <w:lang w:eastAsia="en-GB"/>
                <w14:ligatures w14:val="none"/>
              </w:rPr>
            </w:pPr>
            <w:r w:rsidRPr="006F770C">
              <w:rPr>
                <w:rFonts w:ascii="Calibri" w:eastAsia="Times New Roman" w:hAnsi="Calibri" w:cs="Calibri"/>
                <w:b/>
                <w:bCs/>
                <w:kern w:val="0"/>
                <w:sz w:val="22"/>
                <w:szCs w:val="22"/>
                <w:lang w:eastAsia="en-GB"/>
                <w14:ligatures w14:val="none"/>
              </w:rPr>
              <w:t>Teacher relationships</w:t>
            </w:r>
          </w:p>
        </w:tc>
        <w:tc>
          <w:tcPr>
            <w:tcW w:w="1540" w:type="dxa"/>
            <w:tcBorders>
              <w:top w:val="single" w:sz="4" w:space="0" w:color="auto"/>
              <w:left w:val="nil"/>
              <w:bottom w:val="single" w:sz="4" w:space="0" w:color="auto"/>
              <w:right w:val="nil"/>
            </w:tcBorders>
            <w:shd w:val="clear" w:color="000000" w:fill="C0E6F5"/>
            <w:vAlign w:val="bottom"/>
            <w:hideMark/>
          </w:tcPr>
          <w:p w14:paraId="14F4950F" w14:textId="77777777" w:rsidR="006F770C" w:rsidRPr="006F770C" w:rsidRDefault="006F770C" w:rsidP="006F770C">
            <w:pPr>
              <w:spacing w:after="0" w:line="240" w:lineRule="auto"/>
              <w:jc w:val="center"/>
              <w:rPr>
                <w:rFonts w:ascii="Calibri" w:eastAsia="Times New Roman" w:hAnsi="Calibri" w:cs="Calibri"/>
                <w:b/>
                <w:bCs/>
                <w:kern w:val="0"/>
                <w:sz w:val="22"/>
                <w:szCs w:val="22"/>
                <w:lang w:eastAsia="en-GB"/>
                <w14:ligatures w14:val="none"/>
              </w:rPr>
            </w:pPr>
            <w:r w:rsidRPr="006F770C">
              <w:rPr>
                <w:rFonts w:ascii="Calibri" w:eastAsia="Times New Roman" w:hAnsi="Calibri" w:cs="Calibri"/>
                <w:b/>
                <w:bCs/>
                <w:kern w:val="0"/>
                <w:sz w:val="22"/>
                <w:szCs w:val="22"/>
                <w:lang w:eastAsia="en-GB"/>
                <w14:ligatures w14:val="none"/>
              </w:rPr>
              <w:t>Diversity &amp; Inclusion</w:t>
            </w:r>
          </w:p>
        </w:tc>
        <w:tc>
          <w:tcPr>
            <w:tcW w:w="1520" w:type="dxa"/>
            <w:tcBorders>
              <w:top w:val="single" w:sz="4" w:space="0" w:color="auto"/>
              <w:left w:val="nil"/>
              <w:bottom w:val="single" w:sz="4" w:space="0" w:color="auto"/>
              <w:right w:val="nil"/>
            </w:tcBorders>
            <w:shd w:val="clear" w:color="000000" w:fill="C0E6F5"/>
            <w:vAlign w:val="bottom"/>
            <w:hideMark/>
          </w:tcPr>
          <w:p w14:paraId="06070A0A" w14:textId="77777777" w:rsidR="006F770C" w:rsidRPr="006F770C" w:rsidRDefault="006F770C" w:rsidP="006F770C">
            <w:pPr>
              <w:spacing w:after="0" w:line="240" w:lineRule="auto"/>
              <w:jc w:val="center"/>
              <w:rPr>
                <w:rFonts w:ascii="Calibri" w:eastAsia="Times New Roman" w:hAnsi="Calibri" w:cs="Calibri"/>
                <w:b/>
                <w:bCs/>
                <w:kern w:val="0"/>
                <w:sz w:val="22"/>
                <w:szCs w:val="22"/>
                <w:lang w:eastAsia="en-GB"/>
                <w14:ligatures w14:val="none"/>
              </w:rPr>
            </w:pPr>
            <w:r w:rsidRPr="006F770C">
              <w:rPr>
                <w:rFonts w:ascii="Calibri" w:eastAsia="Times New Roman" w:hAnsi="Calibri" w:cs="Calibri"/>
                <w:b/>
                <w:bCs/>
                <w:kern w:val="0"/>
                <w:sz w:val="22"/>
                <w:szCs w:val="22"/>
                <w:lang w:eastAsia="en-GB"/>
                <w14:ligatures w14:val="none"/>
              </w:rPr>
              <w:t>Enjoyment</w:t>
            </w:r>
          </w:p>
        </w:tc>
      </w:tr>
      <w:tr w:rsidR="006F770C" w:rsidRPr="006F770C" w14:paraId="3F15C8FF" w14:textId="77777777" w:rsidTr="006F770C">
        <w:trPr>
          <w:trHeight w:val="288"/>
          <w:jc w:val="center"/>
        </w:trPr>
        <w:tc>
          <w:tcPr>
            <w:tcW w:w="2540" w:type="dxa"/>
            <w:tcBorders>
              <w:top w:val="nil"/>
              <w:left w:val="nil"/>
              <w:bottom w:val="nil"/>
              <w:right w:val="nil"/>
            </w:tcBorders>
            <w:noWrap/>
            <w:vAlign w:val="bottom"/>
            <w:hideMark/>
          </w:tcPr>
          <w:p w14:paraId="6D9D9163"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Black. Not FSM.</w:t>
            </w:r>
          </w:p>
        </w:tc>
        <w:tc>
          <w:tcPr>
            <w:tcW w:w="1620" w:type="dxa"/>
            <w:tcBorders>
              <w:top w:val="nil"/>
              <w:left w:val="nil"/>
              <w:bottom w:val="nil"/>
              <w:right w:val="nil"/>
            </w:tcBorders>
            <w:shd w:val="clear" w:color="000000" w:fill="F2E884"/>
            <w:vAlign w:val="bottom"/>
            <w:hideMark/>
          </w:tcPr>
          <w:p w14:paraId="50DF6C77" w14:textId="02DB068C"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5.92</w:t>
            </w:r>
            <w:r>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CEA84"/>
            <w:vAlign w:val="bottom"/>
            <w:hideMark/>
          </w:tcPr>
          <w:p w14:paraId="2650E17B" w14:textId="1A302A84"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6.15</w:t>
            </w:r>
            <w:r w:rsidR="00355BFB">
              <w:rPr>
                <w:rFonts w:ascii="Calibri" w:eastAsia="Times New Roman" w:hAnsi="Calibri" w:cs="Calibri"/>
                <w:kern w:val="0"/>
                <w:sz w:val="22"/>
                <w:szCs w:val="22"/>
                <w:lang w:eastAsia="en-GB"/>
                <w14:ligatures w14:val="none"/>
              </w:rPr>
              <w:t>*</w:t>
            </w:r>
          </w:p>
        </w:tc>
        <w:tc>
          <w:tcPr>
            <w:tcW w:w="1540" w:type="dxa"/>
            <w:tcBorders>
              <w:top w:val="nil"/>
              <w:left w:val="nil"/>
              <w:bottom w:val="nil"/>
              <w:right w:val="nil"/>
            </w:tcBorders>
            <w:shd w:val="clear" w:color="000000" w:fill="FBEA84"/>
            <w:vAlign w:val="bottom"/>
            <w:hideMark/>
          </w:tcPr>
          <w:p w14:paraId="07E6F3C5" w14:textId="6B199975"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5.21</w:t>
            </w:r>
            <w:r w:rsidR="00355BFB">
              <w:rPr>
                <w:rFonts w:ascii="Calibri" w:eastAsia="Times New Roman" w:hAnsi="Calibri" w:cs="Calibri"/>
                <w:kern w:val="0"/>
                <w:sz w:val="22"/>
                <w:szCs w:val="22"/>
                <w:lang w:eastAsia="en-GB"/>
                <w14:ligatures w14:val="none"/>
              </w:rPr>
              <w:t>*</w:t>
            </w:r>
          </w:p>
        </w:tc>
        <w:tc>
          <w:tcPr>
            <w:tcW w:w="1520" w:type="dxa"/>
            <w:tcBorders>
              <w:top w:val="nil"/>
              <w:left w:val="nil"/>
              <w:bottom w:val="nil"/>
              <w:right w:val="nil"/>
            </w:tcBorders>
            <w:shd w:val="clear" w:color="000000" w:fill="AAD380"/>
            <w:vAlign w:val="bottom"/>
            <w:hideMark/>
          </w:tcPr>
          <w:p w14:paraId="42227600" w14:textId="41CE33B6"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3.86</w:t>
            </w:r>
            <w:r w:rsidR="00355BFB">
              <w:rPr>
                <w:rFonts w:ascii="Calibri" w:eastAsia="Times New Roman" w:hAnsi="Calibri" w:cs="Calibri"/>
                <w:kern w:val="0"/>
                <w:sz w:val="22"/>
                <w:szCs w:val="22"/>
                <w:lang w:eastAsia="en-GB"/>
                <w14:ligatures w14:val="none"/>
              </w:rPr>
              <w:t>*</w:t>
            </w:r>
          </w:p>
        </w:tc>
      </w:tr>
      <w:tr w:rsidR="006F770C" w:rsidRPr="006F770C" w14:paraId="6A938F9C" w14:textId="77777777" w:rsidTr="006F770C">
        <w:trPr>
          <w:trHeight w:val="288"/>
          <w:jc w:val="center"/>
        </w:trPr>
        <w:tc>
          <w:tcPr>
            <w:tcW w:w="2540" w:type="dxa"/>
            <w:tcBorders>
              <w:top w:val="nil"/>
              <w:left w:val="nil"/>
              <w:bottom w:val="nil"/>
              <w:right w:val="nil"/>
            </w:tcBorders>
            <w:noWrap/>
            <w:vAlign w:val="bottom"/>
            <w:hideMark/>
          </w:tcPr>
          <w:p w14:paraId="41CCC729"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Asian. Not FSM.</w:t>
            </w:r>
          </w:p>
        </w:tc>
        <w:tc>
          <w:tcPr>
            <w:tcW w:w="1620" w:type="dxa"/>
            <w:tcBorders>
              <w:top w:val="nil"/>
              <w:left w:val="nil"/>
              <w:bottom w:val="nil"/>
              <w:right w:val="nil"/>
            </w:tcBorders>
            <w:shd w:val="clear" w:color="000000" w:fill="63BE7B"/>
            <w:vAlign w:val="bottom"/>
            <w:hideMark/>
          </w:tcPr>
          <w:p w14:paraId="680158A4" w14:textId="2796E8DA"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6.34</w:t>
            </w:r>
            <w:r>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63BE7B"/>
            <w:vAlign w:val="bottom"/>
            <w:hideMark/>
          </w:tcPr>
          <w:p w14:paraId="16B2893C" w14:textId="44DBBF3A"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6.81</w:t>
            </w:r>
            <w:r w:rsidR="00355BFB">
              <w:rPr>
                <w:rFonts w:ascii="Calibri" w:eastAsia="Times New Roman" w:hAnsi="Calibri" w:cs="Calibri"/>
                <w:kern w:val="0"/>
                <w:sz w:val="22"/>
                <w:szCs w:val="22"/>
                <w:lang w:eastAsia="en-GB"/>
                <w14:ligatures w14:val="none"/>
              </w:rPr>
              <w:t>*</w:t>
            </w:r>
          </w:p>
        </w:tc>
        <w:tc>
          <w:tcPr>
            <w:tcW w:w="1540" w:type="dxa"/>
            <w:tcBorders>
              <w:top w:val="nil"/>
              <w:left w:val="nil"/>
              <w:bottom w:val="nil"/>
              <w:right w:val="nil"/>
            </w:tcBorders>
            <w:shd w:val="clear" w:color="000000" w:fill="63BE7B"/>
            <w:vAlign w:val="bottom"/>
            <w:hideMark/>
          </w:tcPr>
          <w:p w14:paraId="5A478DB9" w14:textId="6CB15BBF"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5.89</w:t>
            </w:r>
            <w:r w:rsidR="00355BFB">
              <w:rPr>
                <w:rFonts w:ascii="Calibri" w:eastAsia="Times New Roman" w:hAnsi="Calibri" w:cs="Calibri"/>
                <w:kern w:val="0"/>
                <w:sz w:val="22"/>
                <w:szCs w:val="22"/>
                <w:lang w:eastAsia="en-GB"/>
                <w14:ligatures w14:val="none"/>
              </w:rPr>
              <w:t>*</w:t>
            </w:r>
          </w:p>
        </w:tc>
        <w:tc>
          <w:tcPr>
            <w:tcW w:w="1520" w:type="dxa"/>
            <w:tcBorders>
              <w:top w:val="nil"/>
              <w:left w:val="nil"/>
              <w:bottom w:val="nil"/>
              <w:right w:val="nil"/>
            </w:tcBorders>
            <w:shd w:val="clear" w:color="000000" w:fill="63BE7B"/>
            <w:vAlign w:val="bottom"/>
            <w:hideMark/>
          </w:tcPr>
          <w:p w14:paraId="0614E4A0" w14:textId="2B42EEC1"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4.25</w:t>
            </w:r>
            <w:r w:rsidR="00355BFB">
              <w:rPr>
                <w:rFonts w:ascii="Calibri" w:eastAsia="Times New Roman" w:hAnsi="Calibri" w:cs="Calibri"/>
                <w:kern w:val="0"/>
                <w:sz w:val="22"/>
                <w:szCs w:val="22"/>
                <w:lang w:eastAsia="en-GB"/>
                <w14:ligatures w14:val="none"/>
              </w:rPr>
              <w:t>*</w:t>
            </w:r>
          </w:p>
        </w:tc>
      </w:tr>
      <w:tr w:rsidR="006F770C" w:rsidRPr="006F770C" w14:paraId="62B22D2B" w14:textId="77777777" w:rsidTr="006F770C">
        <w:trPr>
          <w:trHeight w:val="288"/>
          <w:jc w:val="center"/>
        </w:trPr>
        <w:tc>
          <w:tcPr>
            <w:tcW w:w="2540" w:type="dxa"/>
            <w:tcBorders>
              <w:top w:val="nil"/>
              <w:left w:val="nil"/>
              <w:bottom w:val="nil"/>
              <w:right w:val="nil"/>
            </w:tcBorders>
            <w:noWrap/>
            <w:vAlign w:val="bottom"/>
            <w:hideMark/>
          </w:tcPr>
          <w:p w14:paraId="39F94A6F"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South Asian. Not FSM.</w:t>
            </w:r>
          </w:p>
        </w:tc>
        <w:tc>
          <w:tcPr>
            <w:tcW w:w="1620" w:type="dxa"/>
            <w:tcBorders>
              <w:top w:val="nil"/>
              <w:left w:val="nil"/>
              <w:bottom w:val="nil"/>
              <w:right w:val="nil"/>
            </w:tcBorders>
            <w:shd w:val="clear" w:color="000000" w:fill="90CB7E"/>
            <w:vAlign w:val="bottom"/>
            <w:hideMark/>
          </w:tcPr>
          <w:p w14:paraId="2BA95A58" w14:textId="636FAB51"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6.21</w:t>
            </w:r>
            <w:r>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C2DA81"/>
            <w:vAlign w:val="bottom"/>
            <w:hideMark/>
          </w:tcPr>
          <w:p w14:paraId="1AFBA987" w14:textId="3D43F388"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6.40</w:t>
            </w:r>
            <w:r w:rsidR="00355BFB">
              <w:rPr>
                <w:rFonts w:ascii="Calibri" w:eastAsia="Times New Roman" w:hAnsi="Calibri" w:cs="Calibri"/>
                <w:kern w:val="0"/>
                <w:sz w:val="22"/>
                <w:szCs w:val="22"/>
                <w:lang w:eastAsia="en-GB"/>
                <w14:ligatures w14:val="none"/>
              </w:rPr>
              <w:t>*</w:t>
            </w:r>
          </w:p>
        </w:tc>
        <w:tc>
          <w:tcPr>
            <w:tcW w:w="1540" w:type="dxa"/>
            <w:tcBorders>
              <w:top w:val="nil"/>
              <w:left w:val="nil"/>
              <w:bottom w:val="nil"/>
              <w:right w:val="nil"/>
            </w:tcBorders>
            <w:shd w:val="clear" w:color="000000" w:fill="9CCF7F"/>
            <w:vAlign w:val="bottom"/>
            <w:hideMark/>
          </w:tcPr>
          <w:p w14:paraId="43A3656D" w14:textId="78DDB68E"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5.64</w:t>
            </w:r>
            <w:r w:rsidR="00355BFB">
              <w:rPr>
                <w:rFonts w:ascii="Calibri" w:eastAsia="Times New Roman" w:hAnsi="Calibri" w:cs="Calibri"/>
                <w:kern w:val="0"/>
                <w:sz w:val="22"/>
                <w:szCs w:val="22"/>
                <w:lang w:eastAsia="en-GB"/>
                <w14:ligatures w14:val="none"/>
              </w:rPr>
              <w:t>*</w:t>
            </w:r>
          </w:p>
        </w:tc>
        <w:tc>
          <w:tcPr>
            <w:tcW w:w="1520" w:type="dxa"/>
            <w:tcBorders>
              <w:top w:val="nil"/>
              <w:left w:val="nil"/>
              <w:bottom w:val="nil"/>
              <w:right w:val="nil"/>
            </w:tcBorders>
            <w:shd w:val="clear" w:color="000000" w:fill="B7D780"/>
            <w:vAlign w:val="bottom"/>
            <w:hideMark/>
          </w:tcPr>
          <w:p w14:paraId="6E76E814" w14:textId="50501503"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3.78</w:t>
            </w:r>
            <w:r w:rsidR="00355BFB">
              <w:rPr>
                <w:rFonts w:ascii="Calibri" w:eastAsia="Times New Roman" w:hAnsi="Calibri" w:cs="Calibri"/>
                <w:kern w:val="0"/>
                <w:sz w:val="22"/>
                <w:szCs w:val="22"/>
                <w:lang w:eastAsia="en-GB"/>
                <w14:ligatures w14:val="none"/>
              </w:rPr>
              <w:t>*</w:t>
            </w:r>
          </w:p>
        </w:tc>
      </w:tr>
      <w:tr w:rsidR="006F770C" w:rsidRPr="006F770C" w14:paraId="29320CC0" w14:textId="77777777" w:rsidTr="006F770C">
        <w:trPr>
          <w:trHeight w:val="288"/>
          <w:jc w:val="center"/>
        </w:trPr>
        <w:tc>
          <w:tcPr>
            <w:tcW w:w="2540" w:type="dxa"/>
            <w:tcBorders>
              <w:top w:val="nil"/>
              <w:left w:val="nil"/>
              <w:bottom w:val="nil"/>
              <w:right w:val="nil"/>
            </w:tcBorders>
            <w:noWrap/>
            <w:vAlign w:val="bottom"/>
            <w:hideMark/>
          </w:tcPr>
          <w:p w14:paraId="687BA5A8"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Black. FSM.</w:t>
            </w:r>
          </w:p>
        </w:tc>
        <w:tc>
          <w:tcPr>
            <w:tcW w:w="1620" w:type="dxa"/>
            <w:tcBorders>
              <w:top w:val="nil"/>
              <w:left w:val="nil"/>
              <w:bottom w:val="nil"/>
              <w:right w:val="nil"/>
            </w:tcBorders>
            <w:shd w:val="clear" w:color="000000" w:fill="FDD780"/>
            <w:vAlign w:val="bottom"/>
            <w:hideMark/>
          </w:tcPr>
          <w:p w14:paraId="6A8F1278"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5.84</w:t>
            </w:r>
          </w:p>
        </w:tc>
        <w:tc>
          <w:tcPr>
            <w:tcW w:w="1400" w:type="dxa"/>
            <w:tcBorders>
              <w:top w:val="nil"/>
              <w:left w:val="nil"/>
              <w:bottom w:val="nil"/>
              <w:right w:val="nil"/>
            </w:tcBorders>
            <w:shd w:val="clear" w:color="000000" w:fill="F8696B"/>
            <w:vAlign w:val="bottom"/>
            <w:hideMark/>
          </w:tcPr>
          <w:p w14:paraId="0DC469C7" w14:textId="72E26B9D"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5.54</w:t>
            </w:r>
            <w:r w:rsidR="00355BFB">
              <w:rPr>
                <w:rFonts w:ascii="Calibri" w:eastAsia="Times New Roman" w:hAnsi="Calibri" w:cs="Calibri"/>
                <w:kern w:val="0"/>
                <w:sz w:val="22"/>
                <w:szCs w:val="22"/>
                <w:lang w:eastAsia="en-GB"/>
                <w14:ligatures w14:val="none"/>
              </w:rPr>
              <w:t>*</w:t>
            </w:r>
          </w:p>
        </w:tc>
        <w:tc>
          <w:tcPr>
            <w:tcW w:w="1540" w:type="dxa"/>
            <w:tcBorders>
              <w:top w:val="nil"/>
              <w:left w:val="nil"/>
              <w:bottom w:val="nil"/>
              <w:right w:val="nil"/>
            </w:tcBorders>
            <w:shd w:val="clear" w:color="000000" w:fill="FA9F75"/>
            <w:vAlign w:val="bottom"/>
            <w:hideMark/>
          </w:tcPr>
          <w:p w14:paraId="431AA526"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4.95</w:t>
            </w:r>
          </w:p>
        </w:tc>
        <w:tc>
          <w:tcPr>
            <w:tcW w:w="1520" w:type="dxa"/>
            <w:tcBorders>
              <w:top w:val="nil"/>
              <w:left w:val="nil"/>
              <w:bottom w:val="nil"/>
              <w:right w:val="nil"/>
            </w:tcBorders>
            <w:shd w:val="clear" w:color="000000" w:fill="FAEA84"/>
            <w:vAlign w:val="bottom"/>
            <w:hideMark/>
          </w:tcPr>
          <w:p w14:paraId="703E82EF" w14:textId="44C18D21"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3.41</w:t>
            </w:r>
            <w:r w:rsidR="00355BFB">
              <w:rPr>
                <w:rFonts w:ascii="Calibri" w:eastAsia="Times New Roman" w:hAnsi="Calibri" w:cs="Calibri"/>
                <w:kern w:val="0"/>
                <w:sz w:val="22"/>
                <w:szCs w:val="22"/>
                <w:lang w:eastAsia="en-GB"/>
                <w14:ligatures w14:val="none"/>
              </w:rPr>
              <w:t>*</w:t>
            </w:r>
          </w:p>
        </w:tc>
      </w:tr>
      <w:tr w:rsidR="006F770C" w:rsidRPr="006F770C" w14:paraId="7DC8004C" w14:textId="77777777" w:rsidTr="006F770C">
        <w:trPr>
          <w:trHeight w:val="288"/>
          <w:jc w:val="center"/>
        </w:trPr>
        <w:tc>
          <w:tcPr>
            <w:tcW w:w="2540" w:type="dxa"/>
            <w:tcBorders>
              <w:top w:val="nil"/>
              <w:left w:val="nil"/>
              <w:bottom w:val="nil"/>
              <w:right w:val="nil"/>
            </w:tcBorders>
            <w:noWrap/>
            <w:vAlign w:val="bottom"/>
            <w:hideMark/>
          </w:tcPr>
          <w:p w14:paraId="001FFA65"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Asian. FSM.</w:t>
            </w:r>
          </w:p>
        </w:tc>
        <w:tc>
          <w:tcPr>
            <w:tcW w:w="1620" w:type="dxa"/>
            <w:tcBorders>
              <w:top w:val="nil"/>
              <w:left w:val="nil"/>
              <w:bottom w:val="nil"/>
              <w:right w:val="nil"/>
            </w:tcBorders>
            <w:shd w:val="clear" w:color="000000" w:fill="FCB479"/>
            <w:vAlign w:val="bottom"/>
            <w:hideMark/>
          </w:tcPr>
          <w:p w14:paraId="65D5A398"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5.76</w:t>
            </w:r>
          </w:p>
        </w:tc>
        <w:tc>
          <w:tcPr>
            <w:tcW w:w="1400" w:type="dxa"/>
            <w:tcBorders>
              <w:top w:val="nil"/>
              <w:left w:val="nil"/>
              <w:bottom w:val="nil"/>
              <w:right w:val="nil"/>
            </w:tcBorders>
            <w:shd w:val="clear" w:color="000000" w:fill="FEE783"/>
            <w:vAlign w:val="bottom"/>
            <w:hideMark/>
          </w:tcPr>
          <w:p w14:paraId="4FF1F32F"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6.11</w:t>
            </w:r>
          </w:p>
        </w:tc>
        <w:tc>
          <w:tcPr>
            <w:tcW w:w="1540" w:type="dxa"/>
            <w:tcBorders>
              <w:top w:val="nil"/>
              <w:left w:val="nil"/>
              <w:bottom w:val="nil"/>
              <w:right w:val="nil"/>
            </w:tcBorders>
            <w:shd w:val="clear" w:color="000000" w:fill="E9E583"/>
            <w:vAlign w:val="bottom"/>
            <w:hideMark/>
          </w:tcPr>
          <w:p w14:paraId="100B28B2" w14:textId="4E0D8CC1"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5.29</w:t>
            </w:r>
            <w:r w:rsidR="00355BFB">
              <w:rPr>
                <w:rFonts w:ascii="Calibri" w:eastAsia="Times New Roman" w:hAnsi="Calibri" w:cs="Calibri"/>
                <w:kern w:val="0"/>
                <w:sz w:val="22"/>
                <w:szCs w:val="22"/>
                <w:lang w:eastAsia="en-GB"/>
                <w14:ligatures w14:val="none"/>
              </w:rPr>
              <w:t>*</w:t>
            </w:r>
          </w:p>
        </w:tc>
        <w:tc>
          <w:tcPr>
            <w:tcW w:w="1520" w:type="dxa"/>
            <w:tcBorders>
              <w:top w:val="nil"/>
              <w:left w:val="nil"/>
              <w:bottom w:val="nil"/>
              <w:right w:val="nil"/>
            </w:tcBorders>
            <w:shd w:val="clear" w:color="000000" w:fill="C0D981"/>
            <w:vAlign w:val="bottom"/>
            <w:hideMark/>
          </w:tcPr>
          <w:p w14:paraId="1724E73E" w14:textId="1EFF573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3.73</w:t>
            </w:r>
            <w:r w:rsidR="00355BFB">
              <w:rPr>
                <w:rFonts w:ascii="Calibri" w:eastAsia="Times New Roman" w:hAnsi="Calibri" w:cs="Calibri"/>
                <w:kern w:val="0"/>
                <w:sz w:val="22"/>
                <w:szCs w:val="22"/>
                <w:lang w:eastAsia="en-GB"/>
                <w14:ligatures w14:val="none"/>
              </w:rPr>
              <w:t>*</w:t>
            </w:r>
          </w:p>
        </w:tc>
      </w:tr>
      <w:tr w:rsidR="006F770C" w:rsidRPr="006F770C" w14:paraId="6D11CABE" w14:textId="77777777" w:rsidTr="006F770C">
        <w:trPr>
          <w:trHeight w:val="288"/>
          <w:jc w:val="center"/>
        </w:trPr>
        <w:tc>
          <w:tcPr>
            <w:tcW w:w="2540" w:type="dxa"/>
            <w:tcBorders>
              <w:top w:val="nil"/>
              <w:left w:val="nil"/>
              <w:bottom w:val="nil"/>
              <w:right w:val="nil"/>
            </w:tcBorders>
            <w:noWrap/>
            <w:vAlign w:val="bottom"/>
            <w:hideMark/>
          </w:tcPr>
          <w:p w14:paraId="7CC06E73"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Mixed race. Not FSM.</w:t>
            </w:r>
          </w:p>
        </w:tc>
        <w:tc>
          <w:tcPr>
            <w:tcW w:w="1620" w:type="dxa"/>
            <w:tcBorders>
              <w:top w:val="nil"/>
              <w:left w:val="nil"/>
              <w:bottom w:val="nil"/>
              <w:right w:val="nil"/>
            </w:tcBorders>
            <w:shd w:val="clear" w:color="000000" w:fill="94CD7E"/>
            <w:vAlign w:val="bottom"/>
            <w:hideMark/>
          </w:tcPr>
          <w:p w14:paraId="7D5A21F1" w14:textId="639FF011"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6.20</w:t>
            </w:r>
            <w:r w:rsidR="00355BFB">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8E984"/>
            <w:vAlign w:val="bottom"/>
            <w:hideMark/>
          </w:tcPr>
          <w:p w14:paraId="05D5179C" w14:textId="7347639D"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6.16</w:t>
            </w:r>
            <w:r w:rsidR="00355BFB">
              <w:rPr>
                <w:rFonts w:ascii="Calibri" w:eastAsia="Times New Roman" w:hAnsi="Calibri" w:cs="Calibri"/>
                <w:kern w:val="0"/>
                <w:sz w:val="22"/>
                <w:szCs w:val="22"/>
                <w:lang w:eastAsia="en-GB"/>
                <w14:ligatures w14:val="none"/>
              </w:rPr>
              <w:t>*</w:t>
            </w:r>
          </w:p>
        </w:tc>
        <w:tc>
          <w:tcPr>
            <w:tcW w:w="1540" w:type="dxa"/>
            <w:tcBorders>
              <w:top w:val="nil"/>
              <w:left w:val="nil"/>
              <w:bottom w:val="nil"/>
              <w:right w:val="nil"/>
            </w:tcBorders>
            <w:shd w:val="clear" w:color="000000" w:fill="F8E984"/>
            <w:vAlign w:val="bottom"/>
            <w:hideMark/>
          </w:tcPr>
          <w:p w14:paraId="5AF7754A" w14:textId="46B2A26A"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5.22</w:t>
            </w:r>
            <w:r w:rsidR="00355BFB">
              <w:rPr>
                <w:rFonts w:ascii="Calibri" w:eastAsia="Times New Roman" w:hAnsi="Calibri" w:cs="Calibri"/>
                <w:kern w:val="0"/>
                <w:sz w:val="22"/>
                <w:szCs w:val="22"/>
                <w:lang w:eastAsia="en-GB"/>
                <w14:ligatures w14:val="none"/>
              </w:rPr>
              <w:t>*</w:t>
            </w:r>
          </w:p>
        </w:tc>
        <w:tc>
          <w:tcPr>
            <w:tcW w:w="1520" w:type="dxa"/>
            <w:tcBorders>
              <w:top w:val="nil"/>
              <w:left w:val="nil"/>
              <w:bottom w:val="nil"/>
              <w:right w:val="nil"/>
            </w:tcBorders>
            <w:shd w:val="clear" w:color="000000" w:fill="F4E884"/>
            <w:vAlign w:val="bottom"/>
            <w:hideMark/>
          </w:tcPr>
          <w:p w14:paraId="625B8BDF" w14:textId="50210D12"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3.44</w:t>
            </w:r>
            <w:r w:rsidR="00355BFB">
              <w:rPr>
                <w:rFonts w:ascii="Calibri" w:eastAsia="Times New Roman" w:hAnsi="Calibri" w:cs="Calibri"/>
                <w:kern w:val="0"/>
                <w:sz w:val="22"/>
                <w:szCs w:val="22"/>
                <w:lang w:eastAsia="en-GB"/>
                <w14:ligatures w14:val="none"/>
              </w:rPr>
              <w:t>*</w:t>
            </w:r>
          </w:p>
        </w:tc>
      </w:tr>
      <w:tr w:rsidR="006F770C" w:rsidRPr="006F770C" w14:paraId="02A9057D" w14:textId="77777777" w:rsidTr="006F770C">
        <w:trPr>
          <w:trHeight w:val="288"/>
          <w:jc w:val="center"/>
        </w:trPr>
        <w:tc>
          <w:tcPr>
            <w:tcW w:w="2540" w:type="dxa"/>
            <w:tcBorders>
              <w:top w:val="nil"/>
              <w:left w:val="nil"/>
              <w:bottom w:val="nil"/>
              <w:right w:val="nil"/>
            </w:tcBorders>
            <w:noWrap/>
            <w:vAlign w:val="bottom"/>
            <w:hideMark/>
          </w:tcPr>
          <w:p w14:paraId="5E9BC7F8"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South Asian. FSM.</w:t>
            </w:r>
          </w:p>
        </w:tc>
        <w:tc>
          <w:tcPr>
            <w:tcW w:w="1620" w:type="dxa"/>
            <w:tcBorders>
              <w:top w:val="nil"/>
              <w:left w:val="nil"/>
              <w:bottom w:val="nil"/>
              <w:right w:val="nil"/>
            </w:tcBorders>
            <w:shd w:val="clear" w:color="000000" w:fill="FCB479"/>
            <w:vAlign w:val="bottom"/>
            <w:hideMark/>
          </w:tcPr>
          <w:p w14:paraId="19535322"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5.76</w:t>
            </w:r>
          </w:p>
        </w:tc>
        <w:tc>
          <w:tcPr>
            <w:tcW w:w="1400" w:type="dxa"/>
            <w:tcBorders>
              <w:top w:val="nil"/>
              <w:left w:val="nil"/>
              <w:bottom w:val="nil"/>
              <w:right w:val="nil"/>
            </w:tcBorders>
            <w:shd w:val="clear" w:color="000000" w:fill="FBA276"/>
            <w:vAlign w:val="bottom"/>
            <w:hideMark/>
          </w:tcPr>
          <w:p w14:paraId="2CA8F141"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5.80</w:t>
            </w:r>
          </w:p>
        </w:tc>
        <w:tc>
          <w:tcPr>
            <w:tcW w:w="1540" w:type="dxa"/>
            <w:tcBorders>
              <w:top w:val="nil"/>
              <w:left w:val="nil"/>
              <w:bottom w:val="nil"/>
              <w:right w:val="nil"/>
            </w:tcBorders>
            <w:shd w:val="clear" w:color="000000" w:fill="FEDC81"/>
            <w:vAlign w:val="bottom"/>
            <w:hideMark/>
          </w:tcPr>
          <w:p w14:paraId="683C2367"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5.14</w:t>
            </w:r>
          </w:p>
        </w:tc>
        <w:tc>
          <w:tcPr>
            <w:tcW w:w="1520" w:type="dxa"/>
            <w:tcBorders>
              <w:top w:val="nil"/>
              <w:left w:val="nil"/>
              <w:bottom w:val="nil"/>
              <w:right w:val="nil"/>
            </w:tcBorders>
            <w:shd w:val="clear" w:color="000000" w:fill="FCC27C"/>
            <w:vAlign w:val="bottom"/>
            <w:hideMark/>
          </w:tcPr>
          <w:p w14:paraId="6627099F"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3.14</w:t>
            </w:r>
          </w:p>
        </w:tc>
      </w:tr>
      <w:tr w:rsidR="006F770C" w:rsidRPr="006F770C" w14:paraId="12632E76" w14:textId="77777777" w:rsidTr="006F770C">
        <w:trPr>
          <w:trHeight w:val="288"/>
          <w:jc w:val="center"/>
        </w:trPr>
        <w:tc>
          <w:tcPr>
            <w:tcW w:w="2540" w:type="dxa"/>
            <w:tcBorders>
              <w:top w:val="nil"/>
              <w:left w:val="nil"/>
              <w:bottom w:val="nil"/>
              <w:right w:val="nil"/>
            </w:tcBorders>
            <w:noWrap/>
            <w:vAlign w:val="bottom"/>
            <w:hideMark/>
          </w:tcPr>
          <w:p w14:paraId="29442F07"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White (Other). Not FSM.</w:t>
            </w:r>
          </w:p>
        </w:tc>
        <w:tc>
          <w:tcPr>
            <w:tcW w:w="1620" w:type="dxa"/>
            <w:tcBorders>
              <w:top w:val="nil"/>
              <w:left w:val="nil"/>
              <w:bottom w:val="nil"/>
              <w:right w:val="nil"/>
            </w:tcBorders>
            <w:shd w:val="clear" w:color="000000" w:fill="ABD380"/>
            <w:vAlign w:val="bottom"/>
            <w:hideMark/>
          </w:tcPr>
          <w:p w14:paraId="37CCF63D" w14:textId="09C9AFB8"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6.13</w:t>
            </w:r>
            <w:r w:rsidR="00355BFB">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CADC81"/>
            <w:vAlign w:val="bottom"/>
            <w:hideMark/>
          </w:tcPr>
          <w:p w14:paraId="4D0F52B5" w14:textId="14C5685D"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6.36</w:t>
            </w:r>
            <w:r w:rsidR="00355BFB">
              <w:rPr>
                <w:rFonts w:ascii="Calibri" w:eastAsia="Times New Roman" w:hAnsi="Calibri" w:cs="Calibri"/>
                <w:kern w:val="0"/>
                <w:sz w:val="22"/>
                <w:szCs w:val="22"/>
                <w:lang w:eastAsia="en-GB"/>
                <w14:ligatures w14:val="none"/>
              </w:rPr>
              <w:t>*</w:t>
            </w:r>
          </w:p>
        </w:tc>
        <w:tc>
          <w:tcPr>
            <w:tcW w:w="1540" w:type="dxa"/>
            <w:tcBorders>
              <w:top w:val="nil"/>
              <w:left w:val="nil"/>
              <w:bottom w:val="nil"/>
              <w:right w:val="nil"/>
            </w:tcBorders>
            <w:shd w:val="clear" w:color="000000" w:fill="EDE683"/>
            <w:vAlign w:val="bottom"/>
            <w:hideMark/>
          </w:tcPr>
          <w:p w14:paraId="5FE4CDB5" w14:textId="39E5F9F3"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5.27</w:t>
            </w:r>
            <w:r w:rsidR="00355BFB">
              <w:rPr>
                <w:rFonts w:ascii="Calibri" w:eastAsia="Times New Roman" w:hAnsi="Calibri" w:cs="Calibri"/>
                <w:kern w:val="0"/>
                <w:sz w:val="22"/>
                <w:szCs w:val="22"/>
                <w:lang w:eastAsia="en-GB"/>
                <w14:ligatures w14:val="none"/>
              </w:rPr>
              <w:t>*</w:t>
            </w:r>
          </w:p>
        </w:tc>
        <w:tc>
          <w:tcPr>
            <w:tcW w:w="1520" w:type="dxa"/>
            <w:tcBorders>
              <w:top w:val="nil"/>
              <w:left w:val="nil"/>
              <w:bottom w:val="nil"/>
              <w:right w:val="nil"/>
            </w:tcBorders>
            <w:shd w:val="clear" w:color="000000" w:fill="FEE582"/>
            <w:vAlign w:val="bottom"/>
            <w:hideMark/>
          </w:tcPr>
          <w:p w14:paraId="67B47E6E" w14:textId="1EA29F8A"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3.35</w:t>
            </w:r>
            <w:r w:rsidR="00355BFB">
              <w:rPr>
                <w:rFonts w:ascii="Calibri" w:eastAsia="Times New Roman" w:hAnsi="Calibri" w:cs="Calibri"/>
                <w:kern w:val="0"/>
                <w:sz w:val="22"/>
                <w:szCs w:val="22"/>
                <w:lang w:eastAsia="en-GB"/>
                <w14:ligatures w14:val="none"/>
              </w:rPr>
              <w:t>*</w:t>
            </w:r>
          </w:p>
        </w:tc>
      </w:tr>
      <w:tr w:rsidR="006F770C" w:rsidRPr="006F770C" w14:paraId="41383229" w14:textId="77777777" w:rsidTr="006F770C">
        <w:trPr>
          <w:trHeight w:val="288"/>
          <w:jc w:val="center"/>
        </w:trPr>
        <w:tc>
          <w:tcPr>
            <w:tcW w:w="2540" w:type="dxa"/>
            <w:tcBorders>
              <w:top w:val="nil"/>
              <w:left w:val="nil"/>
              <w:bottom w:val="nil"/>
              <w:right w:val="nil"/>
            </w:tcBorders>
            <w:noWrap/>
            <w:vAlign w:val="bottom"/>
            <w:hideMark/>
          </w:tcPr>
          <w:p w14:paraId="01FA18F2"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White (British). Not FSM.</w:t>
            </w:r>
          </w:p>
        </w:tc>
        <w:tc>
          <w:tcPr>
            <w:tcW w:w="1620" w:type="dxa"/>
            <w:tcBorders>
              <w:top w:val="nil"/>
              <w:left w:val="nil"/>
              <w:bottom w:val="nil"/>
              <w:right w:val="nil"/>
            </w:tcBorders>
            <w:shd w:val="clear" w:color="000000" w:fill="9BCF7F"/>
            <w:vAlign w:val="bottom"/>
            <w:hideMark/>
          </w:tcPr>
          <w:p w14:paraId="729BB89A" w14:textId="1966DCC5"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6.18</w:t>
            </w:r>
            <w:r w:rsidR="00355BFB">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E8E583"/>
            <w:vAlign w:val="bottom"/>
            <w:hideMark/>
          </w:tcPr>
          <w:p w14:paraId="5B05F118" w14:textId="744161AB"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6.23</w:t>
            </w:r>
            <w:r w:rsidR="00355BFB">
              <w:rPr>
                <w:rFonts w:ascii="Calibri" w:eastAsia="Times New Roman" w:hAnsi="Calibri" w:cs="Calibri"/>
                <w:kern w:val="0"/>
                <w:sz w:val="22"/>
                <w:szCs w:val="22"/>
                <w:lang w:eastAsia="en-GB"/>
                <w14:ligatures w14:val="none"/>
              </w:rPr>
              <w:t>*</w:t>
            </w:r>
          </w:p>
        </w:tc>
        <w:tc>
          <w:tcPr>
            <w:tcW w:w="1540" w:type="dxa"/>
            <w:tcBorders>
              <w:top w:val="nil"/>
              <w:left w:val="nil"/>
              <w:bottom w:val="nil"/>
              <w:right w:val="nil"/>
            </w:tcBorders>
            <w:shd w:val="clear" w:color="000000" w:fill="FEE482"/>
            <w:vAlign w:val="bottom"/>
            <w:hideMark/>
          </w:tcPr>
          <w:p w14:paraId="0DFF0DF3" w14:textId="1D5751B3"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5.17</w:t>
            </w:r>
            <w:r w:rsidR="00355BFB">
              <w:rPr>
                <w:rFonts w:ascii="Calibri" w:eastAsia="Times New Roman" w:hAnsi="Calibri" w:cs="Calibri"/>
                <w:kern w:val="0"/>
                <w:sz w:val="22"/>
                <w:szCs w:val="22"/>
                <w:lang w:eastAsia="en-GB"/>
                <w14:ligatures w14:val="none"/>
              </w:rPr>
              <w:t>*</w:t>
            </w:r>
          </w:p>
        </w:tc>
        <w:tc>
          <w:tcPr>
            <w:tcW w:w="1520" w:type="dxa"/>
            <w:tcBorders>
              <w:top w:val="nil"/>
              <w:left w:val="nil"/>
              <w:bottom w:val="nil"/>
              <w:right w:val="nil"/>
            </w:tcBorders>
            <w:shd w:val="clear" w:color="000000" w:fill="FCC27C"/>
            <w:vAlign w:val="bottom"/>
            <w:hideMark/>
          </w:tcPr>
          <w:p w14:paraId="0CC6C9CB" w14:textId="5FCF437A"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3.14</w:t>
            </w:r>
            <w:r w:rsidR="00355BFB">
              <w:rPr>
                <w:rFonts w:ascii="Calibri" w:eastAsia="Times New Roman" w:hAnsi="Calibri" w:cs="Calibri"/>
                <w:kern w:val="0"/>
                <w:sz w:val="22"/>
                <w:szCs w:val="22"/>
                <w:lang w:eastAsia="en-GB"/>
                <w14:ligatures w14:val="none"/>
              </w:rPr>
              <w:t>*</w:t>
            </w:r>
          </w:p>
        </w:tc>
      </w:tr>
      <w:tr w:rsidR="006F770C" w:rsidRPr="006F770C" w14:paraId="526D7E8A" w14:textId="77777777" w:rsidTr="006F770C">
        <w:trPr>
          <w:trHeight w:val="288"/>
          <w:jc w:val="center"/>
        </w:trPr>
        <w:tc>
          <w:tcPr>
            <w:tcW w:w="2540" w:type="dxa"/>
            <w:tcBorders>
              <w:top w:val="nil"/>
              <w:left w:val="nil"/>
              <w:bottom w:val="nil"/>
              <w:right w:val="nil"/>
            </w:tcBorders>
            <w:noWrap/>
            <w:vAlign w:val="bottom"/>
            <w:hideMark/>
          </w:tcPr>
          <w:p w14:paraId="23E91854"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White (Other). FSM.</w:t>
            </w:r>
          </w:p>
        </w:tc>
        <w:tc>
          <w:tcPr>
            <w:tcW w:w="1620" w:type="dxa"/>
            <w:tcBorders>
              <w:top w:val="nil"/>
              <w:left w:val="nil"/>
              <w:bottom w:val="nil"/>
              <w:right w:val="nil"/>
            </w:tcBorders>
            <w:shd w:val="clear" w:color="000000" w:fill="F98570"/>
            <w:vAlign w:val="bottom"/>
            <w:hideMark/>
          </w:tcPr>
          <w:p w14:paraId="4057024B"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5.66</w:t>
            </w:r>
          </w:p>
        </w:tc>
        <w:tc>
          <w:tcPr>
            <w:tcW w:w="1400" w:type="dxa"/>
            <w:tcBorders>
              <w:top w:val="nil"/>
              <w:left w:val="nil"/>
              <w:bottom w:val="nil"/>
              <w:right w:val="nil"/>
            </w:tcBorders>
            <w:shd w:val="clear" w:color="000000" w:fill="FEDD81"/>
            <w:vAlign w:val="bottom"/>
            <w:hideMark/>
          </w:tcPr>
          <w:p w14:paraId="64FFBE6D"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6.07</w:t>
            </w:r>
          </w:p>
        </w:tc>
        <w:tc>
          <w:tcPr>
            <w:tcW w:w="1540" w:type="dxa"/>
            <w:tcBorders>
              <w:top w:val="nil"/>
              <w:left w:val="nil"/>
              <w:bottom w:val="nil"/>
              <w:right w:val="nil"/>
            </w:tcBorders>
            <w:shd w:val="clear" w:color="000000" w:fill="FDD47F"/>
            <w:vAlign w:val="bottom"/>
            <w:hideMark/>
          </w:tcPr>
          <w:p w14:paraId="42394ADE" w14:textId="1C2A49A0"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5.12</w:t>
            </w:r>
            <w:r w:rsidR="00355BFB">
              <w:rPr>
                <w:rFonts w:ascii="Calibri" w:eastAsia="Times New Roman" w:hAnsi="Calibri" w:cs="Calibri"/>
                <w:kern w:val="0"/>
                <w:sz w:val="22"/>
                <w:szCs w:val="22"/>
                <w:lang w:eastAsia="en-GB"/>
                <w14:ligatures w14:val="none"/>
              </w:rPr>
              <w:t>*</w:t>
            </w:r>
          </w:p>
        </w:tc>
        <w:tc>
          <w:tcPr>
            <w:tcW w:w="1520" w:type="dxa"/>
            <w:tcBorders>
              <w:top w:val="nil"/>
              <w:left w:val="nil"/>
              <w:bottom w:val="nil"/>
              <w:right w:val="nil"/>
            </w:tcBorders>
            <w:shd w:val="clear" w:color="000000" w:fill="FDCC7E"/>
            <w:vAlign w:val="bottom"/>
            <w:hideMark/>
          </w:tcPr>
          <w:p w14:paraId="2AF9F660" w14:textId="2D5C9110"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3.20</w:t>
            </w:r>
            <w:r w:rsidR="00355BFB">
              <w:rPr>
                <w:rFonts w:ascii="Calibri" w:eastAsia="Times New Roman" w:hAnsi="Calibri" w:cs="Calibri"/>
                <w:kern w:val="0"/>
                <w:sz w:val="22"/>
                <w:szCs w:val="22"/>
                <w:lang w:eastAsia="en-GB"/>
                <w14:ligatures w14:val="none"/>
              </w:rPr>
              <w:t>*</w:t>
            </w:r>
          </w:p>
        </w:tc>
      </w:tr>
      <w:tr w:rsidR="006F770C" w:rsidRPr="006F770C" w14:paraId="38471257" w14:textId="77777777" w:rsidTr="006F770C">
        <w:trPr>
          <w:trHeight w:val="300"/>
          <w:jc w:val="center"/>
        </w:trPr>
        <w:tc>
          <w:tcPr>
            <w:tcW w:w="2540" w:type="dxa"/>
            <w:tcBorders>
              <w:top w:val="nil"/>
              <w:left w:val="nil"/>
              <w:bottom w:val="nil"/>
              <w:right w:val="nil"/>
            </w:tcBorders>
            <w:noWrap/>
            <w:vAlign w:val="bottom"/>
            <w:hideMark/>
          </w:tcPr>
          <w:p w14:paraId="4D9C60C7"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Mixed race. FSM.</w:t>
            </w:r>
          </w:p>
        </w:tc>
        <w:tc>
          <w:tcPr>
            <w:tcW w:w="1620" w:type="dxa"/>
            <w:tcBorders>
              <w:top w:val="nil"/>
              <w:left w:val="nil"/>
              <w:bottom w:val="nil"/>
              <w:right w:val="nil"/>
            </w:tcBorders>
            <w:shd w:val="clear" w:color="000000" w:fill="FA9C74"/>
            <w:vAlign w:val="bottom"/>
            <w:hideMark/>
          </w:tcPr>
          <w:p w14:paraId="03399AAC"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5.71</w:t>
            </w:r>
          </w:p>
        </w:tc>
        <w:tc>
          <w:tcPr>
            <w:tcW w:w="1400" w:type="dxa"/>
            <w:tcBorders>
              <w:top w:val="nil"/>
              <w:left w:val="nil"/>
              <w:bottom w:val="nil"/>
              <w:right w:val="nil"/>
            </w:tcBorders>
            <w:shd w:val="clear" w:color="000000" w:fill="F8726C"/>
            <w:vAlign w:val="bottom"/>
            <w:hideMark/>
          </w:tcPr>
          <w:p w14:paraId="53EF6CEF" w14:textId="0B4CCB92"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5.58</w:t>
            </w:r>
            <w:r w:rsidR="00355BFB">
              <w:rPr>
                <w:rFonts w:ascii="Calibri" w:eastAsia="Times New Roman" w:hAnsi="Calibri" w:cs="Calibri"/>
                <w:kern w:val="0"/>
                <w:sz w:val="22"/>
                <w:szCs w:val="22"/>
                <w:lang w:eastAsia="en-GB"/>
                <w14:ligatures w14:val="none"/>
              </w:rPr>
              <w:t>*</w:t>
            </w:r>
          </w:p>
        </w:tc>
        <w:tc>
          <w:tcPr>
            <w:tcW w:w="1540" w:type="dxa"/>
            <w:tcBorders>
              <w:top w:val="nil"/>
              <w:left w:val="nil"/>
              <w:bottom w:val="nil"/>
              <w:right w:val="nil"/>
            </w:tcBorders>
            <w:shd w:val="clear" w:color="000000" w:fill="F86E6C"/>
            <w:vAlign w:val="bottom"/>
            <w:hideMark/>
          </w:tcPr>
          <w:p w14:paraId="2332EC5D"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4.79</w:t>
            </w:r>
          </w:p>
        </w:tc>
        <w:tc>
          <w:tcPr>
            <w:tcW w:w="1520" w:type="dxa"/>
            <w:tcBorders>
              <w:top w:val="nil"/>
              <w:left w:val="nil"/>
              <w:bottom w:val="nil"/>
              <w:right w:val="nil"/>
            </w:tcBorders>
            <w:shd w:val="clear" w:color="000000" w:fill="FA9673"/>
            <w:vAlign w:val="bottom"/>
            <w:hideMark/>
          </w:tcPr>
          <w:p w14:paraId="73A2669A"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2.87</w:t>
            </w:r>
          </w:p>
        </w:tc>
      </w:tr>
      <w:tr w:rsidR="006F770C" w:rsidRPr="006F770C" w14:paraId="0A27DD5F" w14:textId="77777777" w:rsidTr="006F770C">
        <w:trPr>
          <w:trHeight w:val="300"/>
          <w:jc w:val="center"/>
        </w:trPr>
        <w:tc>
          <w:tcPr>
            <w:tcW w:w="2540" w:type="dxa"/>
            <w:tcBorders>
              <w:top w:val="single" w:sz="8" w:space="0" w:color="auto"/>
              <w:left w:val="single" w:sz="8" w:space="0" w:color="auto"/>
              <w:bottom w:val="single" w:sz="8" w:space="0" w:color="auto"/>
              <w:right w:val="nil"/>
            </w:tcBorders>
            <w:noWrap/>
            <w:vAlign w:val="bottom"/>
            <w:hideMark/>
          </w:tcPr>
          <w:p w14:paraId="199758C4" w14:textId="77777777" w:rsidR="006F770C" w:rsidRPr="006F770C" w:rsidRDefault="006F770C" w:rsidP="006F770C">
            <w:pPr>
              <w:spacing w:after="0" w:line="240" w:lineRule="auto"/>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White (British). FSM</w:t>
            </w:r>
          </w:p>
        </w:tc>
        <w:tc>
          <w:tcPr>
            <w:tcW w:w="1620" w:type="dxa"/>
            <w:tcBorders>
              <w:top w:val="single" w:sz="8" w:space="0" w:color="auto"/>
              <w:left w:val="nil"/>
              <w:bottom w:val="single" w:sz="8" w:space="0" w:color="auto"/>
              <w:right w:val="nil"/>
            </w:tcBorders>
            <w:shd w:val="clear" w:color="000000" w:fill="F8696B"/>
            <w:vAlign w:val="bottom"/>
            <w:hideMark/>
          </w:tcPr>
          <w:p w14:paraId="5E3523C7"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5.60</w:t>
            </w:r>
          </w:p>
        </w:tc>
        <w:tc>
          <w:tcPr>
            <w:tcW w:w="1400" w:type="dxa"/>
            <w:tcBorders>
              <w:top w:val="single" w:sz="8" w:space="0" w:color="auto"/>
              <w:left w:val="nil"/>
              <w:bottom w:val="single" w:sz="8" w:space="0" w:color="auto"/>
              <w:right w:val="nil"/>
            </w:tcBorders>
            <w:shd w:val="clear" w:color="000000" w:fill="FA9974"/>
            <w:vAlign w:val="bottom"/>
            <w:hideMark/>
          </w:tcPr>
          <w:p w14:paraId="37AA7B8F"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5.76</w:t>
            </w:r>
          </w:p>
        </w:tc>
        <w:tc>
          <w:tcPr>
            <w:tcW w:w="1540" w:type="dxa"/>
            <w:tcBorders>
              <w:top w:val="single" w:sz="8" w:space="0" w:color="auto"/>
              <w:left w:val="nil"/>
              <w:bottom w:val="single" w:sz="8" w:space="0" w:color="auto"/>
              <w:right w:val="nil"/>
            </w:tcBorders>
            <w:shd w:val="clear" w:color="000000" w:fill="F8696B"/>
            <w:vAlign w:val="bottom"/>
            <w:hideMark/>
          </w:tcPr>
          <w:p w14:paraId="2252F6DE"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4.77</w:t>
            </w:r>
          </w:p>
        </w:tc>
        <w:tc>
          <w:tcPr>
            <w:tcW w:w="1520" w:type="dxa"/>
            <w:tcBorders>
              <w:top w:val="single" w:sz="8" w:space="0" w:color="auto"/>
              <w:left w:val="nil"/>
              <w:bottom w:val="single" w:sz="8" w:space="0" w:color="auto"/>
              <w:right w:val="single" w:sz="8" w:space="0" w:color="auto"/>
            </w:tcBorders>
            <w:shd w:val="clear" w:color="000000" w:fill="F8696B"/>
            <w:vAlign w:val="bottom"/>
            <w:hideMark/>
          </w:tcPr>
          <w:p w14:paraId="63D554EC" w14:textId="77777777" w:rsidR="006F770C" w:rsidRPr="006F770C" w:rsidRDefault="006F770C" w:rsidP="006F770C">
            <w:pPr>
              <w:spacing w:after="0" w:line="240" w:lineRule="auto"/>
              <w:jc w:val="center"/>
              <w:rPr>
                <w:rFonts w:ascii="Calibri" w:eastAsia="Times New Roman" w:hAnsi="Calibri" w:cs="Calibri"/>
                <w:kern w:val="0"/>
                <w:sz w:val="22"/>
                <w:szCs w:val="22"/>
                <w:lang w:eastAsia="en-GB"/>
                <w14:ligatures w14:val="none"/>
              </w:rPr>
            </w:pPr>
            <w:r w:rsidRPr="006F770C">
              <w:rPr>
                <w:rFonts w:ascii="Calibri" w:eastAsia="Times New Roman" w:hAnsi="Calibri" w:cs="Calibri"/>
                <w:kern w:val="0"/>
                <w:sz w:val="22"/>
                <w:szCs w:val="22"/>
                <w:lang w:eastAsia="en-GB"/>
                <w14:ligatures w14:val="none"/>
              </w:rPr>
              <w:t>2.60</w:t>
            </w:r>
          </w:p>
        </w:tc>
      </w:tr>
    </w:tbl>
    <w:p w14:paraId="3E82F945" w14:textId="77777777" w:rsidR="003A1990" w:rsidRDefault="003A1990" w:rsidP="003A1990">
      <w:pPr>
        <w:pStyle w:val="ListParagraph"/>
        <w:numPr>
          <w:ilvl w:val="0"/>
          <w:numId w:val="6"/>
        </w:numPr>
        <w:spacing w:after="0"/>
        <w:jc w:val="center"/>
      </w:pPr>
      <w:r>
        <w:t>Ethnicity-by-SES-by-Gender</w:t>
      </w:r>
    </w:p>
    <w:tbl>
      <w:tblPr>
        <w:tblW w:w="8340" w:type="dxa"/>
        <w:jc w:val="center"/>
        <w:tblLook w:val="04A0" w:firstRow="1" w:lastRow="0" w:firstColumn="1" w:lastColumn="0" w:noHBand="0" w:noVBand="1"/>
      </w:tblPr>
      <w:tblGrid>
        <w:gridCol w:w="2920"/>
        <w:gridCol w:w="1400"/>
        <w:gridCol w:w="1400"/>
        <w:gridCol w:w="1400"/>
        <w:gridCol w:w="1480"/>
      </w:tblGrid>
      <w:tr w:rsidR="009B5108" w:rsidRPr="009B5108" w14:paraId="232D47FB" w14:textId="77777777" w:rsidTr="009B5108">
        <w:trPr>
          <w:trHeight w:val="576"/>
          <w:jc w:val="center"/>
        </w:trPr>
        <w:tc>
          <w:tcPr>
            <w:tcW w:w="2920" w:type="dxa"/>
            <w:tcBorders>
              <w:top w:val="single" w:sz="4" w:space="0" w:color="auto"/>
              <w:left w:val="nil"/>
              <w:bottom w:val="single" w:sz="4" w:space="0" w:color="auto"/>
              <w:right w:val="nil"/>
            </w:tcBorders>
            <w:shd w:val="clear" w:color="000000" w:fill="C0E6F5"/>
            <w:noWrap/>
            <w:vAlign w:val="bottom"/>
            <w:hideMark/>
          </w:tcPr>
          <w:p w14:paraId="1E21D1ED" w14:textId="77777777" w:rsidR="009B5108" w:rsidRPr="009B5108" w:rsidRDefault="009B5108" w:rsidP="009B5108">
            <w:pPr>
              <w:spacing w:after="0" w:line="240" w:lineRule="auto"/>
              <w:rPr>
                <w:rFonts w:ascii="Calibri" w:eastAsia="Times New Roman" w:hAnsi="Calibri" w:cs="Calibri"/>
                <w:b/>
                <w:bCs/>
                <w:kern w:val="0"/>
                <w:sz w:val="22"/>
                <w:szCs w:val="22"/>
                <w:lang w:eastAsia="en-GB"/>
                <w14:ligatures w14:val="none"/>
              </w:rPr>
            </w:pPr>
            <w:r w:rsidRPr="009B5108">
              <w:rPr>
                <w:rFonts w:ascii="Calibri" w:eastAsia="Times New Roman" w:hAnsi="Calibri" w:cs="Calibri"/>
                <w:b/>
                <w:bCs/>
                <w:kern w:val="0"/>
                <w:sz w:val="22"/>
                <w:szCs w:val="22"/>
                <w:lang w:eastAsia="en-GB"/>
                <w14:ligatures w14:val="none"/>
              </w:rPr>
              <w:t>Group</w:t>
            </w:r>
          </w:p>
        </w:tc>
        <w:tc>
          <w:tcPr>
            <w:tcW w:w="1220" w:type="dxa"/>
            <w:tcBorders>
              <w:top w:val="single" w:sz="4" w:space="0" w:color="auto"/>
              <w:left w:val="nil"/>
              <w:bottom w:val="single" w:sz="4" w:space="0" w:color="auto"/>
              <w:right w:val="nil"/>
            </w:tcBorders>
            <w:shd w:val="clear" w:color="000000" w:fill="C0E6F5"/>
            <w:vAlign w:val="bottom"/>
            <w:hideMark/>
          </w:tcPr>
          <w:p w14:paraId="127F2C25" w14:textId="77777777" w:rsidR="009B5108" w:rsidRPr="009B5108" w:rsidRDefault="009B5108" w:rsidP="009B5108">
            <w:pPr>
              <w:spacing w:after="0" w:line="240" w:lineRule="auto"/>
              <w:jc w:val="center"/>
              <w:rPr>
                <w:rFonts w:ascii="Calibri" w:eastAsia="Times New Roman" w:hAnsi="Calibri" w:cs="Calibri"/>
                <w:b/>
                <w:bCs/>
                <w:kern w:val="0"/>
                <w:sz w:val="22"/>
                <w:szCs w:val="22"/>
                <w:lang w:eastAsia="en-GB"/>
                <w14:ligatures w14:val="none"/>
              </w:rPr>
            </w:pPr>
            <w:r w:rsidRPr="009B5108">
              <w:rPr>
                <w:rFonts w:ascii="Calibri" w:eastAsia="Times New Roman" w:hAnsi="Calibri" w:cs="Calibri"/>
                <w:b/>
                <w:bCs/>
                <w:kern w:val="0"/>
                <w:sz w:val="22"/>
                <w:szCs w:val="22"/>
                <w:lang w:eastAsia="en-GB"/>
                <w14:ligatures w14:val="none"/>
              </w:rPr>
              <w:t>Peer relationships</w:t>
            </w:r>
          </w:p>
        </w:tc>
        <w:tc>
          <w:tcPr>
            <w:tcW w:w="1320" w:type="dxa"/>
            <w:tcBorders>
              <w:top w:val="single" w:sz="4" w:space="0" w:color="auto"/>
              <w:left w:val="nil"/>
              <w:bottom w:val="single" w:sz="4" w:space="0" w:color="auto"/>
              <w:right w:val="nil"/>
            </w:tcBorders>
            <w:shd w:val="clear" w:color="000000" w:fill="C0E6F5"/>
            <w:vAlign w:val="bottom"/>
            <w:hideMark/>
          </w:tcPr>
          <w:p w14:paraId="33CD4003" w14:textId="77777777" w:rsidR="009B5108" w:rsidRPr="009B5108" w:rsidRDefault="009B5108" w:rsidP="009B5108">
            <w:pPr>
              <w:spacing w:after="0" w:line="240" w:lineRule="auto"/>
              <w:jc w:val="center"/>
              <w:rPr>
                <w:rFonts w:ascii="Calibri" w:eastAsia="Times New Roman" w:hAnsi="Calibri" w:cs="Calibri"/>
                <w:b/>
                <w:bCs/>
                <w:kern w:val="0"/>
                <w:sz w:val="22"/>
                <w:szCs w:val="22"/>
                <w:lang w:eastAsia="en-GB"/>
                <w14:ligatures w14:val="none"/>
              </w:rPr>
            </w:pPr>
            <w:r w:rsidRPr="009B5108">
              <w:rPr>
                <w:rFonts w:ascii="Calibri" w:eastAsia="Times New Roman" w:hAnsi="Calibri" w:cs="Calibri"/>
                <w:b/>
                <w:bCs/>
                <w:kern w:val="0"/>
                <w:sz w:val="22"/>
                <w:szCs w:val="22"/>
                <w:lang w:eastAsia="en-GB"/>
                <w14:ligatures w14:val="none"/>
              </w:rPr>
              <w:t>Teacher relationships</w:t>
            </w:r>
          </w:p>
        </w:tc>
        <w:tc>
          <w:tcPr>
            <w:tcW w:w="1400" w:type="dxa"/>
            <w:tcBorders>
              <w:top w:val="single" w:sz="4" w:space="0" w:color="auto"/>
              <w:left w:val="nil"/>
              <w:bottom w:val="single" w:sz="4" w:space="0" w:color="auto"/>
              <w:right w:val="nil"/>
            </w:tcBorders>
            <w:shd w:val="clear" w:color="000000" w:fill="C0E6F5"/>
            <w:vAlign w:val="bottom"/>
            <w:hideMark/>
          </w:tcPr>
          <w:p w14:paraId="641D923F" w14:textId="77777777" w:rsidR="009B5108" w:rsidRPr="009B5108" w:rsidRDefault="009B5108" w:rsidP="009B5108">
            <w:pPr>
              <w:spacing w:after="0" w:line="240" w:lineRule="auto"/>
              <w:jc w:val="center"/>
              <w:rPr>
                <w:rFonts w:ascii="Calibri" w:eastAsia="Times New Roman" w:hAnsi="Calibri" w:cs="Calibri"/>
                <w:b/>
                <w:bCs/>
                <w:kern w:val="0"/>
                <w:sz w:val="22"/>
                <w:szCs w:val="22"/>
                <w:lang w:eastAsia="en-GB"/>
                <w14:ligatures w14:val="none"/>
              </w:rPr>
            </w:pPr>
            <w:r w:rsidRPr="009B5108">
              <w:rPr>
                <w:rFonts w:ascii="Calibri" w:eastAsia="Times New Roman" w:hAnsi="Calibri" w:cs="Calibri"/>
                <w:b/>
                <w:bCs/>
                <w:kern w:val="0"/>
                <w:sz w:val="22"/>
                <w:szCs w:val="22"/>
                <w:lang w:eastAsia="en-GB"/>
                <w14:ligatures w14:val="none"/>
              </w:rPr>
              <w:t>Diversity &amp; Inclusion</w:t>
            </w:r>
          </w:p>
        </w:tc>
        <w:tc>
          <w:tcPr>
            <w:tcW w:w="1480" w:type="dxa"/>
            <w:tcBorders>
              <w:top w:val="single" w:sz="4" w:space="0" w:color="auto"/>
              <w:left w:val="nil"/>
              <w:bottom w:val="single" w:sz="4" w:space="0" w:color="auto"/>
              <w:right w:val="nil"/>
            </w:tcBorders>
            <w:shd w:val="clear" w:color="000000" w:fill="C0E6F5"/>
            <w:vAlign w:val="bottom"/>
            <w:hideMark/>
          </w:tcPr>
          <w:p w14:paraId="5D806EF3" w14:textId="77777777" w:rsidR="009B5108" w:rsidRPr="009B5108" w:rsidRDefault="009B5108" w:rsidP="009B5108">
            <w:pPr>
              <w:spacing w:after="0" w:line="240" w:lineRule="auto"/>
              <w:jc w:val="center"/>
              <w:rPr>
                <w:rFonts w:ascii="Calibri" w:eastAsia="Times New Roman" w:hAnsi="Calibri" w:cs="Calibri"/>
                <w:b/>
                <w:bCs/>
                <w:kern w:val="0"/>
                <w:sz w:val="22"/>
                <w:szCs w:val="22"/>
                <w:lang w:eastAsia="en-GB"/>
                <w14:ligatures w14:val="none"/>
              </w:rPr>
            </w:pPr>
            <w:r w:rsidRPr="009B5108">
              <w:rPr>
                <w:rFonts w:ascii="Calibri" w:eastAsia="Times New Roman" w:hAnsi="Calibri" w:cs="Calibri"/>
                <w:b/>
                <w:bCs/>
                <w:kern w:val="0"/>
                <w:sz w:val="22"/>
                <w:szCs w:val="22"/>
                <w:lang w:eastAsia="en-GB"/>
                <w14:ligatures w14:val="none"/>
              </w:rPr>
              <w:t>Enjoyment</w:t>
            </w:r>
          </w:p>
        </w:tc>
      </w:tr>
      <w:tr w:rsidR="009B5108" w:rsidRPr="009B5108" w14:paraId="54515BA4" w14:textId="77777777" w:rsidTr="009B5108">
        <w:trPr>
          <w:trHeight w:val="288"/>
          <w:jc w:val="center"/>
        </w:trPr>
        <w:tc>
          <w:tcPr>
            <w:tcW w:w="2920" w:type="dxa"/>
            <w:tcBorders>
              <w:top w:val="nil"/>
              <w:left w:val="nil"/>
              <w:bottom w:val="nil"/>
              <w:right w:val="nil"/>
            </w:tcBorders>
            <w:noWrap/>
            <w:vAlign w:val="bottom"/>
            <w:hideMark/>
          </w:tcPr>
          <w:p w14:paraId="1B2F2AA6"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Black. Not FSM. Girl.</w:t>
            </w:r>
          </w:p>
        </w:tc>
        <w:tc>
          <w:tcPr>
            <w:tcW w:w="1220" w:type="dxa"/>
            <w:tcBorders>
              <w:top w:val="nil"/>
              <w:left w:val="nil"/>
              <w:bottom w:val="nil"/>
              <w:right w:val="nil"/>
            </w:tcBorders>
            <w:shd w:val="clear" w:color="000000" w:fill="FBAE78"/>
            <w:noWrap/>
            <w:vAlign w:val="bottom"/>
            <w:hideMark/>
          </w:tcPr>
          <w:p w14:paraId="7B83DA33" w14:textId="11845CAA"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5.69</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FEB84"/>
            <w:noWrap/>
            <w:vAlign w:val="bottom"/>
            <w:hideMark/>
          </w:tcPr>
          <w:p w14:paraId="0C56C3B4"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6.13</w:t>
            </w:r>
          </w:p>
        </w:tc>
        <w:tc>
          <w:tcPr>
            <w:tcW w:w="1400" w:type="dxa"/>
            <w:tcBorders>
              <w:top w:val="nil"/>
              <w:left w:val="nil"/>
              <w:bottom w:val="nil"/>
              <w:right w:val="nil"/>
            </w:tcBorders>
            <w:shd w:val="clear" w:color="000000" w:fill="FDCC7E"/>
            <w:noWrap/>
            <w:vAlign w:val="bottom"/>
            <w:hideMark/>
          </w:tcPr>
          <w:p w14:paraId="779E7687"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5.04</w:t>
            </w:r>
          </w:p>
        </w:tc>
        <w:tc>
          <w:tcPr>
            <w:tcW w:w="1480" w:type="dxa"/>
            <w:tcBorders>
              <w:top w:val="nil"/>
              <w:left w:val="nil"/>
              <w:bottom w:val="nil"/>
              <w:right w:val="nil"/>
            </w:tcBorders>
            <w:shd w:val="clear" w:color="000000" w:fill="D2DE82"/>
            <w:noWrap/>
            <w:vAlign w:val="bottom"/>
            <w:hideMark/>
          </w:tcPr>
          <w:p w14:paraId="15360458" w14:textId="7347DA6A"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3.66</w:t>
            </w:r>
            <w:r w:rsidR="00A86274">
              <w:rPr>
                <w:rFonts w:ascii="Calibri" w:eastAsia="Times New Roman" w:hAnsi="Calibri" w:cs="Calibri"/>
                <w:kern w:val="0"/>
                <w:sz w:val="22"/>
                <w:szCs w:val="22"/>
                <w:lang w:eastAsia="en-GB"/>
                <w14:ligatures w14:val="none"/>
              </w:rPr>
              <w:t>*</w:t>
            </w:r>
          </w:p>
        </w:tc>
      </w:tr>
      <w:tr w:rsidR="009B5108" w:rsidRPr="009B5108" w14:paraId="31953B2E" w14:textId="77777777" w:rsidTr="009B5108">
        <w:trPr>
          <w:trHeight w:val="288"/>
          <w:jc w:val="center"/>
        </w:trPr>
        <w:tc>
          <w:tcPr>
            <w:tcW w:w="2920" w:type="dxa"/>
            <w:tcBorders>
              <w:top w:val="nil"/>
              <w:left w:val="nil"/>
              <w:bottom w:val="nil"/>
              <w:right w:val="nil"/>
            </w:tcBorders>
            <w:noWrap/>
            <w:vAlign w:val="bottom"/>
            <w:hideMark/>
          </w:tcPr>
          <w:p w14:paraId="50357AD8"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Asian. Not FSM. Girl.</w:t>
            </w:r>
          </w:p>
        </w:tc>
        <w:tc>
          <w:tcPr>
            <w:tcW w:w="1220" w:type="dxa"/>
            <w:tcBorders>
              <w:top w:val="nil"/>
              <w:left w:val="nil"/>
              <w:bottom w:val="nil"/>
              <w:right w:val="nil"/>
            </w:tcBorders>
            <w:shd w:val="clear" w:color="000000" w:fill="C2DA81"/>
            <w:noWrap/>
            <w:vAlign w:val="bottom"/>
            <w:hideMark/>
          </w:tcPr>
          <w:p w14:paraId="2EB68943" w14:textId="207EA0DF"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6.19</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A1D07F"/>
            <w:noWrap/>
            <w:vAlign w:val="bottom"/>
            <w:hideMark/>
          </w:tcPr>
          <w:p w14:paraId="2BBC8C2F" w14:textId="5E5FC253"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6.65</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9CCF7F"/>
            <w:noWrap/>
            <w:vAlign w:val="bottom"/>
            <w:hideMark/>
          </w:tcPr>
          <w:p w14:paraId="7B5AAD6E" w14:textId="5F70B89B"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5.75</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96CD7E"/>
            <w:noWrap/>
            <w:vAlign w:val="bottom"/>
            <w:hideMark/>
          </w:tcPr>
          <w:p w14:paraId="60BC444D" w14:textId="06E7522A"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4.08</w:t>
            </w:r>
            <w:r w:rsidR="00A86274">
              <w:rPr>
                <w:rFonts w:ascii="Calibri" w:eastAsia="Times New Roman" w:hAnsi="Calibri" w:cs="Calibri"/>
                <w:kern w:val="0"/>
                <w:sz w:val="22"/>
                <w:szCs w:val="22"/>
                <w:lang w:eastAsia="en-GB"/>
                <w14:ligatures w14:val="none"/>
              </w:rPr>
              <w:t>*</w:t>
            </w:r>
          </w:p>
        </w:tc>
      </w:tr>
      <w:tr w:rsidR="009B5108" w:rsidRPr="009B5108" w14:paraId="340DA476" w14:textId="77777777" w:rsidTr="009B5108">
        <w:trPr>
          <w:trHeight w:val="288"/>
          <w:jc w:val="center"/>
        </w:trPr>
        <w:tc>
          <w:tcPr>
            <w:tcW w:w="2920" w:type="dxa"/>
            <w:tcBorders>
              <w:top w:val="nil"/>
              <w:left w:val="nil"/>
              <w:bottom w:val="nil"/>
              <w:right w:val="nil"/>
            </w:tcBorders>
            <w:noWrap/>
            <w:vAlign w:val="bottom"/>
            <w:hideMark/>
          </w:tcPr>
          <w:p w14:paraId="450C1B31"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Asian. Not FSM. Boy.</w:t>
            </w:r>
          </w:p>
        </w:tc>
        <w:tc>
          <w:tcPr>
            <w:tcW w:w="1220" w:type="dxa"/>
            <w:tcBorders>
              <w:top w:val="nil"/>
              <w:left w:val="nil"/>
              <w:bottom w:val="nil"/>
              <w:right w:val="nil"/>
            </w:tcBorders>
            <w:shd w:val="clear" w:color="000000" w:fill="63BE7B"/>
            <w:noWrap/>
            <w:vAlign w:val="bottom"/>
            <w:hideMark/>
          </w:tcPr>
          <w:p w14:paraId="7C7C0B93" w14:textId="34EE5006"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6.50</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63BE7B"/>
            <w:noWrap/>
            <w:vAlign w:val="bottom"/>
            <w:hideMark/>
          </w:tcPr>
          <w:p w14:paraId="3DD5125E" w14:textId="1AAEC711"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7.00</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63BE7B"/>
            <w:noWrap/>
            <w:vAlign w:val="bottom"/>
            <w:hideMark/>
          </w:tcPr>
          <w:p w14:paraId="322E85AD" w14:textId="0267081A"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6.04</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63BE7B"/>
            <w:noWrap/>
            <w:vAlign w:val="bottom"/>
            <w:hideMark/>
          </w:tcPr>
          <w:p w14:paraId="3DCB1C68" w14:textId="0B8BA28A"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4.43</w:t>
            </w:r>
            <w:r w:rsidR="00A86274">
              <w:rPr>
                <w:rFonts w:ascii="Calibri" w:eastAsia="Times New Roman" w:hAnsi="Calibri" w:cs="Calibri"/>
                <w:kern w:val="0"/>
                <w:sz w:val="22"/>
                <w:szCs w:val="22"/>
                <w:lang w:eastAsia="en-GB"/>
                <w14:ligatures w14:val="none"/>
              </w:rPr>
              <w:t>*</w:t>
            </w:r>
          </w:p>
        </w:tc>
      </w:tr>
      <w:tr w:rsidR="009B5108" w:rsidRPr="009B5108" w14:paraId="18C3FD00" w14:textId="77777777" w:rsidTr="009B5108">
        <w:trPr>
          <w:trHeight w:val="288"/>
          <w:jc w:val="center"/>
        </w:trPr>
        <w:tc>
          <w:tcPr>
            <w:tcW w:w="2920" w:type="dxa"/>
            <w:tcBorders>
              <w:top w:val="nil"/>
              <w:left w:val="nil"/>
              <w:bottom w:val="nil"/>
              <w:right w:val="nil"/>
            </w:tcBorders>
            <w:noWrap/>
            <w:vAlign w:val="bottom"/>
            <w:hideMark/>
          </w:tcPr>
          <w:p w14:paraId="0A6B252D"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Black. Not FSM. Boy.</w:t>
            </w:r>
          </w:p>
        </w:tc>
        <w:tc>
          <w:tcPr>
            <w:tcW w:w="1220" w:type="dxa"/>
            <w:tcBorders>
              <w:top w:val="nil"/>
              <w:left w:val="nil"/>
              <w:bottom w:val="nil"/>
              <w:right w:val="nil"/>
            </w:tcBorders>
            <w:shd w:val="clear" w:color="000000" w:fill="D1DE82"/>
            <w:noWrap/>
            <w:vAlign w:val="bottom"/>
            <w:hideMark/>
          </w:tcPr>
          <w:p w14:paraId="4B7DEED0" w14:textId="3580B4D2"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6.14</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8E984"/>
            <w:noWrap/>
            <w:vAlign w:val="bottom"/>
            <w:hideMark/>
          </w:tcPr>
          <w:p w14:paraId="393F75A2"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6.17</w:t>
            </w:r>
          </w:p>
        </w:tc>
        <w:tc>
          <w:tcPr>
            <w:tcW w:w="1400" w:type="dxa"/>
            <w:tcBorders>
              <w:top w:val="nil"/>
              <w:left w:val="nil"/>
              <w:bottom w:val="nil"/>
              <w:right w:val="nil"/>
            </w:tcBorders>
            <w:shd w:val="clear" w:color="000000" w:fill="E0E283"/>
            <w:noWrap/>
            <w:vAlign w:val="bottom"/>
            <w:hideMark/>
          </w:tcPr>
          <w:p w14:paraId="52909A0C" w14:textId="45AE6F3D"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5.40</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94CD7E"/>
            <w:noWrap/>
            <w:vAlign w:val="bottom"/>
            <w:hideMark/>
          </w:tcPr>
          <w:p w14:paraId="1072A22B" w14:textId="08359B18"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4.09</w:t>
            </w:r>
            <w:r w:rsidR="00A86274">
              <w:rPr>
                <w:rFonts w:ascii="Calibri" w:eastAsia="Times New Roman" w:hAnsi="Calibri" w:cs="Calibri"/>
                <w:kern w:val="0"/>
                <w:sz w:val="22"/>
                <w:szCs w:val="22"/>
                <w:lang w:eastAsia="en-GB"/>
                <w14:ligatures w14:val="none"/>
              </w:rPr>
              <w:t>*</w:t>
            </w:r>
          </w:p>
        </w:tc>
      </w:tr>
      <w:tr w:rsidR="009B5108" w:rsidRPr="009B5108" w14:paraId="53F3545D" w14:textId="77777777" w:rsidTr="009B5108">
        <w:trPr>
          <w:trHeight w:val="288"/>
          <w:jc w:val="center"/>
        </w:trPr>
        <w:tc>
          <w:tcPr>
            <w:tcW w:w="2920" w:type="dxa"/>
            <w:tcBorders>
              <w:top w:val="nil"/>
              <w:left w:val="nil"/>
              <w:bottom w:val="nil"/>
              <w:right w:val="nil"/>
            </w:tcBorders>
            <w:noWrap/>
            <w:vAlign w:val="bottom"/>
            <w:hideMark/>
          </w:tcPr>
          <w:p w14:paraId="31CDB760"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South Asian. Not FSM. Boy.</w:t>
            </w:r>
          </w:p>
        </w:tc>
        <w:tc>
          <w:tcPr>
            <w:tcW w:w="1220" w:type="dxa"/>
            <w:tcBorders>
              <w:top w:val="nil"/>
              <w:left w:val="nil"/>
              <w:bottom w:val="nil"/>
              <w:right w:val="nil"/>
            </w:tcBorders>
            <w:shd w:val="clear" w:color="000000" w:fill="79C57D"/>
            <w:noWrap/>
            <w:vAlign w:val="bottom"/>
            <w:hideMark/>
          </w:tcPr>
          <w:p w14:paraId="3C00B791" w14:textId="25A5B06F"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6.43</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ACD380"/>
            <w:noWrap/>
            <w:vAlign w:val="bottom"/>
            <w:hideMark/>
          </w:tcPr>
          <w:p w14:paraId="028EF96A" w14:textId="3E1793A5"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6.59</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8CCA7E"/>
            <w:noWrap/>
            <w:vAlign w:val="bottom"/>
            <w:hideMark/>
          </w:tcPr>
          <w:p w14:paraId="420312C7" w14:textId="4FEE4DEE"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5.84</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A2D07F"/>
            <w:noWrap/>
            <w:vAlign w:val="bottom"/>
            <w:hideMark/>
          </w:tcPr>
          <w:p w14:paraId="0AF429C6" w14:textId="2EFF037D"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4.00</w:t>
            </w:r>
            <w:r w:rsidR="00A86274">
              <w:rPr>
                <w:rFonts w:ascii="Calibri" w:eastAsia="Times New Roman" w:hAnsi="Calibri" w:cs="Calibri"/>
                <w:kern w:val="0"/>
                <w:sz w:val="22"/>
                <w:szCs w:val="22"/>
                <w:lang w:eastAsia="en-GB"/>
                <w14:ligatures w14:val="none"/>
              </w:rPr>
              <w:t>*</w:t>
            </w:r>
          </w:p>
        </w:tc>
      </w:tr>
      <w:tr w:rsidR="009B5108" w:rsidRPr="009B5108" w14:paraId="5875174D" w14:textId="77777777" w:rsidTr="009B5108">
        <w:trPr>
          <w:trHeight w:val="288"/>
          <w:jc w:val="center"/>
        </w:trPr>
        <w:tc>
          <w:tcPr>
            <w:tcW w:w="2920" w:type="dxa"/>
            <w:tcBorders>
              <w:top w:val="nil"/>
              <w:left w:val="nil"/>
              <w:bottom w:val="nil"/>
              <w:right w:val="nil"/>
            </w:tcBorders>
            <w:noWrap/>
            <w:vAlign w:val="bottom"/>
            <w:hideMark/>
          </w:tcPr>
          <w:p w14:paraId="38F85FE8"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Black. FSM. Boy.</w:t>
            </w:r>
          </w:p>
        </w:tc>
        <w:tc>
          <w:tcPr>
            <w:tcW w:w="1220" w:type="dxa"/>
            <w:tcBorders>
              <w:top w:val="nil"/>
              <w:left w:val="nil"/>
              <w:bottom w:val="nil"/>
              <w:right w:val="nil"/>
            </w:tcBorders>
            <w:shd w:val="clear" w:color="000000" w:fill="D0DE82"/>
            <w:noWrap/>
            <w:vAlign w:val="bottom"/>
            <w:hideMark/>
          </w:tcPr>
          <w:p w14:paraId="2B84253E"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6.15</w:t>
            </w:r>
          </w:p>
        </w:tc>
        <w:tc>
          <w:tcPr>
            <w:tcW w:w="1320" w:type="dxa"/>
            <w:tcBorders>
              <w:top w:val="nil"/>
              <w:left w:val="nil"/>
              <w:bottom w:val="nil"/>
              <w:right w:val="nil"/>
            </w:tcBorders>
            <w:shd w:val="clear" w:color="000000" w:fill="FBA877"/>
            <w:noWrap/>
            <w:vAlign w:val="bottom"/>
            <w:hideMark/>
          </w:tcPr>
          <w:p w14:paraId="07958CD3" w14:textId="2987EAD3"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5.74</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EEB84"/>
            <w:noWrap/>
            <w:vAlign w:val="bottom"/>
            <w:hideMark/>
          </w:tcPr>
          <w:p w14:paraId="0F483134"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5.25</w:t>
            </w:r>
          </w:p>
        </w:tc>
        <w:tc>
          <w:tcPr>
            <w:tcW w:w="1480" w:type="dxa"/>
            <w:tcBorders>
              <w:top w:val="nil"/>
              <w:left w:val="nil"/>
              <w:bottom w:val="nil"/>
              <w:right w:val="nil"/>
            </w:tcBorders>
            <w:shd w:val="clear" w:color="000000" w:fill="DBE182"/>
            <w:noWrap/>
            <w:vAlign w:val="bottom"/>
            <w:hideMark/>
          </w:tcPr>
          <w:p w14:paraId="5F94545B" w14:textId="15F339D9"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3.60</w:t>
            </w:r>
            <w:r w:rsidR="00A86274">
              <w:rPr>
                <w:rFonts w:ascii="Calibri" w:eastAsia="Times New Roman" w:hAnsi="Calibri" w:cs="Calibri"/>
                <w:kern w:val="0"/>
                <w:sz w:val="22"/>
                <w:szCs w:val="22"/>
                <w:lang w:eastAsia="en-GB"/>
                <w14:ligatures w14:val="none"/>
              </w:rPr>
              <w:t>*</w:t>
            </w:r>
          </w:p>
        </w:tc>
      </w:tr>
      <w:tr w:rsidR="009B5108" w:rsidRPr="009B5108" w14:paraId="60B56CE3" w14:textId="77777777" w:rsidTr="009B5108">
        <w:trPr>
          <w:trHeight w:val="288"/>
          <w:jc w:val="center"/>
        </w:trPr>
        <w:tc>
          <w:tcPr>
            <w:tcW w:w="2920" w:type="dxa"/>
            <w:tcBorders>
              <w:top w:val="nil"/>
              <w:left w:val="nil"/>
              <w:bottom w:val="nil"/>
              <w:right w:val="nil"/>
            </w:tcBorders>
            <w:noWrap/>
            <w:vAlign w:val="bottom"/>
            <w:hideMark/>
          </w:tcPr>
          <w:p w14:paraId="1F0BC28F"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South Asian. Not FSM. Girl.</w:t>
            </w:r>
          </w:p>
        </w:tc>
        <w:tc>
          <w:tcPr>
            <w:tcW w:w="1220" w:type="dxa"/>
            <w:tcBorders>
              <w:top w:val="nil"/>
              <w:left w:val="nil"/>
              <w:bottom w:val="nil"/>
              <w:right w:val="nil"/>
            </w:tcBorders>
            <w:shd w:val="clear" w:color="000000" w:fill="F1E784"/>
            <w:noWrap/>
            <w:vAlign w:val="bottom"/>
            <w:hideMark/>
          </w:tcPr>
          <w:p w14:paraId="2133BCC5"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6.04</w:t>
            </w:r>
          </w:p>
        </w:tc>
        <w:tc>
          <w:tcPr>
            <w:tcW w:w="1320" w:type="dxa"/>
            <w:tcBorders>
              <w:top w:val="nil"/>
              <w:left w:val="nil"/>
              <w:bottom w:val="nil"/>
              <w:right w:val="nil"/>
            </w:tcBorders>
            <w:shd w:val="clear" w:color="000000" w:fill="E7E583"/>
            <w:noWrap/>
            <w:vAlign w:val="bottom"/>
            <w:hideMark/>
          </w:tcPr>
          <w:p w14:paraId="58DD9CB8"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6.26</w:t>
            </w:r>
          </w:p>
        </w:tc>
        <w:tc>
          <w:tcPr>
            <w:tcW w:w="1400" w:type="dxa"/>
            <w:tcBorders>
              <w:top w:val="nil"/>
              <w:left w:val="nil"/>
              <w:bottom w:val="nil"/>
              <w:right w:val="nil"/>
            </w:tcBorders>
            <w:shd w:val="clear" w:color="000000" w:fill="CEDD82"/>
            <w:noWrap/>
            <w:vAlign w:val="bottom"/>
            <w:hideMark/>
          </w:tcPr>
          <w:p w14:paraId="48D21FCD" w14:textId="04307AFB"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5.49</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DAE182"/>
            <w:noWrap/>
            <w:vAlign w:val="bottom"/>
            <w:hideMark/>
          </w:tcPr>
          <w:p w14:paraId="401AD6F6" w14:textId="5495E80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3.61</w:t>
            </w:r>
            <w:r w:rsidR="00A86274">
              <w:rPr>
                <w:rFonts w:ascii="Calibri" w:eastAsia="Times New Roman" w:hAnsi="Calibri" w:cs="Calibri"/>
                <w:kern w:val="0"/>
                <w:sz w:val="22"/>
                <w:szCs w:val="22"/>
                <w:lang w:eastAsia="en-GB"/>
                <w14:ligatures w14:val="none"/>
              </w:rPr>
              <w:t>*</w:t>
            </w:r>
          </w:p>
        </w:tc>
      </w:tr>
      <w:tr w:rsidR="009B5108" w:rsidRPr="009B5108" w14:paraId="4F50395A" w14:textId="77777777" w:rsidTr="009B5108">
        <w:trPr>
          <w:trHeight w:val="288"/>
          <w:jc w:val="center"/>
        </w:trPr>
        <w:tc>
          <w:tcPr>
            <w:tcW w:w="2920" w:type="dxa"/>
            <w:tcBorders>
              <w:top w:val="nil"/>
              <w:left w:val="nil"/>
              <w:bottom w:val="nil"/>
              <w:right w:val="nil"/>
            </w:tcBorders>
            <w:noWrap/>
            <w:vAlign w:val="bottom"/>
            <w:hideMark/>
          </w:tcPr>
          <w:p w14:paraId="2B1F3248"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Black. FSM. Girl.</w:t>
            </w:r>
          </w:p>
        </w:tc>
        <w:tc>
          <w:tcPr>
            <w:tcW w:w="1220" w:type="dxa"/>
            <w:tcBorders>
              <w:top w:val="nil"/>
              <w:left w:val="nil"/>
              <w:bottom w:val="nil"/>
              <w:right w:val="nil"/>
            </w:tcBorders>
            <w:shd w:val="clear" w:color="000000" w:fill="FA9272"/>
            <w:noWrap/>
            <w:vAlign w:val="bottom"/>
            <w:hideMark/>
          </w:tcPr>
          <w:p w14:paraId="66D8CA9F" w14:textId="606E6B7D"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5.56</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86E6C"/>
            <w:noWrap/>
            <w:vAlign w:val="bottom"/>
            <w:hideMark/>
          </w:tcPr>
          <w:p w14:paraId="25E22721" w14:textId="5E4857DF"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5.39</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A8F72"/>
            <w:noWrap/>
            <w:vAlign w:val="bottom"/>
            <w:hideMark/>
          </w:tcPr>
          <w:p w14:paraId="7003F002" w14:textId="52EAA8A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4.64</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FDD680"/>
            <w:noWrap/>
            <w:vAlign w:val="bottom"/>
            <w:hideMark/>
          </w:tcPr>
          <w:p w14:paraId="621B6074"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3.20</w:t>
            </w:r>
          </w:p>
        </w:tc>
      </w:tr>
      <w:tr w:rsidR="009B5108" w:rsidRPr="009B5108" w14:paraId="068EF04F" w14:textId="77777777" w:rsidTr="009B5108">
        <w:trPr>
          <w:trHeight w:val="288"/>
          <w:jc w:val="center"/>
        </w:trPr>
        <w:tc>
          <w:tcPr>
            <w:tcW w:w="2920" w:type="dxa"/>
            <w:tcBorders>
              <w:top w:val="nil"/>
              <w:left w:val="nil"/>
              <w:bottom w:val="nil"/>
              <w:right w:val="nil"/>
            </w:tcBorders>
            <w:noWrap/>
            <w:vAlign w:val="bottom"/>
            <w:hideMark/>
          </w:tcPr>
          <w:p w14:paraId="53B50B29"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South Asian. FSM. Boy.</w:t>
            </w:r>
          </w:p>
        </w:tc>
        <w:tc>
          <w:tcPr>
            <w:tcW w:w="1220" w:type="dxa"/>
            <w:tcBorders>
              <w:top w:val="nil"/>
              <w:left w:val="nil"/>
              <w:bottom w:val="nil"/>
              <w:right w:val="nil"/>
            </w:tcBorders>
            <w:shd w:val="clear" w:color="000000" w:fill="F5E984"/>
            <w:noWrap/>
            <w:vAlign w:val="bottom"/>
            <w:hideMark/>
          </w:tcPr>
          <w:p w14:paraId="6379F916"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6.03</w:t>
            </w:r>
          </w:p>
        </w:tc>
        <w:tc>
          <w:tcPr>
            <w:tcW w:w="1320" w:type="dxa"/>
            <w:tcBorders>
              <w:top w:val="nil"/>
              <w:left w:val="nil"/>
              <w:bottom w:val="nil"/>
              <w:right w:val="nil"/>
            </w:tcBorders>
            <w:shd w:val="clear" w:color="000000" w:fill="FDCD7E"/>
            <w:noWrap/>
            <w:vAlign w:val="bottom"/>
            <w:hideMark/>
          </w:tcPr>
          <w:p w14:paraId="5955AEFC"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5.95</w:t>
            </w:r>
          </w:p>
        </w:tc>
        <w:tc>
          <w:tcPr>
            <w:tcW w:w="1400" w:type="dxa"/>
            <w:tcBorders>
              <w:top w:val="nil"/>
              <w:left w:val="nil"/>
              <w:bottom w:val="nil"/>
              <w:right w:val="nil"/>
            </w:tcBorders>
            <w:shd w:val="clear" w:color="000000" w:fill="F5E984"/>
            <w:noWrap/>
            <w:vAlign w:val="bottom"/>
            <w:hideMark/>
          </w:tcPr>
          <w:p w14:paraId="4726EC43"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5.29</w:t>
            </w:r>
          </w:p>
        </w:tc>
        <w:tc>
          <w:tcPr>
            <w:tcW w:w="1480" w:type="dxa"/>
            <w:tcBorders>
              <w:top w:val="nil"/>
              <w:left w:val="nil"/>
              <w:bottom w:val="nil"/>
              <w:right w:val="nil"/>
            </w:tcBorders>
            <w:shd w:val="clear" w:color="000000" w:fill="F6E984"/>
            <w:noWrap/>
            <w:vAlign w:val="bottom"/>
            <w:hideMark/>
          </w:tcPr>
          <w:p w14:paraId="3B42A3B3" w14:textId="26930773"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3.42</w:t>
            </w:r>
            <w:r w:rsidR="00A86274">
              <w:rPr>
                <w:rFonts w:ascii="Calibri" w:eastAsia="Times New Roman" w:hAnsi="Calibri" w:cs="Calibri"/>
                <w:kern w:val="0"/>
                <w:sz w:val="22"/>
                <w:szCs w:val="22"/>
                <w:lang w:eastAsia="en-GB"/>
                <w14:ligatures w14:val="none"/>
              </w:rPr>
              <w:t>*</w:t>
            </w:r>
          </w:p>
        </w:tc>
      </w:tr>
      <w:tr w:rsidR="009B5108" w:rsidRPr="009B5108" w14:paraId="02B92284" w14:textId="77777777" w:rsidTr="009B5108">
        <w:trPr>
          <w:trHeight w:val="288"/>
          <w:jc w:val="center"/>
        </w:trPr>
        <w:tc>
          <w:tcPr>
            <w:tcW w:w="2920" w:type="dxa"/>
            <w:tcBorders>
              <w:top w:val="nil"/>
              <w:left w:val="nil"/>
              <w:bottom w:val="nil"/>
              <w:right w:val="nil"/>
            </w:tcBorders>
            <w:noWrap/>
            <w:vAlign w:val="bottom"/>
            <w:hideMark/>
          </w:tcPr>
          <w:p w14:paraId="34A5B7DA"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Mixed race. Not FSM. Boy.</w:t>
            </w:r>
          </w:p>
        </w:tc>
        <w:tc>
          <w:tcPr>
            <w:tcW w:w="1220" w:type="dxa"/>
            <w:tcBorders>
              <w:top w:val="nil"/>
              <w:left w:val="nil"/>
              <w:bottom w:val="nil"/>
              <w:right w:val="nil"/>
            </w:tcBorders>
            <w:shd w:val="clear" w:color="000000" w:fill="87C97E"/>
            <w:noWrap/>
            <w:vAlign w:val="bottom"/>
            <w:hideMark/>
          </w:tcPr>
          <w:p w14:paraId="548B0607" w14:textId="071E7A19"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6.38</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ECE683"/>
            <w:noWrap/>
            <w:vAlign w:val="bottom"/>
            <w:hideMark/>
          </w:tcPr>
          <w:p w14:paraId="74732098" w14:textId="18600132"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6.24</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D6E082"/>
            <w:noWrap/>
            <w:vAlign w:val="bottom"/>
            <w:hideMark/>
          </w:tcPr>
          <w:p w14:paraId="7FB65031" w14:textId="0F54F4B9"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5.45</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E0E283"/>
            <w:noWrap/>
            <w:vAlign w:val="bottom"/>
            <w:hideMark/>
          </w:tcPr>
          <w:p w14:paraId="102F5413" w14:textId="719192D4"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3.57</w:t>
            </w:r>
            <w:r w:rsidR="00A86274">
              <w:rPr>
                <w:rFonts w:ascii="Calibri" w:eastAsia="Times New Roman" w:hAnsi="Calibri" w:cs="Calibri"/>
                <w:kern w:val="0"/>
                <w:sz w:val="22"/>
                <w:szCs w:val="22"/>
                <w:lang w:eastAsia="en-GB"/>
                <w14:ligatures w14:val="none"/>
              </w:rPr>
              <w:t>*</w:t>
            </w:r>
          </w:p>
        </w:tc>
      </w:tr>
      <w:tr w:rsidR="009B5108" w:rsidRPr="009B5108" w14:paraId="5801AF3C" w14:textId="77777777" w:rsidTr="009B5108">
        <w:trPr>
          <w:trHeight w:val="288"/>
          <w:jc w:val="center"/>
        </w:trPr>
        <w:tc>
          <w:tcPr>
            <w:tcW w:w="2920" w:type="dxa"/>
            <w:tcBorders>
              <w:top w:val="nil"/>
              <w:left w:val="nil"/>
              <w:bottom w:val="nil"/>
              <w:right w:val="nil"/>
            </w:tcBorders>
            <w:noWrap/>
            <w:vAlign w:val="bottom"/>
            <w:hideMark/>
          </w:tcPr>
          <w:p w14:paraId="136DCB9E"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Asian. FSM. Girl.</w:t>
            </w:r>
          </w:p>
        </w:tc>
        <w:tc>
          <w:tcPr>
            <w:tcW w:w="1220" w:type="dxa"/>
            <w:tcBorders>
              <w:top w:val="nil"/>
              <w:left w:val="nil"/>
              <w:bottom w:val="nil"/>
              <w:right w:val="nil"/>
            </w:tcBorders>
            <w:shd w:val="clear" w:color="000000" w:fill="FBA376"/>
            <w:noWrap/>
            <w:vAlign w:val="bottom"/>
            <w:hideMark/>
          </w:tcPr>
          <w:p w14:paraId="76291F93" w14:textId="373EC2D6"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5.64</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5E884"/>
            <w:noWrap/>
            <w:vAlign w:val="bottom"/>
            <w:hideMark/>
          </w:tcPr>
          <w:p w14:paraId="22AD3D92"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6.19</w:t>
            </w:r>
          </w:p>
        </w:tc>
        <w:tc>
          <w:tcPr>
            <w:tcW w:w="1400" w:type="dxa"/>
            <w:tcBorders>
              <w:top w:val="nil"/>
              <w:left w:val="nil"/>
              <w:bottom w:val="nil"/>
              <w:right w:val="nil"/>
            </w:tcBorders>
            <w:shd w:val="clear" w:color="000000" w:fill="FEDC81"/>
            <w:noWrap/>
            <w:vAlign w:val="bottom"/>
            <w:hideMark/>
          </w:tcPr>
          <w:p w14:paraId="6B1FC48E"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5.15</w:t>
            </w:r>
          </w:p>
        </w:tc>
        <w:tc>
          <w:tcPr>
            <w:tcW w:w="1480" w:type="dxa"/>
            <w:tcBorders>
              <w:top w:val="nil"/>
              <w:left w:val="nil"/>
              <w:bottom w:val="nil"/>
              <w:right w:val="nil"/>
            </w:tcBorders>
            <w:shd w:val="clear" w:color="000000" w:fill="C3DA81"/>
            <w:noWrap/>
            <w:vAlign w:val="bottom"/>
            <w:hideMark/>
          </w:tcPr>
          <w:p w14:paraId="3CC47678" w14:textId="78BAB6DD"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3.77</w:t>
            </w:r>
            <w:r w:rsidR="00A86274">
              <w:rPr>
                <w:rFonts w:ascii="Calibri" w:eastAsia="Times New Roman" w:hAnsi="Calibri" w:cs="Calibri"/>
                <w:kern w:val="0"/>
                <w:sz w:val="22"/>
                <w:szCs w:val="22"/>
                <w:lang w:eastAsia="en-GB"/>
                <w14:ligatures w14:val="none"/>
              </w:rPr>
              <w:t>*</w:t>
            </w:r>
          </w:p>
        </w:tc>
      </w:tr>
      <w:tr w:rsidR="009B5108" w:rsidRPr="009B5108" w14:paraId="65E8B56F" w14:textId="77777777" w:rsidTr="009B5108">
        <w:trPr>
          <w:trHeight w:val="288"/>
          <w:jc w:val="center"/>
        </w:trPr>
        <w:tc>
          <w:tcPr>
            <w:tcW w:w="2920" w:type="dxa"/>
            <w:tcBorders>
              <w:top w:val="nil"/>
              <w:left w:val="nil"/>
              <w:bottom w:val="nil"/>
              <w:right w:val="nil"/>
            </w:tcBorders>
            <w:noWrap/>
            <w:vAlign w:val="bottom"/>
            <w:hideMark/>
          </w:tcPr>
          <w:p w14:paraId="53AC823D"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Asian. FSM. Boy.</w:t>
            </w:r>
          </w:p>
        </w:tc>
        <w:tc>
          <w:tcPr>
            <w:tcW w:w="1220" w:type="dxa"/>
            <w:tcBorders>
              <w:top w:val="nil"/>
              <w:left w:val="nil"/>
              <w:bottom w:val="nil"/>
              <w:right w:val="nil"/>
            </w:tcBorders>
            <w:shd w:val="clear" w:color="000000" w:fill="FDCD7E"/>
            <w:noWrap/>
            <w:vAlign w:val="bottom"/>
            <w:hideMark/>
          </w:tcPr>
          <w:p w14:paraId="1C0D3827"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5.85</w:t>
            </w:r>
          </w:p>
        </w:tc>
        <w:tc>
          <w:tcPr>
            <w:tcW w:w="1320" w:type="dxa"/>
            <w:tcBorders>
              <w:top w:val="nil"/>
              <w:left w:val="nil"/>
              <w:bottom w:val="nil"/>
              <w:right w:val="nil"/>
            </w:tcBorders>
            <w:shd w:val="clear" w:color="000000" w:fill="FEE182"/>
            <w:noWrap/>
            <w:vAlign w:val="bottom"/>
            <w:hideMark/>
          </w:tcPr>
          <w:p w14:paraId="422FE96A"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6.07</w:t>
            </w:r>
          </w:p>
        </w:tc>
        <w:tc>
          <w:tcPr>
            <w:tcW w:w="1400" w:type="dxa"/>
            <w:tcBorders>
              <w:top w:val="nil"/>
              <w:left w:val="nil"/>
              <w:bottom w:val="nil"/>
              <w:right w:val="nil"/>
            </w:tcBorders>
            <w:shd w:val="clear" w:color="000000" w:fill="DFE283"/>
            <w:noWrap/>
            <w:vAlign w:val="bottom"/>
            <w:hideMark/>
          </w:tcPr>
          <w:p w14:paraId="431A58A8" w14:textId="71F1D2E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5.41</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CFDD82"/>
            <w:noWrap/>
            <w:vAlign w:val="bottom"/>
            <w:hideMark/>
          </w:tcPr>
          <w:p w14:paraId="64C7F401" w14:textId="2E063333"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3.69</w:t>
            </w:r>
            <w:r w:rsidR="00A86274">
              <w:rPr>
                <w:rFonts w:ascii="Calibri" w:eastAsia="Times New Roman" w:hAnsi="Calibri" w:cs="Calibri"/>
                <w:kern w:val="0"/>
                <w:sz w:val="22"/>
                <w:szCs w:val="22"/>
                <w:lang w:eastAsia="en-GB"/>
                <w14:ligatures w14:val="none"/>
              </w:rPr>
              <w:t>*</w:t>
            </w:r>
          </w:p>
        </w:tc>
      </w:tr>
      <w:tr w:rsidR="009B5108" w:rsidRPr="009B5108" w14:paraId="789DF4D8" w14:textId="77777777" w:rsidTr="009B5108">
        <w:trPr>
          <w:trHeight w:val="288"/>
          <w:jc w:val="center"/>
        </w:trPr>
        <w:tc>
          <w:tcPr>
            <w:tcW w:w="2920" w:type="dxa"/>
            <w:tcBorders>
              <w:top w:val="nil"/>
              <w:left w:val="nil"/>
              <w:bottom w:val="nil"/>
              <w:right w:val="nil"/>
            </w:tcBorders>
            <w:noWrap/>
            <w:vAlign w:val="bottom"/>
            <w:hideMark/>
          </w:tcPr>
          <w:p w14:paraId="2B8552D2"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White Other. Not FSM. Boy.</w:t>
            </w:r>
          </w:p>
        </w:tc>
        <w:tc>
          <w:tcPr>
            <w:tcW w:w="1220" w:type="dxa"/>
            <w:tcBorders>
              <w:top w:val="nil"/>
              <w:left w:val="nil"/>
              <w:bottom w:val="nil"/>
              <w:right w:val="nil"/>
            </w:tcBorders>
            <w:shd w:val="clear" w:color="000000" w:fill="A9D27F"/>
            <w:noWrap/>
            <w:vAlign w:val="bottom"/>
            <w:hideMark/>
          </w:tcPr>
          <w:p w14:paraId="34C7008E" w14:textId="7DC55698"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6.28</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B8D780"/>
            <w:noWrap/>
            <w:vAlign w:val="bottom"/>
            <w:hideMark/>
          </w:tcPr>
          <w:p w14:paraId="516D1F40" w14:textId="361AA651"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6.53</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CEDD82"/>
            <w:noWrap/>
            <w:vAlign w:val="bottom"/>
            <w:hideMark/>
          </w:tcPr>
          <w:p w14:paraId="6254C805" w14:textId="1965D039"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5.50</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FDEB84"/>
            <w:noWrap/>
            <w:vAlign w:val="bottom"/>
            <w:hideMark/>
          </w:tcPr>
          <w:p w14:paraId="698A45A0" w14:textId="3EE6E932"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3.37</w:t>
            </w:r>
            <w:r w:rsidR="00A86274">
              <w:rPr>
                <w:rFonts w:ascii="Calibri" w:eastAsia="Times New Roman" w:hAnsi="Calibri" w:cs="Calibri"/>
                <w:kern w:val="0"/>
                <w:sz w:val="22"/>
                <w:szCs w:val="22"/>
                <w:lang w:eastAsia="en-GB"/>
                <w14:ligatures w14:val="none"/>
              </w:rPr>
              <w:t>*</w:t>
            </w:r>
          </w:p>
        </w:tc>
      </w:tr>
      <w:tr w:rsidR="009B5108" w:rsidRPr="009B5108" w14:paraId="000AE3DB" w14:textId="77777777" w:rsidTr="009B5108">
        <w:trPr>
          <w:trHeight w:val="288"/>
          <w:jc w:val="center"/>
        </w:trPr>
        <w:tc>
          <w:tcPr>
            <w:tcW w:w="2920" w:type="dxa"/>
            <w:tcBorders>
              <w:top w:val="nil"/>
              <w:left w:val="nil"/>
              <w:bottom w:val="nil"/>
              <w:right w:val="nil"/>
            </w:tcBorders>
            <w:noWrap/>
            <w:vAlign w:val="bottom"/>
            <w:hideMark/>
          </w:tcPr>
          <w:p w14:paraId="5EC70DFC"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Mixed race. Not FSM. Girl.</w:t>
            </w:r>
          </w:p>
        </w:tc>
        <w:tc>
          <w:tcPr>
            <w:tcW w:w="1220" w:type="dxa"/>
            <w:tcBorders>
              <w:top w:val="nil"/>
              <w:left w:val="nil"/>
              <w:bottom w:val="nil"/>
              <w:right w:val="nil"/>
            </w:tcBorders>
            <w:shd w:val="clear" w:color="000000" w:fill="F8E984"/>
            <w:noWrap/>
            <w:vAlign w:val="bottom"/>
            <w:hideMark/>
          </w:tcPr>
          <w:p w14:paraId="15705EC8"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6.02</w:t>
            </w:r>
          </w:p>
        </w:tc>
        <w:tc>
          <w:tcPr>
            <w:tcW w:w="1320" w:type="dxa"/>
            <w:tcBorders>
              <w:top w:val="nil"/>
              <w:left w:val="nil"/>
              <w:bottom w:val="nil"/>
              <w:right w:val="nil"/>
            </w:tcBorders>
            <w:shd w:val="clear" w:color="000000" w:fill="FEE683"/>
            <w:noWrap/>
            <w:vAlign w:val="bottom"/>
            <w:hideMark/>
          </w:tcPr>
          <w:p w14:paraId="12F0D728"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6.10</w:t>
            </w:r>
          </w:p>
        </w:tc>
        <w:tc>
          <w:tcPr>
            <w:tcW w:w="1400" w:type="dxa"/>
            <w:tcBorders>
              <w:top w:val="nil"/>
              <w:left w:val="nil"/>
              <w:bottom w:val="nil"/>
              <w:right w:val="nil"/>
            </w:tcBorders>
            <w:shd w:val="clear" w:color="000000" w:fill="FDC77D"/>
            <w:noWrap/>
            <w:vAlign w:val="bottom"/>
            <w:hideMark/>
          </w:tcPr>
          <w:p w14:paraId="3C7ACB5C" w14:textId="4D386731"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5.01</w:t>
            </w:r>
          </w:p>
        </w:tc>
        <w:tc>
          <w:tcPr>
            <w:tcW w:w="1480" w:type="dxa"/>
            <w:tcBorders>
              <w:top w:val="nil"/>
              <w:left w:val="nil"/>
              <w:bottom w:val="nil"/>
              <w:right w:val="nil"/>
            </w:tcBorders>
            <w:shd w:val="clear" w:color="000000" w:fill="FEE883"/>
            <w:noWrap/>
            <w:vAlign w:val="bottom"/>
            <w:hideMark/>
          </w:tcPr>
          <w:p w14:paraId="4DD85A3E" w14:textId="3B8CE973"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3.33</w:t>
            </w:r>
            <w:r w:rsidR="00A86274">
              <w:rPr>
                <w:rFonts w:ascii="Calibri" w:eastAsia="Times New Roman" w:hAnsi="Calibri" w:cs="Calibri"/>
                <w:kern w:val="0"/>
                <w:sz w:val="22"/>
                <w:szCs w:val="22"/>
                <w:lang w:eastAsia="en-GB"/>
                <w14:ligatures w14:val="none"/>
              </w:rPr>
              <w:t>*</w:t>
            </w:r>
          </w:p>
        </w:tc>
      </w:tr>
      <w:tr w:rsidR="009B5108" w:rsidRPr="009B5108" w14:paraId="5836A808" w14:textId="77777777" w:rsidTr="009B5108">
        <w:trPr>
          <w:trHeight w:val="288"/>
          <w:jc w:val="center"/>
        </w:trPr>
        <w:tc>
          <w:tcPr>
            <w:tcW w:w="2920" w:type="dxa"/>
            <w:tcBorders>
              <w:top w:val="nil"/>
              <w:left w:val="nil"/>
              <w:bottom w:val="nil"/>
              <w:right w:val="nil"/>
            </w:tcBorders>
            <w:noWrap/>
            <w:vAlign w:val="bottom"/>
            <w:hideMark/>
          </w:tcPr>
          <w:p w14:paraId="3CD3E82E"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White Other. Not FSM. Girl.</w:t>
            </w:r>
          </w:p>
        </w:tc>
        <w:tc>
          <w:tcPr>
            <w:tcW w:w="1220" w:type="dxa"/>
            <w:tcBorders>
              <w:top w:val="nil"/>
              <w:left w:val="nil"/>
              <w:bottom w:val="nil"/>
              <w:right w:val="nil"/>
            </w:tcBorders>
            <w:shd w:val="clear" w:color="000000" w:fill="FEE081"/>
            <w:noWrap/>
            <w:vAlign w:val="bottom"/>
            <w:hideMark/>
          </w:tcPr>
          <w:p w14:paraId="287EF937"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5.94</w:t>
            </w:r>
          </w:p>
        </w:tc>
        <w:tc>
          <w:tcPr>
            <w:tcW w:w="1320" w:type="dxa"/>
            <w:tcBorders>
              <w:top w:val="nil"/>
              <w:left w:val="nil"/>
              <w:bottom w:val="nil"/>
              <w:right w:val="nil"/>
            </w:tcBorders>
            <w:shd w:val="clear" w:color="000000" w:fill="F8E984"/>
            <w:noWrap/>
            <w:vAlign w:val="bottom"/>
            <w:hideMark/>
          </w:tcPr>
          <w:p w14:paraId="2A2B858E" w14:textId="376B5262"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6.17</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DC67D"/>
            <w:noWrap/>
            <w:vAlign w:val="bottom"/>
            <w:hideMark/>
          </w:tcPr>
          <w:p w14:paraId="62AF5281"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5.00</w:t>
            </w:r>
          </w:p>
        </w:tc>
        <w:tc>
          <w:tcPr>
            <w:tcW w:w="1480" w:type="dxa"/>
            <w:tcBorders>
              <w:top w:val="nil"/>
              <w:left w:val="nil"/>
              <w:bottom w:val="nil"/>
              <w:right w:val="nil"/>
            </w:tcBorders>
            <w:shd w:val="clear" w:color="000000" w:fill="FEE582"/>
            <w:noWrap/>
            <w:vAlign w:val="bottom"/>
            <w:hideMark/>
          </w:tcPr>
          <w:p w14:paraId="7AFD085C"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3.31</w:t>
            </w:r>
          </w:p>
        </w:tc>
      </w:tr>
      <w:tr w:rsidR="009B5108" w:rsidRPr="009B5108" w14:paraId="2DEBD9C5" w14:textId="77777777" w:rsidTr="009B5108">
        <w:trPr>
          <w:trHeight w:val="288"/>
          <w:jc w:val="center"/>
        </w:trPr>
        <w:tc>
          <w:tcPr>
            <w:tcW w:w="2920" w:type="dxa"/>
            <w:tcBorders>
              <w:top w:val="nil"/>
              <w:left w:val="nil"/>
              <w:bottom w:val="nil"/>
              <w:right w:val="nil"/>
            </w:tcBorders>
            <w:noWrap/>
            <w:vAlign w:val="bottom"/>
            <w:hideMark/>
          </w:tcPr>
          <w:p w14:paraId="43D9296D"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South Asian. FSM. Girl.</w:t>
            </w:r>
          </w:p>
        </w:tc>
        <w:tc>
          <w:tcPr>
            <w:tcW w:w="1220" w:type="dxa"/>
            <w:tcBorders>
              <w:top w:val="nil"/>
              <w:left w:val="nil"/>
              <w:bottom w:val="nil"/>
              <w:right w:val="nil"/>
            </w:tcBorders>
            <w:shd w:val="clear" w:color="000000" w:fill="FA9373"/>
            <w:noWrap/>
            <w:vAlign w:val="bottom"/>
            <w:hideMark/>
          </w:tcPr>
          <w:p w14:paraId="7D17115C"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5.56</w:t>
            </w:r>
          </w:p>
        </w:tc>
        <w:tc>
          <w:tcPr>
            <w:tcW w:w="1320" w:type="dxa"/>
            <w:tcBorders>
              <w:top w:val="nil"/>
              <w:left w:val="nil"/>
              <w:bottom w:val="nil"/>
              <w:right w:val="nil"/>
            </w:tcBorders>
            <w:shd w:val="clear" w:color="000000" w:fill="FBA175"/>
            <w:noWrap/>
            <w:vAlign w:val="bottom"/>
            <w:hideMark/>
          </w:tcPr>
          <w:p w14:paraId="790203A9"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5.70</w:t>
            </w:r>
          </w:p>
        </w:tc>
        <w:tc>
          <w:tcPr>
            <w:tcW w:w="1400" w:type="dxa"/>
            <w:tcBorders>
              <w:top w:val="nil"/>
              <w:left w:val="nil"/>
              <w:bottom w:val="nil"/>
              <w:right w:val="nil"/>
            </w:tcBorders>
            <w:shd w:val="clear" w:color="000000" w:fill="FDC97D"/>
            <w:noWrap/>
            <w:vAlign w:val="bottom"/>
            <w:hideMark/>
          </w:tcPr>
          <w:p w14:paraId="5D53535E"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5.02</w:t>
            </w:r>
          </w:p>
        </w:tc>
        <w:tc>
          <w:tcPr>
            <w:tcW w:w="1480" w:type="dxa"/>
            <w:tcBorders>
              <w:top w:val="nil"/>
              <w:left w:val="nil"/>
              <w:bottom w:val="nil"/>
              <w:right w:val="nil"/>
            </w:tcBorders>
            <w:shd w:val="clear" w:color="000000" w:fill="FBB279"/>
            <w:noWrap/>
            <w:vAlign w:val="bottom"/>
            <w:hideMark/>
          </w:tcPr>
          <w:p w14:paraId="60B2296B"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2.95</w:t>
            </w:r>
          </w:p>
        </w:tc>
      </w:tr>
      <w:tr w:rsidR="009B5108" w:rsidRPr="009B5108" w14:paraId="62344E3E" w14:textId="77777777" w:rsidTr="009B5108">
        <w:trPr>
          <w:trHeight w:val="288"/>
          <w:jc w:val="center"/>
        </w:trPr>
        <w:tc>
          <w:tcPr>
            <w:tcW w:w="2920" w:type="dxa"/>
            <w:tcBorders>
              <w:top w:val="nil"/>
              <w:left w:val="nil"/>
              <w:bottom w:val="nil"/>
              <w:right w:val="nil"/>
            </w:tcBorders>
            <w:noWrap/>
            <w:vAlign w:val="bottom"/>
            <w:hideMark/>
          </w:tcPr>
          <w:p w14:paraId="4C0E239F"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White British. Not FSM. Boy.</w:t>
            </w:r>
          </w:p>
        </w:tc>
        <w:tc>
          <w:tcPr>
            <w:tcW w:w="1220" w:type="dxa"/>
            <w:tcBorders>
              <w:top w:val="nil"/>
              <w:left w:val="nil"/>
              <w:bottom w:val="nil"/>
              <w:right w:val="nil"/>
            </w:tcBorders>
            <w:shd w:val="clear" w:color="000000" w:fill="93CC7E"/>
            <w:noWrap/>
            <w:vAlign w:val="bottom"/>
            <w:hideMark/>
          </w:tcPr>
          <w:p w14:paraId="5579686C" w14:textId="1697F0AB"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6.35</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DCE182"/>
            <w:noWrap/>
            <w:vAlign w:val="bottom"/>
            <w:hideMark/>
          </w:tcPr>
          <w:p w14:paraId="2DA7D306" w14:textId="2B44551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6.33</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E8E583"/>
            <w:noWrap/>
            <w:vAlign w:val="bottom"/>
            <w:hideMark/>
          </w:tcPr>
          <w:p w14:paraId="1A575437" w14:textId="56446865"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5.36</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FEDA80"/>
            <w:noWrap/>
            <w:vAlign w:val="bottom"/>
            <w:hideMark/>
          </w:tcPr>
          <w:p w14:paraId="23467CF3"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3.23</w:t>
            </w:r>
          </w:p>
        </w:tc>
      </w:tr>
      <w:tr w:rsidR="009B5108" w:rsidRPr="009B5108" w14:paraId="46967750" w14:textId="77777777" w:rsidTr="009B5108">
        <w:trPr>
          <w:trHeight w:val="288"/>
          <w:jc w:val="center"/>
        </w:trPr>
        <w:tc>
          <w:tcPr>
            <w:tcW w:w="2920" w:type="dxa"/>
            <w:tcBorders>
              <w:top w:val="nil"/>
              <w:left w:val="nil"/>
              <w:bottom w:val="nil"/>
              <w:right w:val="nil"/>
            </w:tcBorders>
            <w:noWrap/>
            <w:vAlign w:val="bottom"/>
            <w:hideMark/>
          </w:tcPr>
          <w:p w14:paraId="0BAA83CF"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White Other. FSM. Boy.</w:t>
            </w:r>
          </w:p>
        </w:tc>
        <w:tc>
          <w:tcPr>
            <w:tcW w:w="1220" w:type="dxa"/>
            <w:tcBorders>
              <w:top w:val="nil"/>
              <w:left w:val="nil"/>
              <w:bottom w:val="nil"/>
              <w:right w:val="nil"/>
            </w:tcBorders>
            <w:shd w:val="clear" w:color="000000" w:fill="FDD57F"/>
            <w:noWrap/>
            <w:vAlign w:val="bottom"/>
            <w:hideMark/>
          </w:tcPr>
          <w:p w14:paraId="278F432A"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5.89</w:t>
            </w:r>
          </w:p>
        </w:tc>
        <w:tc>
          <w:tcPr>
            <w:tcW w:w="1320" w:type="dxa"/>
            <w:tcBorders>
              <w:top w:val="nil"/>
              <w:left w:val="nil"/>
              <w:bottom w:val="nil"/>
              <w:right w:val="nil"/>
            </w:tcBorders>
            <w:shd w:val="clear" w:color="000000" w:fill="F2E884"/>
            <w:noWrap/>
            <w:vAlign w:val="bottom"/>
            <w:hideMark/>
          </w:tcPr>
          <w:p w14:paraId="3E10671E"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6.20</w:t>
            </w:r>
          </w:p>
        </w:tc>
        <w:tc>
          <w:tcPr>
            <w:tcW w:w="1400" w:type="dxa"/>
            <w:tcBorders>
              <w:top w:val="nil"/>
              <w:left w:val="nil"/>
              <w:bottom w:val="nil"/>
              <w:right w:val="nil"/>
            </w:tcBorders>
            <w:shd w:val="clear" w:color="000000" w:fill="DCE182"/>
            <w:noWrap/>
            <w:vAlign w:val="bottom"/>
            <w:hideMark/>
          </w:tcPr>
          <w:p w14:paraId="1650C0F8" w14:textId="5D746B4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5.42</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FEDE81"/>
            <w:noWrap/>
            <w:vAlign w:val="bottom"/>
            <w:hideMark/>
          </w:tcPr>
          <w:p w14:paraId="3307A01E"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3.26</w:t>
            </w:r>
          </w:p>
        </w:tc>
      </w:tr>
      <w:tr w:rsidR="009B5108" w:rsidRPr="009B5108" w14:paraId="748B89A8" w14:textId="77777777" w:rsidTr="009B5108">
        <w:trPr>
          <w:trHeight w:val="288"/>
          <w:jc w:val="center"/>
        </w:trPr>
        <w:tc>
          <w:tcPr>
            <w:tcW w:w="2920" w:type="dxa"/>
            <w:tcBorders>
              <w:top w:val="nil"/>
              <w:left w:val="nil"/>
              <w:bottom w:val="nil"/>
              <w:right w:val="nil"/>
            </w:tcBorders>
            <w:noWrap/>
            <w:vAlign w:val="bottom"/>
            <w:hideMark/>
          </w:tcPr>
          <w:p w14:paraId="156C1ECB"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White British. Not FSM. Girl.</w:t>
            </w:r>
          </w:p>
        </w:tc>
        <w:tc>
          <w:tcPr>
            <w:tcW w:w="1220" w:type="dxa"/>
            <w:tcBorders>
              <w:top w:val="nil"/>
              <w:left w:val="nil"/>
              <w:bottom w:val="nil"/>
              <w:right w:val="nil"/>
            </w:tcBorders>
            <w:shd w:val="clear" w:color="000000" w:fill="FEE683"/>
            <w:noWrap/>
            <w:vAlign w:val="bottom"/>
            <w:hideMark/>
          </w:tcPr>
          <w:p w14:paraId="6FE60658"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5.97</w:t>
            </w:r>
          </w:p>
        </w:tc>
        <w:tc>
          <w:tcPr>
            <w:tcW w:w="1320" w:type="dxa"/>
            <w:tcBorders>
              <w:top w:val="nil"/>
              <w:left w:val="nil"/>
              <w:bottom w:val="nil"/>
              <w:right w:val="nil"/>
            </w:tcBorders>
            <w:shd w:val="clear" w:color="000000" w:fill="FEEA83"/>
            <w:noWrap/>
            <w:vAlign w:val="bottom"/>
            <w:hideMark/>
          </w:tcPr>
          <w:p w14:paraId="668E4B70" w14:textId="778124E0"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6.13</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CC07B"/>
            <w:noWrap/>
            <w:vAlign w:val="bottom"/>
            <w:hideMark/>
          </w:tcPr>
          <w:p w14:paraId="7BF0F00F"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4.96</w:t>
            </w:r>
          </w:p>
        </w:tc>
        <w:tc>
          <w:tcPr>
            <w:tcW w:w="1480" w:type="dxa"/>
            <w:tcBorders>
              <w:top w:val="nil"/>
              <w:left w:val="nil"/>
              <w:bottom w:val="nil"/>
              <w:right w:val="nil"/>
            </w:tcBorders>
            <w:shd w:val="clear" w:color="000000" w:fill="FCBD7B"/>
            <w:noWrap/>
            <w:vAlign w:val="bottom"/>
            <w:hideMark/>
          </w:tcPr>
          <w:p w14:paraId="653670A0"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3.03</w:t>
            </w:r>
          </w:p>
        </w:tc>
      </w:tr>
      <w:tr w:rsidR="009B5108" w:rsidRPr="009B5108" w14:paraId="636C35B6" w14:textId="77777777" w:rsidTr="009B5108">
        <w:trPr>
          <w:trHeight w:val="288"/>
          <w:jc w:val="center"/>
        </w:trPr>
        <w:tc>
          <w:tcPr>
            <w:tcW w:w="2920" w:type="dxa"/>
            <w:tcBorders>
              <w:top w:val="nil"/>
              <w:left w:val="nil"/>
              <w:bottom w:val="nil"/>
              <w:right w:val="nil"/>
            </w:tcBorders>
            <w:noWrap/>
            <w:vAlign w:val="bottom"/>
            <w:hideMark/>
          </w:tcPr>
          <w:p w14:paraId="282CE293"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Mixed race. FSM. Boy.</w:t>
            </w:r>
          </w:p>
        </w:tc>
        <w:tc>
          <w:tcPr>
            <w:tcW w:w="1220" w:type="dxa"/>
            <w:tcBorders>
              <w:top w:val="nil"/>
              <w:left w:val="nil"/>
              <w:bottom w:val="nil"/>
              <w:right w:val="nil"/>
            </w:tcBorders>
            <w:shd w:val="clear" w:color="000000" w:fill="DEE283"/>
            <w:noWrap/>
            <w:vAlign w:val="bottom"/>
            <w:hideMark/>
          </w:tcPr>
          <w:p w14:paraId="5CFCF4A5"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6.10</w:t>
            </w:r>
          </w:p>
        </w:tc>
        <w:tc>
          <w:tcPr>
            <w:tcW w:w="1320" w:type="dxa"/>
            <w:tcBorders>
              <w:top w:val="nil"/>
              <w:left w:val="nil"/>
              <w:bottom w:val="nil"/>
              <w:right w:val="nil"/>
            </w:tcBorders>
            <w:shd w:val="clear" w:color="000000" w:fill="FCB77A"/>
            <w:noWrap/>
            <w:vAlign w:val="bottom"/>
            <w:hideMark/>
          </w:tcPr>
          <w:p w14:paraId="6F425693"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5.82</w:t>
            </w:r>
          </w:p>
        </w:tc>
        <w:tc>
          <w:tcPr>
            <w:tcW w:w="1400" w:type="dxa"/>
            <w:tcBorders>
              <w:top w:val="nil"/>
              <w:left w:val="nil"/>
              <w:bottom w:val="nil"/>
              <w:right w:val="nil"/>
            </w:tcBorders>
            <w:shd w:val="clear" w:color="000000" w:fill="FEE983"/>
            <w:noWrap/>
            <w:vAlign w:val="bottom"/>
            <w:hideMark/>
          </w:tcPr>
          <w:p w14:paraId="5F00302C"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5.23</w:t>
            </w:r>
          </w:p>
        </w:tc>
        <w:tc>
          <w:tcPr>
            <w:tcW w:w="1480" w:type="dxa"/>
            <w:tcBorders>
              <w:top w:val="nil"/>
              <w:left w:val="nil"/>
              <w:bottom w:val="nil"/>
              <w:right w:val="nil"/>
            </w:tcBorders>
            <w:shd w:val="clear" w:color="000000" w:fill="FCC37C"/>
            <w:noWrap/>
            <w:vAlign w:val="bottom"/>
            <w:hideMark/>
          </w:tcPr>
          <w:p w14:paraId="2545020B"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3.07</w:t>
            </w:r>
          </w:p>
        </w:tc>
      </w:tr>
      <w:tr w:rsidR="009B5108" w:rsidRPr="009B5108" w14:paraId="6161AF8A" w14:textId="77777777" w:rsidTr="009B5108">
        <w:trPr>
          <w:trHeight w:val="288"/>
          <w:jc w:val="center"/>
        </w:trPr>
        <w:tc>
          <w:tcPr>
            <w:tcW w:w="2920" w:type="dxa"/>
            <w:tcBorders>
              <w:top w:val="nil"/>
              <w:left w:val="nil"/>
              <w:bottom w:val="nil"/>
              <w:right w:val="nil"/>
            </w:tcBorders>
            <w:noWrap/>
            <w:vAlign w:val="bottom"/>
            <w:hideMark/>
          </w:tcPr>
          <w:p w14:paraId="49557F87"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White Other. FSM. Girl.</w:t>
            </w:r>
          </w:p>
        </w:tc>
        <w:tc>
          <w:tcPr>
            <w:tcW w:w="1220" w:type="dxa"/>
            <w:tcBorders>
              <w:top w:val="nil"/>
              <w:left w:val="nil"/>
              <w:bottom w:val="nil"/>
              <w:right w:val="nil"/>
            </w:tcBorders>
            <w:shd w:val="clear" w:color="000000" w:fill="F8766D"/>
            <w:noWrap/>
            <w:vAlign w:val="bottom"/>
            <w:hideMark/>
          </w:tcPr>
          <w:p w14:paraId="700A33E8" w14:textId="5DF895E1"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5.42</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CC47C"/>
            <w:noWrap/>
            <w:vAlign w:val="bottom"/>
            <w:hideMark/>
          </w:tcPr>
          <w:p w14:paraId="527651A0"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5.90</w:t>
            </w:r>
          </w:p>
        </w:tc>
        <w:tc>
          <w:tcPr>
            <w:tcW w:w="1400" w:type="dxa"/>
            <w:tcBorders>
              <w:top w:val="nil"/>
              <w:left w:val="nil"/>
              <w:bottom w:val="nil"/>
              <w:right w:val="nil"/>
            </w:tcBorders>
            <w:shd w:val="clear" w:color="000000" w:fill="FBA376"/>
            <w:noWrap/>
            <w:vAlign w:val="bottom"/>
            <w:hideMark/>
          </w:tcPr>
          <w:p w14:paraId="20265B31"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4.77</w:t>
            </w:r>
          </w:p>
        </w:tc>
        <w:tc>
          <w:tcPr>
            <w:tcW w:w="1480" w:type="dxa"/>
            <w:tcBorders>
              <w:top w:val="nil"/>
              <w:left w:val="nil"/>
              <w:bottom w:val="nil"/>
              <w:right w:val="nil"/>
            </w:tcBorders>
            <w:shd w:val="clear" w:color="000000" w:fill="FDC67C"/>
            <w:noWrap/>
            <w:vAlign w:val="bottom"/>
            <w:hideMark/>
          </w:tcPr>
          <w:p w14:paraId="7A852823"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3.09</w:t>
            </w:r>
          </w:p>
        </w:tc>
      </w:tr>
      <w:tr w:rsidR="009B5108" w:rsidRPr="009B5108" w14:paraId="09CA23C9" w14:textId="77777777" w:rsidTr="009B5108">
        <w:trPr>
          <w:trHeight w:val="300"/>
          <w:jc w:val="center"/>
        </w:trPr>
        <w:tc>
          <w:tcPr>
            <w:tcW w:w="2920" w:type="dxa"/>
            <w:tcBorders>
              <w:top w:val="nil"/>
              <w:left w:val="nil"/>
              <w:bottom w:val="nil"/>
              <w:right w:val="nil"/>
            </w:tcBorders>
            <w:noWrap/>
            <w:vAlign w:val="bottom"/>
            <w:hideMark/>
          </w:tcPr>
          <w:p w14:paraId="7B981F77"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Mixed race. FSM. Girl.</w:t>
            </w:r>
          </w:p>
        </w:tc>
        <w:tc>
          <w:tcPr>
            <w:tcW w:w="1220" w:type="dxa"/>
            <w:tcBorders>
              <w:top w:val="nil"/>
              <w:left w:val="nil"/>
              <w:bottom w:val="nil"/>
              <w:right w:val="nil"/>
            </w:tcBorders>
            <w:shd w:val="clear" w:color="000000" w:fill="F86C6B"/>
            <w:noWrap/>
            <w:vAlign w:val="bottom"/>
            <w:hideMark/>
          </w:tcPr>
          <w:p w14:paraId="15FC0C5F" w14:textId="249AB6B3"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5.37</w:t>
            </w:r>
            <w:r w:rsidR="00F323EE">
              <w:rPr>
                <w:rFonts w:ascii="Calibri" w:eastAsia="Times New Roman" w:hAnsi="Calibri" w:cs="Calibri"/>
                <w:kern w:val="0"/>
                <w:sz w:val="22"/>
                <w:szCs w:val="22"/>
                <w:lang w:eastAsia="en-GB"/>
                <w14:ligatures w14:val="none"/>
              </w:rPr>
              <w:t>*</w:t>
            </w:r>
          </w:p>
        </w:tc>
        <w:tc>
          <w:tcPr>
            <w:tcW w:w="1320" w:type="dxa"/>
            <w:tcBorders>
              <w:top w:val="nil"/>
              <w:left w:val="nil"/>
              <w:bottom w:val="nil"/>
              <w:right w:val="nil"/>
            </w:tcBorders>
            <w:shd w:val="clear" w:color="000000" w:fill="F8696B"/>
            <w:noWrap/>
            <w:vAlign w:val="bottom"/>
            <w:hideMark/>
          </w:tcPr>
          <w:p w14:paraId="017360F9" w14:textId="30709731"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5.36</w:t>
            </w:r>
            <w:r w:rsidR="00F323EE">
              <w:rPr>
                <w:rFonts w:ascii="Calibri" w:eastAsia="Times New Roman" w:hAnsi="Calibri" w:cs="Calibri"/>
                <w:kern w:val="0"/>
                <w:sz w:val="22"/>
                <w:szCs w:val="22"/>
                <w:lang w:eastAsia="en-GB"/>
                <w14:ligatures w14:val="none"/>
              </w:rPr>
              <w:t>*</w:t>
            </w:r>
          </w:p>
        </w:tc>
        <w:tc>
          <w:tcPr>
            <w:tcW w:w="1400" w:type="dxa"/>
            <w:tcBorders>
              <w:top w:val="nil"/>
              <w:left w:val="nil"/>
              <w:bottom w:val="nil"/>
              <w:right w:val="nil"/>
            </w:tcBorders>
            <w:shd w:val="clear" w:color="000000" w:fill="F8696B"/>
            <w:noWrap/>
            <w:vAlign w:val="bottom"/>
            <w:hideMark/>
          </w:tcPr>
          <w:p w14:paraId="425BD65F" w14:textId="22B03881"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4.39</w:t>
            </w:r>
            <w:r w:rsidR="0047361E">
              <w:rPr>
                <w:rFonts w:ascii="Calibri" w:eastAsia="Times New Roman" w:hAnsi="Calibri" w:cs="Calibri"/>
                <w:kern w:val="0"/>
                <w:sz w:val="22"/>
                <w:szCs w:val="22"/>
                <w:lang w:eastAsia="en-GB"/>
                <w14:ligatures w14:val="none"/>
              </w:rPr>
              <w:t>*</w:t>
            </w:r>
          </w:p>
        </w:tc>
        <w:tc>
          <w:tcPr>
            <w:tcW w:w="1480" w:type="dxa"/>
            <w:tcBorders>
              <w:top w:val="nil"/>
              <w:left w:val="nil"/>
              <w:bottom w:val="nil"/>
              <w:right w:val="nil"/>
            </w:tcBorders>
            <w:shd w:val="clear" w:color="000000" w:fill="FA8E72"/>
            <w:noWrap/>
            <w:vAlign w:val="bottom"/>
            <w:hideMark/>
          </w:tcPr>
          <w:p w14:paraId="583BD0E7" w14:textId="27E4A2CA"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2.69</w:t>
            </w:r>
            <w:r w:rsidR="00A86274">
              <w:rPr>
                <w:rFonts w:ascii="Calibri" w:eastAsia="Times New Roman" w:hAnsi="Calibri" w:cs="Calibri"/>
                <w:kern w:val="0"/>
                <w:sz w:val="22"/>
                <w:szCs w:val="22"/>
                <w:lang w:eastAsia="en-GB"/>
                <w14:ligatures w14:val="none"/>
              </w:rPr>
              <w:t>*</w:t>
            </w:r>
          </w:p>
        </w:tc>
      </w:tr>
      <w:tr w:rsidR="009B5108" w:rsidRPr="009B5108" w14:paraId="36F623F5" w14:textId="77777777" w:rsidTr="009B5108">
        <w:trPr>
          <w:trHeight w:val="300"/>
          <w:jc w:val="center"/>
        </w:trPr>
        <w:tc>
          <w:tcPr>
            <w:tcW w:w="2920" w:type="dxa"/>
            <w:tcBorders>
              <w:top w:val="single" w:sz="8" w:space="0" w:color="auto"/>
              <w:left w:val="single" w:sz="8" w:space="0" w:color="auto"/>
              <w:bottom w:val="single" w:sz="8" w:space="0" w:color="auto"/>
              <w:right w:val="nil"/>
            </w:tcBorders>
            <w:noWrap/>
            <w:vAlign w:val="bottom"/>
            <w:hideMark/>
          </w:tcPr>
          <w:p w14:paraId="2ACB7EC8"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White British. FSM. Boy.</w:t>
            </w:r>
          </w:p>
        </w:tc>
        <w:tc>
          <w:tcPr>
            <w:tcW w:w="1220" w:type="dxa"/>
            <w:tcBorders>
              <w:top w:val="single" w:sz="8" w:space="0" w:color="auto"/>
              <w:left w:val="nil"/>
              <w:bottom w:val="single" w:sz="8" w:space="0" w:color="auto"/>
              <w:right w:val="nil"/>
            </w:tcBorders>
            <w:shd w:val="clear" w:color="000000" w:fill="FDC87D"/>
            <w:noWrap/>
            <w:vAlign w:val="bottom"/>
            <w:hideMark/>
          </w:tcPr>
          <w:p w14:paraId="5BCB914D"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5.82</w:t>
            </w:r>
          </w:p>
        </w:tc>
        <w:tc>
          <w:tcPr>
            <w:tcW w:w="1320" w:type="dxa"/>
            <w:tcBorders>
              <w:top w:val="single" w:sz="8" w:space="0" w:color="auto"/>
              <w:left w:val="nil"/>
              <w:bottom w:val="single" w:sz="8" w:space="0" w:color="auto"/>
              <w:right w:val="nil"/>
            </w:tcBorders>
            <w:shd w:val="clear" w:color="000000" w:fill="FCC07B"/>
            <w:noWrap/>
            <w:vAlign w:val="bottom"/>
            <w:hideMark/>
          </w:tcPr>
          <w:p w14:paraId="2B921E3A"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5.88</w:t>
            </w:r>
          </w:p>
        </w:tc>
        <w:tc>
          <w:tcPr>
            <w:tcW w:w="1400" w:type="dxa"/>
            <w:tcBorders>
              <w:top w:val="single" w:sz="8" w:space="0" w:color="auto"/>
              <w:left w:val="nil"/>
              <w:bottom w:val="single" w:sz="8" w:space="0" w:color="auto"/>
              <w:right w:val="nil"/>
            </w:tcBorders>
            <w:shd w:val="clear" w:color="000000" w:fill="FCBF7B"/>
            <w:noWrap/>
            <w:vAlign w:val="bottom"/>
            <w:hideMark/>
          </w:tcPr>
          <w:p w14:paraId="1F9E5616"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4.96</w:t>
            </w:r>
          </w:p>
        </w:tc>
        <w:tc>
          <w:tcPr>
            <w:tcW w:w="1480" w:type="dxa"/>
            <w:tcBorders>
              <w:top w:val="single" w:sz="8" w:space="0" w:color="auto"/>
              <w:left w:val="nil"/>
              <w:bottom w:val="single" w:sz="8" w:space="0" w:color="auto"/>
              <w:right w:val="single" w:sz="8" w:space="0" w:color="auto"/>
            </w:tcBorders>
            <w:shd w:val="clear" w:color="000000" w:fill="FA9874"/>
            <w:noWrap/>
            <w:vAlign w:val="bottom"/>
            <w:hideMark/>
          </w:tcPr>
          <w:p w14:paraId="18595A9E" w14:textId="77777777"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2.76</w:t>
            </w:r>
          </w:p>
        </w:tc>
      </w:tr>
      <w:tr w:rsidR="009B5108" w:rsidRPr="009B5108" w14:paraId="660C0356" w14:textId="77777777" w:rsidTr="009B5108">
        <w:trPr>
          <w:trHeight w:val="300"/>
          <w:jc w:val="center"/>
        </w:trPr>
        <w:tc>
          <w:tcPr>
            <w:tcW w:w="2920" w:type="dxa"/>
            <w:tcBorders>
              <w:top w:val="nil"/>
              <w:left w:val="single" w:sz="8" w:space="0" w:color="auto"/>
              <w:bottom w:val="single" w:sz="8" w:space="0" w:color="auto"/>
              <w:right w:val="nil"/>
            </w:tcBorders>
            <w:noWrap/>
            <w:vAlign w:val="bottom"/>
            <w:hideMark/>
          </w:tcPr>
          <w:p w14:paraId="1BCE4F90" w14:textId="77777777" w:rsidR="009B5108" w:rsidRPr="009B5108" w:rsidRDefault="009B5108" w:rsidP="009B5108">
            <w:pPr>
              <w:spacing w:after="0" w:line="240" w:lineRule="auto"/>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White British. FSM. Girl.</w:t>
            </w:r>
          </w:p>
        </w:tc>
        <w:tc>
          <w:tcPr>
            <w:tcW w:w="1220" w:type="dxa"/>
            <w:tcBorders>
              <w:top w:val="single" w:sz="8" w:space="0" w:color="auto"/>
              <w:left w:val="nil"/>
              <w:bottom w:val="single" w:sz="8" w:space="0" w:color="auto"/>
              <w:right w:val="nil"/>
            </w:tcBorders>
            <w:shd w:val="clear" w:color="000000" w:fill="F8696B"/>
            <w:noWrap/>
            <w:vAlign w:val="bottom"/>
            <w:hideMark/>
          </w:tcPr>
          <w:p w14:paraId="54CF0DD2" w14:textId="5C617AC8"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5.35</w:t>
            </w:r>
            <w:r w:rsidR="0047361E">
              <w:rPr>
                <w:rFonts w:ascii="Calibri" w:eastAsia="Times New Roman" w:hAnsi="Calibri" w:cs="Calibri"/>
                <w:kern w:val="0"/>
                <w:sz w:val="22"/>
                <w:szCs w:val="22"/>
                <w:lang w:eastAsia="en-GB"/>
                <w14:ligatures w14:val="none"/>
              </w:rPr>
              <w:t>*</w:t>
            </w:r>
          </w:p>
        </w:tc>
        <w:tc>
          <w:tcPr>
            <w:tcW w:w="1320" w:type="dxa"/>
            <w:tcBorders>
              <w:top w:val="single" w:sz="8" w:space="0" w:color="auto"/>
              <w:left w:val="nil"/>
              <w:bottom w:val="single" w:sz="8" w:space="0" w:color="auto"/>
              <w:right w:val="nil"/>
            </w:tcBorders>
            <w:shd w:val="clear" w:color="000000" w:fill="FA9473"/>
            <w:noWrap/>
            <w:vAlign w:val="bottom"/>
            <w:hideMark/>
          </w:tcPr>
          <w:p w14:paraId="26520835" w14:textId="69C7B61D"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5.62</w:t>
            </w:r>
            <w:r w:rsidR="0047361E">
              <w:rPr>
                <w:rFonts w:ascii="Calibri" w:eastAsia="Times New Roman" w:hAnsi="Calibri" w:cs="Calibri"/>
                <w:kern w:val="0"/>
                <w:sz w:val="22"/>
                <w:szCs w:val="22"/>
                <w:lang w:eastAsia="en-GB"/>
                <w14:ligatures w14:val="none"/>
              </w:rPr>
              <w:t>*</w:t>
            </w:r>
          </w:p>
        </w:tc>
        <w:tc>
          <w:tcPr>
            <w:tcW w:w="1400" w:type="dxa"/>
            <w:tcBorders>
              <w:top w:val="single" w:sz="8" w:space="0" w:color="auto"/>
              <w:left w:val="nil"/>
              <w:bottom w:val="single" w:sz="8" w:space="0" w:color="auto"/>
              <w:right w:val="nil"/>
            </w:tcBorders>
            <w:shd w:val="clear" w:color="000000" w:fill="F9826F"/>
            <w:noWrap/>
            <w:vAlign w:val="bottom"/>
            <w:hideMark/>
          </w:tcPr>
          <w:p w14:paraId="3411A7B4" w14:textId="0D2F471C"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4.55</w:t>
            </w:r>
            <w:r w:rsidR="0047361E">
              <w:rPr>
                <w:rFonts w:ascii="Calibri" w:eastAsia="Times New Roman" w:hAnsi="Calibri" w:cs="Calibri"/>
                <w:kern w:val="0"/>
                <w:sz w:val="22"/>
                <w:szCs w:val="22"/>
                <w:lang w:eastAsia="en-GB"/>
                <w14:ligatures w14:val="none"/>
              </w:rPr>
              <w:t>*</w:t>
            </w:r>
          </w:p>
        </w:tc>
        <w:tc>
          <w:tcPr>
            <w:tcW w:w="1480" w:type="dxa"/>
            <w:tcBorders>
              <w:top w:val="single" w:sz="8" w:space="0" w:color="auto"/>
              <w:left w:val="nil"/>
              <w:bottom w:val="single" w:sz="8" w:space="0" w:color="auto"/>
              <w:right w:val="single" w:sz="8" w:space="0" w:color="auto"/>
            </w:tcBorders>
            <w:shd w:val="clear" w:color="000000" w:fill="F8696B"/>
            <w:noWrap/>
            <w:vAlign w:val="bottom"/>
            <w:hideMark/>
          </w:tcPr>
          <w:p w14:paraId="245B850D" w14:textId="0945FA33" w:rsidR="009B5108" w:rsidRPr="009B5108" w:rsidRDefault="009B5108" w:rsidP="009B5108">
            <w:pPr>
              <w:spacing w:after="0" w:line="240" w:lineRule="auto"/>
              <w:jc w:val="center"/>
              <w:rPr>
                <w:rFonts w:ascii="Calibri" w:eastAsia="Times New Roman" w:hAnsi="Calibri" w:cs="Calibri"/>
                <w:kern w:val="0"/>
                <w:sz w:val="22"/>
                <w:szCs w:val="22"/>
                <w:lang w:eastAsia="en-GB"/>
                <w14:ligatures w14:val="none"/>
              </w:rPr>
            </w:pPr>
            <w:r w:rsidRPr="009B5108">
              <w:rPr>
                <w:rFonts w:ascii="Calibri" w:eastAsia="Times New Roman" w:hAnsi="Calibri" w:cs="Calibri"/>
                <w:kern w:val="0"/>
                <w:sz w:val="22"/>
                <w:szCs w:val="22"/>
                <w:lang w:eastAsia="en-GB"/>
                <w14:ligatures w14:val="none"/>
              </w:rPr>
              <w:t>2.42</w:t>
            </w:r>
            <w:r w:rsidR="00A86274">
              <w:rPr>
                <w:rFonts w:ascii="Calibri" w:eastAsia="Times New Roman" w:hAnsi="Calibri" w:cs="Calibri"/>
                <w:kern w:val="0"/>
                <w:sz w:val="22"/>
                <w:szCs w:val="22"/>
                <w:lang w:eastAsia="en-GB"/>
                <w14:ligatures w14:val="none"/>
              </w:rPr>
              <w:t>*</w:t>
            </w:r>
          </w:p>
        </w:tc>
      </w:tr>
    </w:tbl>
    <w:p w14:paraId="0DE10809" w14:textId="77777777" w:rsidR="003A1990" w:rsidRPr="0097774C" w:rsidRDefault="003A1990" w:rsidP="003A1990">
      <w:pPr>
        <w:spacing w:after="0" w:line="240" w:lineRule="auto"/>
        <w:jc w:val="both"/>
        <w:rPr>
          <w:sz w:val="20"/>
          <w:szCs w:val="20"/>
        </w:rPr>
        <w:sectPr w:rsidR="003A1990" w:rsidRPr="0097774C" w:rsidSect="003A1990">
          <w:pgSz w:w="11906" w:h="16838"/>
          <w:pgMar w:top="1440" w:right="1440" w:bottom="1440" w:left="1440" w:header="708" w:footer="708" w:gutter="0"/>
          <w:cols w:space="708"/>
          <w:docGrid w:linePitch="360"/>
        </w:sectPr>
      </w:pPr>
      <w:r w:rsidRPr="0097774C">
        <w:rPr>
          <w:sz w:val="20"/>
          <w:szCs w:val="20"/>
        </w:rPr>
        <w:t>Notes:</w:t>
      </w:r>
      <w:r>
        <w:rPr>
          <w:sz w:val="20"/>
          <w:szCs w:val="20"/>
        </w:rPr>
        <w:t xml:space="preserve"> </w:t>
      </w:r>
      <w:r w:rsidRPr="00541165">
        <w:rPr>
          <w:sz w:val="20"/>
          <w:szCs w:val="20"/>
        </w:rPr>
        <w:t xml:space="preserve">Shading should be read vertically within columns, with green shading indicating higher scores and red shading lower scores. </w:t>
      </w:r>
      <w:r>
        <w:rPr>
          <w:sz w:val="20"/>
          <w:szCs w:val="20"/>
        </w:rPr>
        <w:t xml:space="preserve"> Figures refer to average scores on the 0-10 TEP scale. * indicates significant difference from White Working-Class pupils in panel (a), and White Working-Class boys in panel b.</w:t>
      </w:r>
    </w:p>
    <w:p w14:paraId="4561A8AC" w14:textId="6E3774DF" w:rsidR="00895E9C" w:rsidRDefault="00895E9C" w:rsidP="00895E9C">
      <w:pPr>
        <w:spacing w:after="0"/>
        <w:jc w:val="center"/>
        <w:rPr>
          <w:b/>
          <w:bCs/>
        </w:rPr>
      </w:pPr>
      <w:r w:rsidRPr="00541165">
        <w:rPr>
          <w:b/>
          <w:bCs/>
        </w:rPr>
        <w:lastRenderedPageBreak/>
        <w:t xml:space="preserve">Table </w:t>
      </w:r>
      <w:r w:rsidR="00A27C49">
        <w:rPr>
          <w:b/>
          <w:bCs/>
        </w:rPr>
        <w:t>4</w:t>
      </w:r>
      <w:r w:rsidRPr="00541165">
        <w:rPr>
          <w:b/>
          <w:bCs/>
        </w:rPr>
        <w:t xml:space="preserve">. </w:t>
      </w:r>
      <w:r>
        <w:rPr>
          <w:b/>
          <w:bCs/>
        </w:rPr>
        <w:t xml:space="preserve">The </w:t>
      </w:r>
      <w:r>
        <w:rPr>
          <w:b/>
          <w:bCs/>
          <w:u w:val="single"/>
        </w:rPr>
        <w:t>behavioural</w:t>
      </w:r>
      <w:r w:rsidRPr="00895E9C">
        <w:rPr>
          <w:b/>
          <w:bCs/>
          <w:u w:val="single"/>
        </w:rPr>
        <w:t xml:space="preserve"> </w:t>
      </w:r>
      <w:r>
        <w:rPr>
          <w:b/>
          <w:bCs/>
        </w:rPr>
        <w:t>engagement of</w:t>
      </w:r>
      <w:r w:rsidRPr="00541165">
        <w:rPr>
          <w:b/>
          <w:bCs/>
        </w:rPr>
        <w:t xml:space="preserve"> White</w:t>
      </w:r>
      <w:r>
        <w:rPr>
          <w:b/>
          <w:bCs/>
        </w:rPr>
        <w:t xml:space="preserve"> </w:t>
      </w:r>
      <w:r w:rsidRPr="00541165">
        <w:rPr>
          <w:b/>
          <w:bCs/>
        </w:rPr>
        <w:t xml:space="preserve">Working-Class secondary pupils in comparison to other </w:t>
      </w:r>
      <w:r>
        <w:rPr>
          <w:b/>
          <w:bCs/>
        </w:rPr>
        <w:t>ethnic and socio-economic groups</w:t>
      </w:r>
    </w:p>
    <w:p w14:paraId="4E90A57A" w14:textId="77777777" w:rsidR="00895E9C" w:rsidRDefault="00895E9C" w:rsidP="00895E9C">
      <w:pPr>
        <w:pStyle w:val="ListParagraph"/>
        <w:numPr>
          <w:ilvl w:val="0"/>
          <w:numId w:val="7"/>
        </w:numPr>
        <w:spacing w:after="0"/>
        <w:jc w:val="center"/>
      </w:pPr>
      <w:r>
        <w:t>Ethnicity-by-SES</w:t>
      </w:r>
    </w:p>
    <w:tbl>
      <w:tblPr>
        <w:tblW w:w="9660" w:type="dxa"/>
        <w:tblLook w:val="04A0" w:firstRow="1" w:lastRow="0" w:firstColumn="1" w:lastColumn="0" w:noHBand="0" w:noVBand="1"/>
      </w:tblPr>
      <w:tblGrid>
        <w:gridCol w:w="2540"/>
        <w:gridCol w:w="1160"/>
        <w:gridCol w:w="1740"/>
        <w:gridCol w:w="2060"/>
        <w:gridCol w:w="2160"/>
      </w:tblGrid>
      <w:tr w:rsidR="0038336A" w:rsidRPr="0038336A" w14:paraId="0D78AB76" w14:textId="77777777" w:rsidTr="0038336A">
        <w:trPr>
          <w:trHeight w:val="576"/>
        </w:trPr>
        <w:tc>
          <w:tcPr>
            <w:tcW w:w="2540" w:type="dxa"/>
            <w:tcBorders>
              <w:top w:val="single" w:sz="4" w:space="0" w:color="auto"/>
              <w:left w:val="nil"/>
              <w:bottom w:val="single" w:sz="4" w:space="0" w:color="auto"/>
              <w:right w:val="nil"/>
            </w:tcBorders>
            <w:shd w:val="clear" w:color="000000" w:fill="C0E6F5"/>
            <w:vAlign w:val="bottom"/>
            <w:hideMark/>
          </w:tcPr>
          <w:p w14:paraId="2E559C36" w14:textId="77777777" w:rsidR="0038336A" w:rsidRPr="0038336A" w:rsidRDefault="0038336A" w:rsidP="0038336A">
            <w:pPr>
              <w:spacing w:after="0" w:line="240" w:lineRule="auto"/>
              <w:rPr>
                <w:rFonts w:ascii="Calibri" w:eastAsia="Times New Roman" w:hAnsi="Calibri" w:cs="Calibri"/>
                <w:b/>
                <w:bCs/>
                <w:kern w:val="0"/>
                <w:sz w:val="22"/>
                <w:szCs w:val="22"/>
                <w:lang w:eastAsia="en-GB"/>
                <w14:ligatures w14:val="none"/>
              </w:rPr>
            </w:pPr>
            <w:r w:rsidRPr="0038336A">
              <w:rPr>
                <w:rFonts w:ascii="Calibri" w:eastAsia="Times New Roman" w:hAnsi="Calibri" w:cs="Calibri"/>
                <w:b/>
                <w:bCs/>
                <w:kern w:val="0"/>
                <w:sz w:val="22"/>
                <w:szCs w:val="22"/>
                <w:lang w:eastAsia="en-GB"/>
                <w14:ligatures w14:val="none"/>
              </w:rPr>
              <w:t>Group</w:t>
            </w:r>
          </w:p>
        </w:tc>
        <w:tc>
          <w:tcPr>
            <w:tcW w:w="1160" w:type="dxa"/>
            <w:tcBorders>
              <w:top w:val="single" w:sz="4" w:space="0" w:color="auto"/>
              <w:left w:val="nil"/>
              <w:bottom w:val="single" w:sz="4" w:space="0" w:color="auto"/>
              <w:right w:val="nil"/>
            </w:tcBorders>
            <w:shd w:val="clear" w:color="000000" w:fill="C0E6F5"/>
            <w:vAlign w:val="bottom"/>
            <w:hideMark/>
          </w:tcPr>
          <w:p w14:paraId="25569CB6" w14:textId="77777777" w:rsidR="0038336A" w:rsidRPr="0038336A" w:rsidRDefault="0038336A" w:rsidP="0038336A">
            <w:pPr>
              <w:spacing w:after="0" w:line="240" w:lineRule="auto"/>
              <w:jc w:val="center"/>
              <w:rPr>
                <w:rFonts w:ascii="Calibri" w:eastAsia="Times New Roman" w:hAnsi="Calibri" w:cs="Calibri"/>
                <w:b/>
                <w:bCs/>
                <w:kern w:val="0"/>
                <w:sz w:val="22"/>
                <w:szCs w:val="22"/>
                <w:lang w:eastAsia="en-GB"/>
                <w14:ligatures w14:val="none"/>
              </w:rPr>
            </w:pPr>
            <w:r w:rsidRPr="0038336A">
              <w:rPr>
                <w:rFonts w:ascii="Calibri" w:eastAsia="Times New Roman" w:hAnsi="Calibri" w:cs="Calibri"/>
                <w:b/>
                <w:bCs/>
                <w:kern w:val="0"/>
                <w:sz w:val="22"/>
                <w:szCs w:val="22"/>
                <w:lang w:eastAsia="en-GB"/>
                <w14:ligatures w14:val="none"/>
              </w:rPr>
              <w:t>Effort</w:t>
            </w:r>
          </w:p>
        </w:tc>
        <w:tc>
          <w:tcPr>
            <w:tcW w:w="1740" w:type="dxa"/>
            <w:tcBorders>
              <w:top w:val="single" w:sz="4" w:space="0" w:color="auto"/>
              <w:left w:val="nil"/>
              <w:bottom w:val="single" w:sz="4" w:space="0" w:color="auto"/>
              <w:right w:val="nil"/>
            </w:tcBorders>
            <w:shd w:val="clear" w:color="000000" w:fill="C0E6F5"/>
            <w:vAlign w:val="bottom"/>
            <w:hideMark/>
          </w:tcPr>
          <w:p w14:paraId="06C6B2DC" w14:textId="77777777" w:rsidR="0038336A" w:rsidRPr="0038336A" w:rsidRDefault="0038336A" w:rsidP="0038336A">
            <w:pPr>
              <w:spacing w:after="0" w:line="240" w:lineRule="auto"/>
              <w:jc w:val="center"/>
              <w:rPr>
                <w:rFonts w:ascii="Calibri" w:eastAsia="Times New Roman" w:hAnsi="Calibri" w:cs="Calibri"/>
                <w:b/>
                <w:bCs/>
                <w:kern w:val="0"/>
                <w:sz w:val="22"/>
                <w:szCs w:val="22"/>
                <w:lang w:eastAsia="en-GB"/>
                <w14:ligatures w14:val="none"/>
              </w:rPr>
            </w:pPr>
            <w:r w:rsidRPr="0038336A">
              <w:rPr>
                <w:rFonts w:ascii="Calibri" w:eastAsia="Times New Roman" w:hAnsi="Calibri" w:cs="Calibri"/>
                <w:b/>
                <w:bCs/>
                <w:kern w:val="0"/>
                <w:sz w:val="22"/>
                <w:szCs w:val="22"/>
                <w:lang w:eastAsia="en-GB"/>
                <w14:ligatures w14:val="none"/>
              </w:rPr>
              <w:t>I did my best with my schoolwork.</w:t>
            </w:r>
          </w:p>
        </w:tc>
        <w:tc>
          <w:tcPr>
            <w:tcW w:w="2060" w:type="dxa"/>
            <w:tcBorders>
              <w:top w:val="single" w:sz="4" w:space="0" w:color="auto"/>
              <w:left w:val="nil"/>
              <w:bottom w:val="single" w:sz="4" w:space="0" w:color="auto"/>
              <w:right w:val="nil"/>
            </w:tcBorders>
            <w:shd w:val="clear" w:color="000000" w:fill="C0E6F5"/>
            <w:vAlign w:val="bottom"/>
            <w:hideMark/>
          </w:tcPr>
          <w:p w14:paraId="0FC85301" w14:textId="77777777" w:rsidR="0038336A" w:rsidRPr="0038336A" w:rsidRDefault="0038336A" w:rsidP="0038336A">
            <w:pPr>
              <w:spacing w:after="0" w:line="240" w:lineRule="auto"/>
              <w:jc w:val="center"/>
              <w:rPr>
                <w:rFonts w:ascii="Calibri" w:eastAsia="Times New Roman" w:hAnsi="Calibri" w:cs="Calibri"/>
                <w:b/>
                <w:bCs/>
                <w:kern w:val="0"/>
                <w:sz w:val="22"/>
                <w:szCs w:val="22"/>
                <w:lang w:eastAsia="en-GB"/>
                <w14:ligatures w14:val="none"/>
              </w:rPr>
            </w:pPr>
            <w:r w:rsidRPr="0038336A">
              <w:rPr>
                <w:rFonts w:ascii="Calibri" w:eastAsia="Times New Roman" w:hAnsi="Calibri" w:cs="Calibri"/>
                <w:b/>
                <w:bCs/>
                <w:kern w:val="0"/>
                <w:sz w:val="22"/>
                <w:szCs w:val="22"/>
                <w:lang w:eastAsia="en-GB"/>
                <w14:ligatures w14:val="none"/>
              </w:rPr>
              <w:t>I have paid full attention in lessons.</w:t>
            </w:r>
          </w:p>
        </w:tc>
        <w:tc>
          <w:tcPr>
            <w:tcW w:w="2160" w:type="dxa"/>
            <w:tcBorders>
              <w:top w:val="single" w:sz="4" w:space="0" w:color="auto"/>
              <w:left w:val="nil"/>
              <w:bottom w:val="single" w:sz="4" w:space="0" w:color="auto"/>
              <w:right w:val="nil"/>
            </w:tcBorders>
            <w:shd w:val="clear" w:color="000000" w:fill="C0E6F5"/>
            <w:vAlign w:val="bottom"/>
            <w:hideMark/>
          </w:tcPr>
          <w:p w14:paraId="1324FFDE" w14:textId="77777777" w:rsidR="0038336A" w:rsidRPr="0038336A" w:rsidRDefault="0038336A" w:rsidP="0038336A">
            <w:pPr>
              <w:spacing w:after="0" w:line="240" w:lineRule="auto"/>
              <w:jc w:val="center"/>
              <w:rPr>
                <w:rFonts w:ascii="Calibri" w:eastAsia="Times New Roman" w:hAnsi="Calibri" w:cs="Calibri"/>
                <w:b/>
                <w:bCs/>
                <w:kern w:val="0"/>
                <w:sz w:val="22"/>
                <w:szCs w:val="22"/>
                <w:lang w:eastAsia="en-GB"/>
                <w14:ligatures w14:val="none"/>
              </w:rPr>
            </w:pPr>
            <w:r w:rsidRPr="0038336A">
              <w:rPr>
                <w:rFonts w:ascii="Calibri" w:eastAsia="Times New Roman" w:hAnsi="Calibri" w:cs="Calibri"/>
                <w:b/>
                <w:bCs/>
                <w:kern w:val="0"/>
                <w:sz w:val="22"/>
                <w:szCs w:val="22"/>
                <w:lang w:eastAsia="en-GB"/>
                <w14:ligatures w14:val="none"/>
              </w:rPr>
              <w:t>I handed in all my homework on time.</w:t>
            </w:r>
          </w:p>
        </w:tc>
      </w:tr>
      <w:tr w:rsidR="0038336A" w:rsidRPr="0038336A" w14:paraId="61F2AFE9" w14:textId="77777777" w:rsidTr="0038336A">
        <w:trPr>
          <w:trHeight w:val="288"/>
        </w:trPr>
        <w:tc>
          <w:tcPr>
            <w:tcW w:w="2540" w:type="dxa"/>
            <w:tcBorders>
              <w:top w:val="nil"/>
              <w:left w:val="nil"/>
              <w:bottom w:val="nil"/>
              <w:right w:val="nil"/>
            </w:tcBorders>
            <w:noWrap/>
            <w:vAlign w:val="bottom"/>
            <w:hideMark/>
          </w:tcPr>
          <w:p w14:paraId="6956901A"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Black. Not FSM.</w:t>
            </w:r>
          </w:p>
        </w:tc>
        <w:tc>
          <w:tcPr>
            <w:tcW w:w="1160" w:type="dxa"/>
            <w:tcBorders>
              <w:top w:val="nil"/>
              <w:left w:val="nil"/>
              <w:bottom w:val="nil"/>
              <w:right w:val="nil"/>
            </w:tcBorders>
            <w:shd w:val="clear" w:color="000000" w:fill="CCDD82"/>
            <w:noWrap/>
            <w:vAlign w:val="bottom"/>
            <w:hideMark/>
          </w:tcPr>
          <w:p w14:paraId="38E3252A" w14:textId="28715BB9"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7.07</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BAD881"/>
            <w:noWrap/>
            <w:vAlign w:val="bottom"/>
            <w:hideMark/>
          </w:tcPr>
          <w:p w14:paraId="7D158F6D" w14:textId="1FD89F4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7.27</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BED981"/>
            <w:noWrap/>
            <w:vAlign w:val="bottom"/>
            <w:hideMark/>
          </w:tcPr>
          <w:p w14:paraId="3F2C3A44" w14:textId="093B31E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6.96</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DFE283"/>
            <w:noWrap/>
            <w:vAlign w:val="bottom"/>
            <w:hideMark/>
          </w:tcPr>
          <w:p w14:paraId="1EC40B50" w14:textId="3EF56B64"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6.99</w:t>
            </w:r>
            <w:r w:rsidR="0038793A">
              <w:rPr>
                <w:rFonts w:ascii="Calibri" w:eastAsia="Times New Roman" w:hAnsi="Calibri" w:cs="Calibri"/>
                <w:kern w:val="0"/>
                <w:sz w:val="22"/>
                <w:szCs w:val="22"/>
                <w:lang w:eastAsia="en-GB"/>
                <w14:ligatures w14:val="none"/>
              </w:rPr>
              <w:t>*</w:t>
            </w:r>
          </w:p>
        </w:tc>
      </w:tr>
      <w:tr w:rsidR="0038336A" w:rsidRPr="0038336A" w14:paraId="7D400D7E" w14:textId="77777777" w:rsidTr="0038336A">
        <w:trPr>
          <w:trHeight w:val="288"/>
        </w:trPr>
        <w:tc>
          <w:tcPr>
            <w:tcW w:w="2540" w:type="dxa"/>
            <w:tcBorders>
              <w:top w:val="nil"/>
              <w:left w:val="nil"/>
              <w:bottom w:val="nil"/>
              <w:right w:val="nil"/>
            </w:tcBorders>
            <w:noWrap/>
            <w:vAlign w:val="bottom"/>
            <w:hideMark/>
          </w:tcPr>
          <w:p w14:paraId="36537229"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Asian. Not FSM.</w:t>
            </w:r>
          </w:p>
        </w:tc>
        <w:tc>
          <w:tcPr>
            <w:tcW w:w="1160" w:type="dxa"/>
            <w:tcBorders>
              <w:top w:val="nil"/>
              <w:left w:val="nil"/>
              <w:bottom w:val="nil"/>
              <w:right w:val="nil"/>
            </w:tcBorders>
            <w:shd w:val="clear" w:color="000000" w:fill="63BE7B"/>
            <w:noWrap/>
            <w:vAlign w:val="bottom"/>
            <w:hideMark/>
          </w:tcPr>
          <w:p w14:paraId="3A4F53AE" w14:textId="66BE2A80"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7.66</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63BE7B"/>
            <w:noWrap/>
            <w:vAlign w:val="bottom"/>
            <w:hideMark/>
          </w:tcPr>
          <w:p w14:paraId="104A0A50" w14:textId="54631CD1"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7.63</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63BE7B"/>
            <w:noWrap/>
            <w:vAlign w:val="bottom"/>
            <w:hideMark/>
          </w:tcPr>
          <w:p w14:paraId="037A5936" w14:textId="090468F5"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7.35</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63BE7B"/>
            <w:noWrap/>
            <w:vAlign w:val="bottom"/>
            <w:hideMark/>
          </w:tcPr>
          <w:p w14:paraId="07BD1E4C" w14:textId="6825AF5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8.00</w:t>
            </w:r>
            <w:r w:rsidR="0038793A">
              <w:rPr>
                <w:rFonts w:ascii="Calibri" w:eastAsia="Times New Roman" w:hAnsi="Calibri" w:cs="Calibri"/>
                <w:kern w:val="0"/>
                <w:sz w:val="22"/>
                <w:szCs w:val="22"/>
                <w:lang w:eastAsia="en-GB"/>
                <w14:ligatures w14:val="none"/>
              </w:rPr>
              <w:t>*</w:t>
            </w:r>
          </w:p>
        </w:tc>
      </w:tr>
      <w:tr w:rsidR="0038336A" w:rsidRPr="0038336A" w14:paraId="3DF650F6" w14:textId="77777777" w:rsidTr="0038336A">
        <w:trPr>
          <w:trHeight w:val="288"/>
        </w:trPr>
        <w:tc>
          <w:tcPr>
            <w:tcW w:w="2540" w:type="dxa"/>
            <w:tcBorders>
              <w:top w:val="nil"/>
              <w:left w:val="nil"/>
              <w:bottom w:val="nil"/>
              <w:right w:val="nil"/>
            </w:tcBorders>
            <w:noWrap/>
            <w:vAlign w:val="bottom"/>
            <w:hideMark/>
          </w:tcPr>
          <w:p w14:paraId="1D528A58"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South Asian. Not FSM.</w:t>
            </w:r>
          </w:p>
        </w:tc>
        <w:tc>
          <w:tcPr>
            <w:tcW w:w="1160" w:type="dxa"/>
            <w:tcBorders>
              <w:top w:val="nil"/>
              <w:left w:val="nil"/>
              <w:bottom w:val="nil"/>
              <w:right w:val="nil"/>
            </w:tcBorders>
            <w:shd w:val="clear" w:color="000000" w:fill="A9D380"/>
            <w:noWrap/>
            <w:vAlign w:val="bottom"/>
            <w:hideMark/>
          </w:tcPr>
          <w:p w14:paraId="02921748" w14:textId="09BB051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7.27</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A2D17F"/>
            <w:noWrap/>
            <w:vAlign w:val="bottom"/>
            <w:hideMark/>
          </w:tcPr>
          <w:p w14:paraId="3993D94F" w14:textId="7955565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7.37</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99CE7F"/>
            <w:noWrap/>
            <w:vAlign w:val="bottom"/>
            <w:hideMark/>
          </w:tcPr>
          <w:p w14:paraId="78046F5C" w14:textId="03810E0B"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7.12</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B8D780"/>
            <w:noWrap/>
            <w:vAlign w:val="bottom"/>
            <w:hideMark/>
          </w:tcPr>
          <w:p w14:paraId="5D310E16" w14:textId="08C3CE6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7.31</w:t>
            </w:r>
            <w:r w:rsidR="0038793A">
              <w:rPr>
                <w:rFonts w:ascii="Calibri" w:eastAsia="Times New Roman" w:hAnsi="Calibri" w:cs="Calibri"/>
                <w:kern w:val="0"/>
                <w:sz w:val="22"/>
                <w:szCs w:val="22"/>
                <w:lang w:eastAsia="en-GB"/>
                <w14:ligatures w14:val="none"/>
              </w:rPr>
              <w:t>*</w:t>
            </w:r>
          </w:p>
        </w:tc>
      </w:tr>
      <w:tr w:rsidR="0038336A" w:rsidRPr="0038336A" w14:paraId="30009B9B" w14:textId="77777777" w:rsidTr="0038336A">
        <w:trPr>
          <w:trHeight w:val="288"/>
        </w:trPr>
        <w:tc>
          <w:tcPr>
            <w:tcW w:w="2540" w:type="dxa"/>
            <w:tcBorders>
              <w:top w:val="nil"/>
              <w:left w:val="nil"/>
              <w:bottom w:val="nil"/>
              <w:right w:val="nil"/>
            </w:tcBorders>
            <w:noWrap/>
            <w:vAlign w:val="bottom"/>
            <w:hideMark/>
          </w:tcPr>
          <w:p w14:paraId="2D8CC795"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Black. FSM.</w:t>
            </w:r>
          </w:p>
        </w:tc>
        <w:tc>
          <w:tcPr>
            <w:tcW w:w="1160" w:type="dxa"/>
            <w:tcBorders>
              <w:top w:val="nil"/>
              <w:left w:val="nil"/>
              <w:bottom w:val="nil"/>
              <w:right w:val="nil"/>
            </w:tcBorders>
            <w:shd w:val="clear" w:color="000000" w:fill="FDCC7E"/>
            <w:noWrap/>
            <w:vAlign w:val="bottom"/>
            <w:hideMark/>
          </w:tcPr>
          <w:p w14:paraId="0CD16D48" w14:textId="1C79DA5E"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6.47</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FDD37F"/>
            <w:noWrap/>
            <w:vAlign w:val="bottom"/>
            <w:hideMark/>
          </w:tcPr>
          <w:p w14:paraId="595A27F0" w14:textId="59DE2E55"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6.83</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FDC57C"/>
            <w:noWrap/>
            <w:vAlign w:val="bottom"/>
            <w:hideMark/>
          </w:tcPr>
          <w:p w14:paraId="72BB18A5" w14:textId="37B3B059"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6.42</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FDCA7D"/>
            <w:noWrap/>
            <w:vAlign w:val="bottom"/>
            <w:hideMark/>
          </w:tcPr>
          <w:p w14:paraId="0EAD78D1" w14:textId="5AD1472A"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6.16</w:t>
            </w:r>
            <w:r w:rsidR="0038793A">
              <w:rPr>
                <w:rFonts w:ascii="Calibri" w:eastAsia="Times New Roman" w:hAnsi="Calibri" w:cs="Calibri"/>
                <w:kern w:val="0"/>
                <w:sz w:val="22"/>
                <w:szCs w:val="22"/>
                <w:lang w:eastAsia="en-GB"/>
                <w14:ligatures w14:val="none"/>
              </w:rPr>
              <w:t>*</w:t>
            </w:r>
          </w:p>
        </w:tc>
      </w:tr>
      <w:tr w:rsidR="0038336A" w:rsidRPr="0038336A" w14:paraId="2C572AAD" w14:textId="77777777" w:rsidTr="0038336A">
        <w:trPr>
          <w:trHeight w:val="288"/>
        </w:trPr>
        <w:tc>
          <w:tcPr>
            <w:tcW w:w="2540" w:type="dxa"/>
            <w:tcBorders>
              <w:top w:val="nil"/>
              <w:left w:val="nil"/>
              <w:bottom w:val="nil"/>
              <w:right w:val="nil"/>
            </w:tcBorders>
            <w:noWrap/>
            <w:vAlign w:val="bottom"/>
            <w:hideMark/>
          </w:tcPr>
          <w:p w14:paraId="225E4D32"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Asian. FSM.</w:t>
            </w:r>
          </w:p>
        </w:tc>
        <w:tc>
          <w:tcPr>
            <w:tcW w:w="1160" w:type="dxa"/>
            <w:tcBorders>
              <w:top w:val="nil"/>
              <w:left w:val="nil"/>
              <w:bottom w:val="nil"/>
              <w:right w:val="nil"/>
            </w:tcBorders>
            <w:shd w:val="clear" w:color="000000" w:fill="FEE382"/>
            <w:noWrap/>
            <w:vAlign w:val="bottom"/>
            <w:hideMark/>
          </w:tcPr>
          <w:p w14:paraId="16C4405F" w14:textId="260B599E"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6.71</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FDD37F"/>
            <w:noWrap/>
            <w:vAlign w:val="bottom"/>
            <w:hideMark/>
          </w:tcPr>
          <w:p w14:paraId="01E641C0" w14:textId="3BA44DEB"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6.83</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FEE482"/>
            <w:noWrap/>
            <w:vAlign w:val="bottom"/>
            <w:hideMark/>
          </w:tcPr>
          <w:p w14:paraId="79750FEE" w14:textId="5C51584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6.63</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FEE683"/>
            <w:noWrap/>
            <w:vAlign w:val="bottom"/>
            <w:hideMark/>
          </w:tcPr>
          <w:p w14:paraId="1AF10B9C" w14:textId="29A3EDA0"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6.66</w:t>
            </w:r>
            <w:r w:rsidR="0038793A">
              <w:rPr>
                <w:rFonts w:ascii="Calibri" w:eastAsia="Times New Roman" w:hAnsi="Calibri" w:cs="Calibri"/>
                <w:kern w:val="0"/>
                <w:sz w:val="22"/>
                <w:szCs w:val="22"/>
                <w:lang w:eastAsia="en-GB"/>
                <w14:ligatures w14:val="none"/>
              </w:rPr>
              <w:t>*</w:t>
            </w:r>
          </w:p>
        </w:tc>
      </w:tr>
      <w:tr w:rsidR="0038336A" w:rsidRPr="0038336A" w14:paraId="72147774" w14:textId="77777777" w:rsidTr="0038336A">
        <w:trPr>
          <w:trHeight w:val="288"/>
        </w:trPr>
        <w:tc>
          <w:tcPr>
            <w:tcW w:w="2540" w:type="dxa"/>
            <w:tcBorders>
              <w:top w:val="nil"/>
              <w:left w:val="nil"/>
              <w:bottom w:val="nil"/>
              <w:right w:val="nil"/>
            </w:tcBorders>
            <w:noWrap/>
            <w:vAlign w:val="bottom"/>
            <w:hideMark/>
          </w:tcPr>
          <w:p w14:paraId="270D01DF"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Mixed race. Not FSM.</w:t>
            </w:r>
          </w:p>
        </w:tc>
        <w:tc>
          <w:tcPr>
            <w:tcW w:w="1160" w:type="dxa"/>
            <w:tcBorders>
              <w:top w:val="nil"/>
              <w:left w:val="nil"/>
              <w:bottom w:val="nil"/>
              <w:right w:val="nil"/>
            </w:tcBorders>
            <w:shd w:val="clear" w:color="000000" w:fill="EEE683"/>
            <w:noWrap/>
            <w:vAlign w:val="bottom"/>
            <w:hideMark/>
          </w:tcPr>
          <w:p w14:paraId="390D8561" w14:textId="168922DE"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6.88</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EDE683"/>
            <w:noWrap/>
            <w:vAlign w:val="bottom"/>
            <w:hideMark/>
          </w:tcPr>
          <w:p w14:paraId="56C2AB03" w14:textId="294DFE73"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7.06</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F6E984"/>
            <w:noWrap/>
            <w:vAlign w:val="bottom"/>
            <w:hideMark/>
          </w:tcPr>
          <w:p w14:paraId="05276497" w14:textId="56A03D0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6.72</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EEE683"/>
            <w:noWrap/>
            <w:vAlign w:val="bottom"/>
            <w:hideMark/>
          </w:tcPr>
          <w:p w14:paraId="534AA7CE" w14:textId="10DFE506"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6.87</w:t>
            </w:r>
            <w:r w:rsidR="0038793A">
              <w:rPr>
                <w:rFonts w:ascii="Calibri" w:eastAsia="Times New Roman" w:hAnsi="Calibri" w:cs="Calibri"/>
                <w:kern w:val="0"/>
                <w:sz w:val="22"/>
                <w:szCs w:val="22"/>
                <w:lang w:eastAsia="en-GB"/>
                <w14:ligatures w14:val="none"/>
              </w:rPr>
              <w:t>*</w:t>
            </w:r>
          </w:p>
        </w:tc>
      </w:tr>
      <w:tr w:rsidR="0038336A" w:rsidRPr="0038336A" w14:paraId="5CE2FF6F" w14:textId="77777777" w:rsidTr="0038336A">
        <w:trPr>
          <w:trHeight w:val="288"/>
        </w:trPr>
        <w:tc>
          <w:tcPr>
            <w:tcW w:w="2540" w:type="dxa"/>
            <w:tcBorders>
              <w:top w:val="nil"/>
              <w:left w:val="nil"/>
              <w:bottom w:val="nil"/>
              <w:right w:val="nil"/>
            </w:tcBorders>
            <w:noWrap/>
            <w:vAlign w:val="bottom"/>
            <w:hideMark/>
          </w:tcPr>
          <w:p w14:paraId="16379361"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South Asian. FSM.</w:t>
            </w:r>
          </w:p>
        </w:tc>
        <w:tc>
          <w:tcPr>
            <w:tcW w:w="1160" w:type="dxa"/>
            <w:tcBorders>
              <w:top w:val="nil"/>
              <w:left w:val="nil"/>
              <w:bottom w:val="nil"/>
              <w:right w:val="nil"/>
            </w:tcBorders>
            <w:shd w:val="clear" w:color="000000" w:fill="F2E884"/>
            <w:noWrap/>
            <w:vAlign w:val="bottom"/>
            <w:hideMark/>
          </w:tcPr>
          <w:p w14:paraId="6D1DBBFD" w14:textId="4E7FC3D8"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6.86</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FCEA84"/>
            <w:noWrap/>
            <w:vAlign w:val="bottom"/>
            <w:hideMark/>
          </w:tcPr>
          <w:p w14:paraId="28C1CB41" w14:textId="30273F98"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7.00</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E7E583"/>
            <w:noWrap/>
            <w:vAlign w:val="bottom"/>
            <w:hideMark/>
          </w:tcPr>
          <w:p w14:paraId="2D9F3749" w14:textId="7BFDE75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6.78</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F7E984"/>
            <w:noWrap/>
            <w:vAlign w:val="bottom"/>
            <w:hideMark/>
          </w:tcPr>
          <w:p w14:paraId="5018A79D" w14:textId="7861DF1C"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6.80</w:t>
            </w:r>
            <w:r w:rsidR="0038793A">
              <w:rPr>
                <w:rFonts w:ascii="Calibri" w:eastAsia="Times New Roman" w:hAnsi="Calibri" w:cs="Calibri"/>
                <w:kern w:val="0"/>
                <w:sz w:val="22"/>
                <w:szCs w:val="22"/>
                <w:lang w:eastAsia="en-GB"/>
                <w14:ligatures w14:val="none"/>
              </w:rPr>
              <w:t>*</w:t>
            </w:r>
          </w:p>
        </w:tc>
      </w:tr>
      <w:tr w:rsidR="0038336A" w:rsidRPr="0038336A" w14:paraId="1390977C" w14:textId="77777777" w:rsidTr="0038336A">
        <w:trPr>
          <w:trHeight w:val="288"/>
        </w:trPr>
        <w:tc>
          <w:tcPr>
            <w:tcW w:w="2540" w:type="dxa"/>
            <w:tcBorders>
              <w:top w:val="nil"/>
              <w:left w:val="nil"/>
              <w:bottom w:val="nil"/>
              <w:right w:val="nil"/>
            </w:tcBorders>
            <w:noWrap/>
            <w:vAlign w:val="bottom"/>
            <w:hideMark/>
          </w:tcPr>
          <w:p w14:paraId="0B6E3785"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(Other). Not FSM.</w:t>
            </w:r>
          </w:p>
        </w:tc>
        <w:tc>
          <w:tcPr>
            <w:tcW w:w="1160" w:type="dxa"/>
            <w:tcBorders>
              <w:top w:val="nil"/>
              <w:left w:val="nil"/>
              <w:bottom w:val="nil"/>
              <w:right w:val="nil"/>
            </w:tcBorders>
            <w:shd w:val="clear" w:color="000000" w:fill="DEE283"/>
            <w:noWrap/>
            <w:vAlign w:val="bottom"/>
            <w:hideMark/>
          </w:tcPr>
          <w:p w14:paraId="1E5495E7" w14:textId="417C095B"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6.97</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DFE283"/>
            <w:noWrap/>
            <w:vAlign w:val="bottom"/>
            <w:hideMark/>
          </w:tcPr>
          <w:p w14:paraId="2E077551" w14:textId="6CBF7E70"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7.12</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E7E483"/>
            <w:noWrap/>
            <w:vAlign w:val="bottom"/>
            <w:hideMark/>
          </w:tcPr>
          <w:p w14:paraId="6F2C7951" w14:textId="18B53D50"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6.78</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DDE283"/>
            <w:noWrap/>
            <w:vAlign w:val="bottom"/>
            <w:hideMark/>
          </w:tcPr>
          <w:p w14:paraId="183710EA" w14:textId="5DB91D65"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7.00</w:t>
            </w:r>
            <w:r w:rsidR="0038793A">
              <w:rPr>
                <w:rFonts w:ascii="Calibri" w:eastAsia="Times New Roman" w:hAnsi="Calibri" w:cs="Calibri"/>
                <w:kern w:val="0"/>
                <w:sz w:val="22"/>
                <w:szCs w:val="22"/>
                <w:lang w:eastAsia="en-GB"/>
                <w14:ligatures w14:val="none"/>
              </w:rPr>
              <w:t>*</w:t>
            </w:r>
          </w:p>
        </w:tc>
      </w:tr>
      <w:tr w:rsidR="0038336A" w:rsidRPr="0038336A" w14:paraId="3D404E89" w14:textId="77777777" w:rsidTr="0038336A">
        <w:trPr>
          <w:trHeight w:val="288"/>
        </w:trPr>
        <w:tc>
          <w:tcPr>
            <w:tcW w:w="2540" w:type="dxa"/>
            <w:tcBorders>
              <w:top w:val="nil"/>
              <w:left w:val="nil"/>
              <w:bottom w:val="nil"/>
              <w:right w:val="nil"/>
            </w:tcBorders>
            <w:noWrap/>
            <w:vAlign w:val="bottom"/>
            <w:hideMark/>
          </w:tcPr>
          <w:p w14:paraId="2D10258C"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(British). Not FSM.</w:t>
            </w:r>
          </w:p>
        </w:tc>
        <w:tc>
          <w:tcPr>
            <w:tcW w:w="1160" w:type="dxa"/>
            <w:tcBorders>
              <w:top w:val="nil"/>
              <w:left w:val="nil"/>
              <w:bottom w:val="nil"/>
              <w:right w:val="nil"/>
            </w:tcBorders>
            <w:shd w:val="clear" w:color="000000" w:fill="FEDE81"/>
            <w:noWrap/>
            <w:vAlign w:val="bottom"/>
            <w:hideMark/>
          </w:tcPr>
          <w:p w14:paraId="5F7D39DC" w14:textId="5E8F7B5A"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6.65</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FEE883"/>
            <w:noWrap/>
            <w:vAlign w:val="bottom"/>
            <w:hideMark/>
          </w:tcPr>
          <w:p w14:paraId="62218A22" w14:textId="09626ED3"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6.97</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FEDB81"/>
            <w:noWrap/>
            <w:vAlign w:val="bottom"/>
            <w:hideMark/>
          </w:tcPr>
          <w:p w14:paraId="3BBD12B1" w14:textId="6D2AA97E"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6.57</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FED980"/>
            <w:noWrap/>
            <w:vAlign w:val="bottom"/>
            <w:hideMark/>
          </w:tcPr>
          <w:p w14:paraId="5F82F00F" w14:textId="21A99F0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6.42</w:t>
            </w:r>
            <w:r w:rsidR="0038793A">
              <w:rPr>
                <w:rFonts w:ascii="Calibri" w:eastAsia="Times New Roman" w:hAnsi="Calibri" w:cs="Calibri"/>
                <w:kern w:val="0"/>
                <w:sz w:val="22"/>
                <w:szCs w:val="22"/>
                <w:lang w:eastAsia="en-GB"/>
                <w14:ligatures w14:val="none"/>
              </w:rPr>
              <w:t>*</w:t>
            </w:r>
          </w:p>
        </w:tc>
      </w:tr>
      <w:tr w:rsidR="0038336A" w:rsidRPr="0038336A" w14:paraId="15C4DB49" w14:textId="77777777" w:rsidTr="0038336A">
        <w:trPr>
          <w:trHeight w:val="288"/>
        </w:trPr>
        <w:tc>
          <w:tcPr>
            <w:tcW w:w="2540" w:type="dxa"/>
            <w:tcBorders>
              <w:top w:val="nil"/>
              <w:left w:val="nil"/>
              <w:bottom w:val="nil"/>
              <w:right w:val="nil"/>
            </w:tcBorders>
            <w:noWrap/>
            <w:vAlign w:val="bottom"/>
            <w:hideMark/>
          </w:tcPr>
          <w:p w14:paraId="6711A480"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(Other). FSM.</w:t>
            </w:r>
          </w:p>
        </w:tc>
        <w:tc>
          <w:tcPr>
            <w:tcW w:w="1160" w:type="dxa"/>
            <w:tcBorders>
              <w:top w:val="nil"/>
              <w:left w:val="nil"/>
              <w:bottom w:val="nil"/>
              <w:right w:val="nil"/>
            </w:tcBorders>
            <w:shd w:val="clear" w:color="000000" w:fill="FCBC7B"/>
            <w:noWrap/>
            <w:vAlign w:val="bottom"/>
            <w:hideMark/>
          </w:tcPr>
          <w:p w14:paraId="2AE0AE53" w14:textId="48CC3EBC"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6.31</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FCB97A"/>
            <w:noWrap/>
            <w:vAlign w:val="bottom"/>
            <w:hideMark/>
          </w:tcPr>
          <w:p w14:paraId="088C683E" w14:textId="204249EE"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6.66</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FCC37C"/>
            <w:noWrap/>
            <w:vAlign w:val="bottom"/>
            <w:hideMark/>
          </w:tcPr>
          <w:p w14:paraId="0D87CDF2" w14:textId="0E2CF11D"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6.41</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FCB97A"/>
            <w:noWrap/>
            <w:vAlign w:val="bottom"/>
            <w:hideMark/>
          </w:tcPr>
          <w:p w14:paraId="2DF471F7" w14:textId="0345D81C"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5.87</w:t>
            </w:r>
            <w:r w:rsidR="0038793A">
              <w:rPr>
                <w:rFonts w:ascii="Calibri" w:eastAsia="Times New Roman" w:hAnsi="Calibri" w:cs="Calibri"/>
                <w:kern w:val="0"/>
                <w:sz w:val="22"/>
                <w:szCs w:val="22"/>
                <w:lang w:eastAsia="en-GB"/>
                <w14:ligatures w14:val="none"/>
              </w:rPr>
              <w:t>*</w:t>
            </w:r>
          </w:p>
        </w:tc>
      </w:tr>
      <w:tr w:rsidR="0038336A" w:rsidRPr="0038336A" w14:paraId="6BF570FE" w14:textId="77777777" w:rsidTr="0038336A">
        <w:trPr>
          <w:trHeight w:val="300"/>
        </w:trPr>
        <w:tc>
          <w:tcPr>
            <w:tcW w:w="2540" w:type="dxa"/>
            <w:tcBorders>
              <w:top w:val="nil"/>
              <w:left w:val="nil"/>
              <w:bottom w:val="nil"/>
              <w:right w:val="nil"/>
            </w:tcBorders>
            <w:noWrap/>
            <w:vAlign w:val="bottom"/>
            <w:hideMark/>
          </w:tcPr>
          <w:p w14:paraId="3C1D4F18" w14:textId="11B49FFB"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Mixed race. FSM.</w:t>
            </w:r>
          </w:p>
        </w:tc>
        <w:tc>
          <w:tcPr>
            <w:tcW w:w="1160" w:type="dxa"/>
            <w:tcBorders>
              <w:top w:val="nil"/>
              <w:left w:val="nil"/>
              <w:bottom w:val="nil"/>
              <w:right w:val="nil"/>
            </w:tcBorders>
            <w:shd w:val="clear" w:color="000000" w:fill="FA9773"/>
            <w:noWrap/>
            <w:vAlign w:val="bottom"/>
            <w:hideMark/>
          </w:tcPr>
          <w:p w14:paraId="4B7021D0" w14:textId="74FF41B8"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5.93</w:t>
            </w:r>
            <w:r w:rsidR="0038793A">
              <w:rPr>
                <w:rFonts w:ascii="Calibri" w:eastAsia="Times New Roman" w:hAnsi="Calibri" w:cs="Calibri"/>
                <w:kern w:val="0"/>
                <w:sz w:val="22"/>
                <w:szCs w:val="22"/>
                <w:lang w:eastAsia="en-GB"/>
                <w14:ligatures w14:val="none"/>
              </w:rPr>
              <w:t>*</w:t>
            </w:r>
          </w:p>
        </w:tc>
        <w:tc>
          <w:tcPr>
            <w:tcW w:w="1740" w:type="dxa"/>
            <w:tcBorders>
              <w:top w:val="nil"/>
              <w:left w:val="nil"/>
              <w:bottom w:val="nil"/>
              <w:right w:val="nil"/>
            </w:tcBorders>
            <w:shd w:val="clear" w:color="000000" w:fill="FA8F72"/>
            <w:noWrap/>
            <w:vAlign w:val="bottom"/>
            <w:hideMark/>
          </w:tcPr>
          <w:p w14:paraId="27CDF717" w14:textId="2A1AE88F"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6.38</w:t>
            </w:r>
            <w:r w:rsidR="0038793A">
              <w:rPr>
                <w:rFonts w:ascii="Calibri" w:eastAsia="Times New Roman" w:hAnsi="Calibri" w:cs="Calibri"/>
                <w:kern w:val="0"/>
                <w:sz w:val="22"/>
                <w:szCs w:val="22"/>
                <w:lang w:eastAsia="en-GB"/>
                <w14:ligatures w14:val="none"/>
              </w:rPr>
              <w:t>*</w:t>
            </w:r>
          </w:p>
        </w:tc>
        <w:tc>
          <w:tcPr>
            <w:tcW w:w="2060" w:type="dxa"/>
            <w:tcBorders>
              <w:top w:val="nil"/>
              <w:left w:val="nil"/>
              <w:bottom w:val="nil"/>
              <w:right w:val="nil"/>
            </w:tcBorders>
            <w:shd w:val="clear" w:color="000000" w:fill="FA9473"/>
            <w:noWrap/>
            <w:vAlign w:val="bottom"/>
            <w:hideMark/>
          </w:tcPr>
          <w:p w14:paraId="238CEE9F" w14:textId="65587928"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6.09</w:t>
            </w:r>
            <w:r w:rsidR="0038793A">
              <w:rPr>
                <w:rFonts w:ascii="Calibri" w:eastAsia="Times New Roman" w:hAnsi="Calibri" w:cs="Calibri"/>
                <w:kern w:val="0"/>
                <w:sz w:val="22"/>
                <w:szCs w:val="22"/>
                <w:lang w:eastAsia="en-GB"/>
                <w14:ligatures w14:val="none"/>
              </w:rPr>
              <w:t>*</w:t>
            </w:r>
          </w:p>
        </w:tc>
        <w:tc>
          <w:tcPr>
            <w:tcW w:w="2160" w:type="dxa"/>
            <w:tcBorders>
              <w:top w:val="nil"/>
              <w:left w:val="nil"/>
              <w:bottom w:val="nil"/>
              <w:right w:val="nil"/>
            </w:tcBorders>
            <w:shd w:val="clear" w:color="000000" w:fill="FA9B74"/>
            <w:noWrap/>
            <w:vAlign w:val="bottom"/>
            <w:hideMark/>
          </w:tcPr>
          <w:p w14:paraId="70AB0541" w14:textId="29806F7B"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5.33</w:t>
            </w:r>
            <w:r w:rsidR="0038793A">
              <w:rPr>
                <w:rFonts w:ascii="Calibri" w:eastAsia="Times New Roman" w:hAnsi="Calibri" w:cs="Calibri"/>
                <w:kern w:val="0"/>
                <w:sz w:val="22"/>
                <w:szCs w:val="22"/>
                <w:lang w:eastAsia="en-GB"/>
                <w14:ligatures w14:val="none"/>
              </w:rPr>
              <w:t>*</w:t>
            </w:r>
          </w:p>
        </w:tc>
      </w:tr>
      <w:tr w:rsidR="0038336A" w:rsidRPr="0038336A" w14:paraId="6E312774" w14:textId="77777777" w:rsidTr="0038336A">
        <w:trPr>
          <w:trHeight w:val="300"/>
        </w:trPr>
        <w:tc>
          <w:tcPr>
            <w:tcW w:w="2540" w:type="dxa"/>
            <w:tcBorders>
              <w:top w:val="single" w:sz="8" w:space="0" w:color="auto"/>
              <w:left w:val="single" w:sz="8" w:space="0" w:color="auto"/>
              <w:bottom w:val="single" w:sz="8" w:space="0" w:color="auto"/>
              <w:right w:val="nil"/>
            </w:tcBorders>
            <w:noWrap/>
            <w:vAlign w:val="bottom"/>
            <w:hideMark/>
          </w:tcPr>
          <w:p w14:paraId="41FCAD25"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(British). FSM</w:t>
            </w:r>
          </w:p>
        </w:tc>
        <w:tc>
          <w:tcPr>
            <w:tcW w:w="1160" w:type="dxa"/>
            <w:tcBorders>
              <w:top w:val="single" w:sz="8" w:space="0" w:color="auto"/>
              <w:left w:val="nil"/>
              <w:bottom w:val="single" w:sz="8" w:space="0" w:color="auto"/>
              <w:right w:val="nil"/>
            </w:tcBorders>
            <w:shd w:val="clear" w:color="000000" w:fill="F8696B"/>
            <w:noWrap/>
            <w:vAlign w:val="bottom"/>
            <w:hideMark/>
          </w:tcPr>
          <w:p w14:paraId="158B3B70" w14:textId="04F1A93A"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5.46</w:t>
            </w:r>
            <w:r w:rsidR="00C205A3">
              <w:rPr>
                <w:rFonts w:ascii="Calibri" w:eastAsia="Times New Roman" w:hAnsi="Calibri" w:cs="Calibri"/>
                <w:kern w:val="0"/>
                <w:sz w:val="22"/>
                <w:szCs w:val="22"/>
                <w:lang w:eastAsia="en-GB"/>
                <w14:ligatures w14:val="none"/>
              </w:rPr>
              <w:t>*</w:t>
            </w:r>
          </w:p>
        </w:tc>
        <w:tc>
          <w:tcPr>
            <w:tcW w:w="1740" w:type="dxa"/>
            <w:tcBorders>
              <w:top w:val="single" w:sz="8" w:space="0" w:color="auto"/>
              <w:left w:val="nil"/>
              <w:bottom w:val="single" w:sz="8" w:space="0" w:color="auto"/>
              <w:right w:val="nil"/>
            </w:tcBorders>
            <w:shd w:val="clear" w:color="000000" w:fill="F8696B"/>
            <w:noWrap/>
            <w:vAlign w:val="bottom"/>
            <w:hideMark/>
          </w:tcPr>
          <w:p w14:paraId="1973E6BF" w14:textId="707FA52A"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6.12</w:t>
            </w:r>
            <w:r w:rsidR="00C205A3">
              <w:rPr>
                <w:rFonts w:ascii="Calibri" w:eastAsia="Times New Roman" w:hAnsi="Calibri" w:cs="Calibri"/>
                <w:kern w:val="0"/>
                <w:sz w:val="22"/>
                <w:szCs w:val="22"/>
                <w:lang w:eastAsia="en-GB"/>
                <w14:ligatures w14:val="none"/>
              </w:rPr>
              <w:t>*</w:t>
            </w:r>
          </w:p>
        </w:tc>
        <w:tc>
          <w:tcPr>
            <w:tcW w:w="2060" w:type="dxa"/>
            <w:tcBorders>
              <w:top w:val="single" w:sz="8" w:space="0" w:color="auto"/>
              <w:left w:val="nil"/>
              <w:bottom w:val="single" w:sz="8" w:space="0" w:color="auto"/>
              <w:right w:val="nil"/>
            </w:tcBorders>
            <w:shd w:val="clear" w:color="000000" w:fill="F8696B"/>
            <w:noWrap/>
            <w:vAlign w:val="bottom"/>
            <w:hideMark/>
          </w:tcPr>
          <w:p w14:paraId="0E67E390" w14:textId="4CFC4FCD"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5.79</w:t>
            </w:r>
            <w:r w:rsidR="00C205A3">
              <w:rPr>
                <w:rFonts w:ascii="Calibri" w:eastAsia="Times New Roman" w:hAnsi="Calibri" w:cs="Calibri"/>
                <w:kern w:val="0"/>
                <w:sz w:val="22"/>
                <w:szCs w:val="22"/>
                <w:lang w:eastAsia="en-GB"/>
                <w14:ligatures w14:val="none"/>
              </w:rPr>
              <w:t>*</w:t>
            </w:r>
          </w:p>
        </w:tc>
        <w:tc>
          <w:tcPr>
            <w:tcW w:w="2160" w:type="dxa"/>
            <w:tcBorders>
              <w:top w:val="single" w:sz="8" w:space="0" w:color="auto"/>
              <w:left w:val="nil"/>
              <w:bottom w:val="single" w:sz="8" w:space="0" w:color="auto"/>
              <w:right w:val="single" w:sz="8" w:space="0" w:color="auto"/>
            </w:tcBorders>
            <w:shd w:val="clear" w:color="000000" w:fill="F8696B"/>
            <w:noWrap/>
            <w:vAlign w:val="bottom"/>
            <w:hideMark/>
          </w:tcPr>
          <w:p w14:paraId="4291CB4D" w14:textId="59385F1F"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4.45</w:t>
            </w:r>
            <w:r w:rsidR="00C205A3">
              <w:rPr>
                <w:rFonts w:ascii="Calibri" w:eastAsia="Times New Roman" w:hAnsi="Calibri" w:cs="Calibri"/>
                <w:kern w:val="0"/>
                <w:sz w:val="22"/>
                <w:szCs w:val="22"/>
                <w:lang w:eastAsia="en-GB"/>
                <w14:ligatures w14:val="none"/>
              </w:rPr>
              <w:t>*</w:t>
            </w:r>
          </w:p>
        </w:tc>
      </w:tr>
    </w:tbl>
    <w:p w14:paraId="59209234" w14:textId="77777777" w:rsidR="00895E9C" w:rsidRDefault="00895E9C" w:rsidP="00895E9C">
      <w:pPr>
        <w:pStyle w:val="ListParagraph"/>
        <w:numPr>
          <w:ilvl w:val="0"/>
          <w:numId w:val="7"/>
        </w:numPr>
        <w:spacing w:after="0"/>
        <w:jc w:val="center"/>
      </w:pPr>
      <w:r>
        <w:t>Ethnicity-by-SES-by-Gender</w:t>
      </w:r>
    </w:p>
    <w:tbl>
      <w:tblPr>
        <w:tblW w:w="9920" w:type="dxa"/>
        <w:tblLook w:val="04A0" w:firstRow="1" w:lastRow="0" w:firstColumn="1" w:lastColumn="0" w:noHBand="0" w:noVBand="1"/>
      </w:tblPr>
      <w:tblGrid>
        <w:gridCol w:w="2920"/>
        <w:gridCol w:w="1100"/>
        <w:gridCol w:w="1840"/>
        <w:gridCol w:w="2080"/>
        <w:gridCol w:w="1980"/>
      </w:tblGrid>
      <w:tr w:rsidR="0038336A" w:rsidRPr="0038336A" w14:paraId="3A2AE0F9" w14:textId="77777777" w:rsidTr="0038336A">
        <w:trPr>
          <w:trHeight w:val="576"/>
        </w:trPr>
        <w:tc>
          <w:tcPr>
            <w:tcW w:w="2920" w:type="dxa"/>
            <w:tcBorders>
              <w:top w:val="single" w:sz="4" w:space="0" w:color="auto"/>
              <w:left w:val="nil"/>
              <w:bottom w:val="single" w:sz="4" w:space="0" w:color="auto"/>
              <w:right w:val="nil"/>
            </w:tcBorders>
            <w:shd w:val="clear" w:color="000000" w:fill="C0E6F5"/>
            <w:noWrap/>
            <w:vAlign w:val="bottom"/>
            <w:hideMark/>
          </w:tcPr>
          <w:p w14:paraId="630D9412" w14:textId="77777777" w:rsidR="0038336A" w:rsidRPr="0038336A" w:rsidRDefault="0038336A" w:rsidP="0038336A">
            <w:pPr>
              <w:spacing w:after="0" w:line="240" w:lineRule="auto"/>
              <w:jc w:val="center"/>
              <w:rPr>
                <w:rFonts w:ascii="Calibri" w:eastAsia="Times New Roman" w:hAnsi="Calibri" w:cs="Calibri"/>
                <w:b/>
                <w:bCs/>
                <w:kern w:val="0"/>
                <w:sz w:val="22"/>
                <w:szCs w:val="22"/>
                <w:lang w:eastAsia="en-GB"/>
                <w14:ligatures w14:val="none"/>
              </w:rPr>
            </w:pPr>
            <w:r w:rsidRPr="0038336A">
              <w:rPr>
                <w:rFonts w:ascii="Calibri" w:eastAsia="Times New Roman" w:hAnsi="Calibri" w:cs="Calibri"/>
                <w:b/>
                <w:bCs/>
                <w:kern w:val="0"/>
                <w:sz w:val="22"/>
                <w:szCs w:val="22"/>
                <w:lang w:eastAsia="en-GB"/>
                <w14:ligatures w14:val="none"/>
              </w:rPr>
              <w:t>Group</w:t>
            </w:r>
          </w:p>
        </w:tc>
        <w:tc>
          <w:tcPr>
            <w:tcW w:w="1100" w:type="dxa"/>
            <w:tcBorders>
              <w:top w:val="single" w:sz="4" w:space="0" w:color="auto"/>
              <w:left w:val="nil"/>
              <w:bottom w:val="single" w:sz="4" w:space="0" w:color="auto"/>
              <w:right w:val="nil"/>
            </w:tcBorders>
            <w:shd w:val="clear" w:color="000000" w:fill="C0E6F5"/>
            <w:noWrap/>
            <w:vAlign w:val="bottom"/>
            <w:hideMark/>
          </w:tcPr>
          <w:p w14:paraId="1AF650D5" w14:textId="77777777" w:rsidR="0038336A" w:rsidRPr="0038336A" w:rsidRDefault="0038336A" w:rsidP="0038336A">
            <w:pPr>
              <w:spacing w:after="0" w:line="240" w:lineRule="auto"/>
              <w:jc w:val="center"/>
              <w:rPr>
                <w:rFonts w:ascii="Calibri" w:eastAsia="Times New Roman" w:hAnsi="Calibri" w:cs="Calibri"/>
                <w:b/>
                <w:bCs/>
                <w:kern w:val="0"/>
                <w:sz w:val="22"/>
                <w:szCs w:val="22"/>
                <w:lang w:eastAsia="en-GB"/>
                <w14:ligatures w14:val="none"/>
              </w:rPr>
            </w:pPr>
            <w:r w:rsidRPr="0038336A">
              <w:rPr>
                <w:rFonts w:ascii="Calibri" w:eastAsia="Times New Roman" w:hAnsi="Calibri" w:cs="Calibri"/>
                <w:b/>
                <w:bCs/>
                <w:kern w:val="0"/>
                <w:sz w:val="22"/>
                <w:szCs w:val="22"/>
                <w:lang w:eastAsia="en-GB"/>
                <w14:ligatures w14:val="none"/>
              </w:rPr>
              <w:t>Effort</w:t>
            </w:r>
          </w:p>
        </w:tc>
        <w:tc>
          <w:tcPr>
            <w:tcW w:w="1840" w:type="dxa"/>
            <w:tcBorders>
              <w:top w:val="single" w:sz="4" w:space="0" w:color="auto"/>
              <w:left w:val="nil"/>
              <w:bottom w:val="single" w:sz="4" w:space="0" w:color="auto"/>
              <w:right w:val="nil"/>
            </w:tcBorders>
            <w:shd w:val="clear" w:color="000000" w:fill="C0E6F5"/>
            <w:vAlign w:val="bottom"/>
            <w:hideMark/>
          </w:tcPr>
          <w:p w14:paraId="7687AA22" w14:textId="77777777" w:rsidR="0038336A" w:rsidRPr="0038336A" w:rsidRDefault="0038336A" w:rsidP="0038336A">
            <w:pPr>
              <w:spacing w:after="0" w:line="240" w:lineRule="auto"/>
              <w:jc w:val="center"/>
              <w:rPr>
                <w:rFonts w:ascii="Calibri" w:eastAsia="Times New Roman" w:hAnsi="Calibri" w:cs="Calibri"/>
                <w:b/>
                <w:bCs/>
                <w:kern w:val="0"/>
                <w:sz w:val="22"/>
                <w:szCs w:val="22"/>
                <w:lang w:eastAsia="en-GB"/>
                <w14:ligatures w14:val="none"/>
              </w:rPr>
            </w:pPr>
            <w:r w:rsidRPr="0038336A">
              <w:rPr>
                <w:rFonts w:ascii="Calibri" w:eastAsia="Times New Roman" w:hAnsi="Calibri" w:cs="Calibri"/>
                <w:b/>
                <w:bCs/>
                <w:kern w:val="0"/>
                <w:sz w:val="22"/>
                <w:szCs w:val="22"/>
                <w:lang w:eastAsia="en-GB"/>
                <w14:ligatures w14:val="none"/>
              </w:rPr>
              <w:t>I did my best with my schoolwork.</w:t>
            </w:r>
          </w:p>
        </w:tc>
        <w:tc>
          <w:tcPr>
            <w:tcW w:w="2080" w:type="dxa"/>
            <w:tcBorders>
              <w:top w:val="single" w:sz="4" w:space="0" w:color="auto"/>
              <w:left w:val="nil"/>
              <w:bottom w:val="single" w:sz="4" w:space="0" w:color="auto"/>
              <w:right w:val="nil"/>
            </w:tcBorders>
            <w:shd w:val="clear" w:color="000000" w:fill="C0E6F5"/>
            <w:vAlign w:val="bottom"/>
            <w:hideMark/>
          </w:tcPr>
          <w:p w14:paraId="4D96C161" w14:textId="77777777" w:rsidR="0038336A" w:rsidRPr="0038336A" w:rsidRDefault="0038336A" w:rsidP="0038336A">
            <w:pPr>
              <w:spacing w:after="0" w:line="240" w:lineRule="auto"/>
              <w:jc w:val="center"/>
              <w:rPr>
                <w:rFonts w:ascii="Calibri" w:eastAsia="Times New Roman" w:hAnsi="Calibri" w:cs="Calibri"/>
                <w:b/>
                <w:bCs/>
                <w:kern w:val="0"/>
                <w:sz w:val="22"/>
                <w:szCs w:val="22"/>
                <w:lang w:eastAsia="en-GB"/>
                <w14:ligatures w14:val="none"/>
              </w:rPr>
            </w:pPr>
            <w:r w:rsidRPr="0038336A">
              <w:rPr>
                <w:rFonts w:ascii="Calibri" w:eastAsia="Times New Roman" w:hAnsi="Calibri" w:cs="Calibri"/>
                <w:b/>
                <w:bCs/>
                <w:kern w:val="0"/>
                <w:sz w:val="22"/>
                <w:szCs w:val="22"/>
                <w:lang w:eastAsia="en-GB"/>
                <w14:ligatures w14:val="none"/>
              </w:rPr>
              <w:t>I have paid full attention in lessons.</w:t>
            </w:r>
          </w:p>
        </w:tc>
        <w:tc>
          <w:tcPr>
            <w:tcW w:w="1980" w:type="dxa"/>
            <w:tcBorders>
              <w:top w:val="single" w:sz="4" w:space="0" w:color="auto"/>
              <w:left w:val="nil"/>
              <w:bottom w:val="single" w:sz="4" w:space="0" w:color="auto"/>
              <w:right w:val="nil"/>
            </w:tcBorders>
            <w:shd w:val="clear" w:color="000000" w:fill="C0E6F5"/>
            <w:vAlign w:val="bottom"/>
            <w:hideMark/>
          </w:tcPr>
          <w:p w14:paraId="2B8576CA" w14:textId="77777777" w:rsidR="0038336A" w:rsidRPr="0038336A" w:rsidRDefault="0038336A" w:rsidP="0038336A">
            <w:pPr>
              <w:spacing w:after="0" w:line="240" w:lineRule="auto"/>
              <w:jc w:val="center"/>
              <w:rPr>
                <w:rFonts w:ascii="Calibri" w:eastAsia="Times New Roman" w:hAnsi="Calibri" w:cs="Calibri"/>
                <w:b/>
                <w:bCs/>
                <w:kern w:val="0"/>
                <w:sz w:val="22"/>
                <w:szCs w:val="22"/>
                <w:lang w:eastAsia="en-GB"/>
                <w14:ligatures w14:val="none"/>
              </w:rPr>
            </w:pPr>
            <w:r w:rsidRPr="0038336A">
              <w:rPr>
                <w:rFonts w:ascii="Calibri" w:eastAsia="Times New Roman" w:hAnsi="Calibri" w:cs="Calibri"/>
                <w:b/>
                <w:bCs/>
                <w:kern w:val="0"/>
                <w:sz w:val="22"/>
                <w:szCs w:val="22"/>
                <w:lang w:eastAsia="en-GB"/>
                <w14:ligatures w14:val="none"/>
              </w:rPr>
              <w:t>I handed in all my homework on time.</w:t>
            </w:r>
          </w:p>
        </w:tc>
      </w:tr>
      <w:tr w:rsidR="0038336A" w:rsidRPr="0038336A" w14:paraId="00D21896" w14:textId="77777777" w:rsidTr="0038336A">
        <w:trPr>
          <w:trHeight w:val="231"/>
        </w:trPr>
        <w:tc>
          <w:tcPr>
            <w:tcW w:w="2920" w:type="dxa"/>
            <w:tcBorders>
              <w:top w:val="nil"/>
              <w:left w:val="nil"/>
              <w:bottom w:val="nil"/>
              <w:right w:val="nil"/>
            </w:tcBorders>
            <w:noWrap/>
            <w:vAlign w:val="bottom"/>
            <w:hideMark/>
          </w:tcPr>
          <w:p w14:paraId="1A059623"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Black. Not FSM. Girl.</w:t>
            </w:r>
          </w:p>
        </w:tc>
        <w:tc>
          <w:tcPr>
            <w:tcW w:w="1100" w:type="dxa"/>
            <w:tcBorders>
              <w:top w:val="nil"/>
              <w:left w:val="nil"/>
              <w:bottom w:val="nil"/>
              <w:right w:val="nil"/>
            </w:tcBorders>
            <w:shd w:val="clear" w:color="000000" w:fill="B9D780"/>
            <w:noWrap/>
            <w:vAlign w:val="bottom"/>
            <w:hideMark/>
          </w:tcPr>
          <w:p w14:paraId="635D82D9" w14:textId="603066AD"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7.22</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8CCA7E"/>
            <w:vAlign w:val="bottom"/>
            <w:hideMark/>
          </w:tcPr>
          <w:p w14:paraId="15719946" w14:textId="72D5FCD5"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7.51</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AFD480"/>
            <w:vAlign w:val="bottom"/>
            <w:hideMark/>
          </w:tcPr>
          <w:p w14:paraId="4211CF1F" w14:textId="3616945D"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7.07</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DBE182"/>
            <w:vAlign w:val="bottom"/>
            <w:hideMark/>
          </w:tcPr>
          <w:p w14:paraId="4043B70C" w14:textId="62D9A370"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7.08</w:t>
            </w:r>
            <w:r w:rsidR="00C205A3">
              <w:rPr>
                <w:rFonts w:ascii="Calibri" w:eastAsia="Times New Roman" w:hAnsi="Calibri" w:cs="Calibri"/>
                <w:kern w:val="0"/>
                <w:sz w:val="22"/>
                <w:szCs w:val="22"/>
                <w:lang w:eastAsia="en-GB"/>
                <w14:ligatures w14:val="none"/>
              </w:rPr>
              <w:t>*</w:t>
            </w:r>
          </w:p>
        </w:tc>
      </w:tr>
      <w:tr w:rsidR="0038336A" w:rsidRPr="0038336A" w14:paraId="05E3B08A" w14:textId="77777777" w:rsidTr="0038336A">
        <w:trPr>
          <w:trHeight w:val="231"/>
        </w:trPr>
        <w:tc>
          <w:tcPr>
            <w:tcW w:w="2920" w:type="dxa"/>
            <w:tcBorders>
              <w:top w:val="nil"/>
              <w:left w:val="nil"/>
              <w:bottom w:val="nil"/>
              <w:right w:val="nil"/>
            </w:tcBorders>
            <w:noWrap/>
            <w:vAlign w:val="bottom"/>
            <w:hideMark/>
          </w:tcPr>
          <w:p w14:paraId="1705E213"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Asian. Not FSM. Girl.</w:t>
            </w:r>
          </w:p>
        </w:tc>
        <w:tc>
          <w:tcPr>
            <w:tcW w:w="1100" w:type="dxa"/>
            <w:tcBorders>
              <w:top w:val="nil"/>
              <w:left w:val="nil"/>
              <w:bottom w:val="nil"/>
              <w:right w:val="nil"/>
            </w:tcBorders>
            <w:shd w:val="clear" w:color="000000" w:fill="65BF7C"/>
            <w:noWrap/>
            <w:vAlign w:val="bottom"/>
            <w:hideMark/>
          </w:tcPr>
          <w:p w14:paraId="57BEB37E" w14:textId="1EE8B339"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7.66</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63BE7B"/>
            <w:vAlign w:val="bottom"/>
            <w:hideMark/>
          </w:tcPr>
          <w:p w14:paraId="49F8BDC8" w14:textId="41ABB1EF"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7.70</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73C37C"/>
            <w:vAlign w:val="bottom"/>
            <w:hideMark/>
          </w:tcPr>
          <w:p w14:paraId="66956B15" w14:textId="4CA020C9"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7.33</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6DC17C"/>
            <w:vAlign w:val="bottom"/>
            <w:hideMark/>
          </w:tcPr>
          <w:p w14:paraId="0D3A0522" w14:textId="53724BFA"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7.94</w:t>
            </w:r>
            <w:r w:rsidR="00C205A3">
              <w:rPr>
                <w:rFonts w:ascii="Calibri" w:eastAsia="Times New Roman" w:hAnsi="Calibri" w:cs="Calibri"/>
                <w:kern w:val="0"/>
                <w:sz w:val="22"/>
                <w:szCs w:val="22"/>
                <w:lang w:eastAsia="en-GB"/>
                <w14:ligatures w14:val="none"/>
              </w:rPr>
              <w:t>*</w:t>
            </w:r>
          </w:p>
        </w:tc>
      </w:tr>
      <w:tr w:rsidR="0038336A" w:rsidRPr="0038336A" w14:paraId="79356B75" w14:textId="77777777" w:rsidTr="0038336A">
        <w:trPr>
          <w:trHeight w:val="231"/>
        </w:trPr>
        <w:tc>
          <w:tcPr>
            <w:tcW w:w="2920" w:type="dxa"/>
            <w:tcBorders>
              <w:top w:val="nil"/>
              <w:left w:val="nil"/>
              <w:bottom w:val="nil"/>
              <w:right w:val="nil"/>
            </w:tcBorders>
            <w:noWrap/>
            <w:vAlign w:val="bottom"/>
            <w:hideMark/>
          </w:tcPr>
          <w:p w14:paraId="0AF840AE"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Asian. Not FSM. Boy.</w:t>
            </w:r>
          </w:p>
        </w:tc>
        <w:tc>
          <w:tcPr>
            <w:tcW w:w="1100" w:type="dxa"/>
            <w:tcBorders>
              <w:top w:val="nil"/>
              <w:left w:val="nil"/>
              <w:bottom w:val="nil"/>
              <w:right w:val="nil"/>
            </w:tcBorders>
            <w:shd w:val="clear" w:color="000000" w:fill="63BE7B"/>
            <w:noWrap/>
            <w:vAlign w:val="bottom"/>
            <w:hideMark/>
          </w:tcPr>
          <w:p w14:paraId="70D5FC92" w14:textId="5C680DDD"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7.67</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7FC67D"/>
            <w:vAlign w:val="bottom"/>
            <w:hideMark/>
          </w:tcPr>
          <w:p w14:paraId="5C475111" w14:textId="3ED30D2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7.57</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63BE7B"/>
            <w:vAlign w:val="bottom"/>
            <w:hideMark/>
          </w:tcPr>
          <w:p w14:paraId="36FDE5E6" w14:textId="7EC0FC68"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7.41</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63BE7B"/>
            <w:vAlign w:val="bottom"/>
            <w:hideMark/>
          </w:tcPr>
          <w:p w14:paraId="45697189" w14:textId="727D7EB1"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8.02</w:t>
            </w:r>
            <w:r w:rsidR="00C205A3">
              <w:rPr>
                <w:rFonts w:ascii="Calibri" w:eastAsia="Times New Roman" w:hAnsi="Calibri" w:cs="Calibri"/>
                <w:kern w:val="0"/>
                <w:sz w:val="22"/>
                <w:szCs w:val="22"/>
                <w:lang w:eastAsia="en-GB"/>
                <w14:ligatures w14:val="none"/>
              </w:rPr>
              <w:t>*</w:t>
            </w:r>
          </w:p>
        </w:tc>
      </w:tr>
      <w:tr w:rsidR="0038336A" w:rsidRPr="0038336A" w14:paraId="5E1AE2C6" w14:textId="77777777" w:rsidTr="0038336A">
        <w:trPr>
          <w:trHeight w:val="231"/>
        </w:trPr>
        <w:tc>
          <w:tcPr>
            <w:tcW w:w="2920" w:type="dxa"/>
            <w:tcBorders>
              <w:top w:val="nil"/>
              <w:left w:val="nil"/>
              <w:bottom w:val="nil"/>
              <w:right w:val="nil"/>
            </w:tcBorders>
            <w:noWrap/>
            <w:vAlign w:val="bottom"/>
            <w:hideMark/>
          </w:tcPr>
          <w:p w14:paraId="11686DC7"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Black. Not FSM. Boy.</w:t>
            </w:r>
          </w:p>
        </w:tc>
        <w:tc>
          <w:tcPr>
            <w:tcW w:w="1100" w:type="dxa"/>
            <w:tcBorders>
              <w:top w:val="nil"/>
              <w:left w:val="nil"/>
              <w:bottom w:val="nil"/>
              <w:right w:val="nil"/>
            </w:tcBorders>
            <w:shd w:val="clear" w:color="000000" w:fill="F6E984"/>
            <w:noWrap/>
            <w:vAlign w:val="bottom"/>
            <w:hideMark/>
          </w:tcPr>
          <w:p w14:paraId="6E4831F3" w14:textId="7E9605C3"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6.90</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F9EA84"/>
            <w:vAlign w:val="bottom"/>
            <w:hideMark/>
          </w:tcPr>
          <w:p w14:paraId="62B11C21" w14:textId="6F522E9C"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7.01</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E1E383"/>
            <w:vAlign w:val="bottom"/>
            <w:hideMark/>
          </w:tcPr>
          <w:p w14:paraId="3F910AB6" w14:textId="6BCBA68A"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6.84</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7E984"/>
            <w:vAlign w:val="bottom"/>
            <w:hideMark/>
          </w:tcPr>
          <w:p w14:paraId="3A54B119" w14:textId="554FD3CF"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6.86</w:t>
            </w:r>
            <w:r w:rsidR="00C205A3">
              <w:rPr>
                <w:rFonts w:ascii="Calibri" w:eastAsia="Times New Roman" w:hAnsi="Calibri" w:cs="Calibri"/>
                <w:kern w:val="0"/>
                <w:sz w:val="22"/>
                <w:szCs w:val="22"/>
                <w:lang w:eastAsia="en-GB"/>
                <w14:ligatures w14:val="none"/>
              </w:rPr>
              <w:t>*</w:t>
            </w:r>
          </w:p>
        </w:tc>
      </w:tr>
      <w:tr w:rsidR="0038336A" w:rsidRPr="0038336A" w14:paraId="0977B5CF" w14:textId="77777777" w:rsidTr="0038336A">
        <w:trPr>
          <w:trHeight w:val="231"/>
        </w:trPr>
        <w:tc>
          <w:tcPr>
            <w:tcW w:w="2920" w:type="dxa"/>
            <w:tcBorders>
              <w:top w:val="nil"/>
              <w:left w:val="nil"/>
              <w:bottom w:val="nil"/>
              <w:right w:val="nil"/>
            </w:tcBorders>
            <w:noWrap/>
            <w:vAlign w:val="bottom"/>
            <w:hideMark/>
          </w:tcPr>
          <w:p w14:paraId="487AA5D6"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South Asian. Not FSM. Boy.</w:t>
            </w:r>
          </w:p>
        </w:tc>
        <w:tc>
          <w:tcPr>
            <w:tcW w:w="1100" w:type="dxa"/>
            <w:tcBorders>
              <w:top w:val="nil"/>
              <w:left w:val="nil"/>
              <w:bottom w:val="nil"/>
              <w:right w:val="nil"/>
            </w:tcBorders>
            <w:shd w:val="clear" w:color="000000" w:fill="B5D680"/>
            <w:noWrap/>
            <w:vAlign w:val="bottom"/>
            <w:hideMark/>
          </w:tcPr>
          <w:p w14:paraId="2438EFC4" w14:textId="19B6382E"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7.24</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BFD981"/>
            <w:vAlign w:val="bottom"/>
            <w:hideMark/>
          </w:tcPr>
          <w:p w14:paraId="3752F0B2" w14:textId="521E4BE3"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7.27</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A0D07F"/>
            <w:vAlign w:val="bottom"/>
            <w:hideMark/>
          </w:tcPr>
          <w:p w14:paraId="03E8A2E0" w14:textId="5F8AD2F3"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7.13</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BED881"/>
            <w:vAlign w:val="bottom"/>
            <w:hideMark/>
          </w:tcPr>
          <w:p w14:paraId="0EBD266C" w14:textId="31A9AC9D"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7.31</w:t>
            </w:r>
            <w:r w:rsidR="00C205A3">
              <w:rPr>
                <w:rFonts w:ascii="Calibri" w:eastAsia="Times New Roman" w:hAnsi="Calibri" w:cs="Calibri"/>
                <w:kern w:val="0"/>
                <w:sz w:val="22"/>
                <w:szCs w:val="22"/>
                <w:lang w:eastAsia="en-GB"/>
                <w14:ligatures w14:val="none"/>
              </w:rPr>
              <w:t>*</w:t>
            </w:r>
          </w:p>
        </w:tc>
      </w:tr>
      <w:tr w:rsidR="0038336A" w:rsidRPr="0038336A" w14:paraId="60283485" w14:textId="77777777" w:rsidTr="0038336A">
        <w:trPr>
          <w:trHeight w:val="231"/>
        </w:trPr>
        <w:tc>
          <w:tcPr>
            <w:tcW w:w="2920" w:type="dxa"/>
            <w:tcBorders>
              <w:top w:val="nil"/>
              <w:left w:val="nil"/>
              <w:bottom w:val="nil"/>
              <w:right w:val="nil"/>
            </w:tcBorders>
            <w:noWrap/>
            <w:vAlign w:val="bottom"/>
            <w:hideMark/>
          </w:tcPr>
          <w:p w14:paraId="50867EFF"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Black. FSM. Boy.</w:t>
            </w:r>
          </w:p>
        </w:tc>
        <w:tc>
          <w:tcPr>
            <w:tcW w:w="1100" w:type="dxa"/>
            <w:tcBorders>
              <w:top w:val="nil"/>
              <w:left w:val="nil"/>
              <w:bottom w:val="nil"/>
              <w:right w:val="nil"/>
            </w:tcBorders>
            <w:shd w:val="clear" w:color="000000" w:fill="FCC57C"/>
            <w:noWrap/>
            <w:vAlign w:val="bottom"/>
            <w:hideMark/>
          </w:tcPr>
          <w:p w14:paraId="52C2CA56" w14:textId="422828E9"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6.42</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FDCF7E"/>
            <w:vAlign w:val="bottom"/>
            <w:hideMark/>
          </w:tcPr>
          <w:p w14:paraId="15D92CF2" w14:textId="17667EE1"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6.77</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FCC37C"/>
            <w:vAlign w:val="bottom"/>
            <w:hideMark/>
          </w:tcPr>
          <w:p w14:paraId="479E0260" w14:textId="127CF9E0"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6.42</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CC47C"/>
            <w:vAlign w:val="bottom"/>
            <w:hideMark/>
          </w:tcPr>
          <w:p w14:paraId="13CDFB23"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6.04</w:t>
            </w:r>
          </w:p>
        </w:tc>
      </w:tr>
      <w:tr w:rsidR="0038336A" w:rsidRPr="0038336A" w14:paraId="682A0726" w14:textId="77777777" w:rsidTr="0038336A">
        <w:trPr>
          <w:trHeight w:val="231"/>
        </w:trPr>
        <w:tc>
          <w:tcPr>
            <w:tcW w:w="2920" w:type="dxa"/>
            <w:tcBorders>
              <w:top w:val="nil"/>
              <w:left w:val="nil"/>
              <w:bottom w:val="nil"/>
              <w:right w:val="nil"/>
            </w:tcBorders>
            <w:noWrap/>
            <w:vAlign w:val="bottom"/>
            <w:hideMark/>
          </w:tcPr>
          <w:p w14:paraId="0173C51C"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South Asian. Not FSM. Girl.</w:t>
            </w:r>
          </w:p>
        </w:tc>
        <w:tc>
          <w:tcPr>
            <w:tcW w:w="1100" w:type="dxa"/>
            <w:tcBorders>
              <w:top w:val="nil"/>
              <w:left w:val="nil"/>
              <w:bottom w:val="nil"/>
              <w:right w:val="nil"/>
            </w:tcBorders>
            <w:shd w:val="clear" w:color="000000" w:fill="ABD380"/>
            <w:noWrap/>
            <w:vAlign w:val="bottom"/>
            <w:hideMark/>
          </w:tcPr>
          <w:p w14:paraId="515D8123" w14:textId="14ACBF00"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7.29</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9ACE7F"/>
            <w:vAlign w:val="bottom"/>
            <w:hideMark/>
          </w:tcPr>
          <w:p w14:paraId="0B2FFDE0" w14:textId="3C5B58B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7.45</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A0D07F"/>
            <w:vAlign w:val="bottom"/>
            <w:hideMark/>
          </w:tcPr>
          <w:p w14:paraId="4B2B375E" w14:textId="55BB6E2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7.13</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BFD981"/>
            <w:vAlign w:val="bottom"/>
            <w:hideMark/>
          </w:tcPr>
          <w:p w14:paraId="53F7E571" w14:textId="52195A4A"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7.30</w:t>
            </w:r>
            <w:r w:rsidR="00C205A3">
              <w:rPr>
                <w:rFonts w:ascii="Calibri" w:eastAsia="Times New Roman" w:hAnsi="Calibri" w:cs="Calibri"/>
                <w:kern w:val="0"/>
                <w:sz w:val="22"/>
                <w:szCs w:val="22"/>
                <w:lang w:eastAsia="en-GB"/>
                <w14:ligatures w14:val="none"/>
              </w:rPr>
              <w:t>*</w:t>
            </w:r>
          </w:p>
        </w:tc>
      </w:tr>
      <w:tr w:rsidR="0038336A" w:rsidRPr="0038336A" w14:paraId="0FC28ADA" w14:textId="77777777" w:rsidTr="0038336A">
        <w:trPr>
          <w:trHeight w:val="231"/>
        </w:trPr>
        <w:tc>
          <w:tcPr>
            <w:tcW w:w="2920" w:type="dxa"/>
            <w:tcBorders>
              <w:top w:val="nil"/>
              <w:left w:val="nil"/>
              <w:bottom w:val="nil"/>
              <w:right w:val="nil"/>
            </w:tcBorders>
            <w:noWrap/>
            <w:vAlign w:val="bottom"/>
            <w:hideMark/>
          </w:tcPr>
          <w:p w14:paraId="2F613A9C"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Black. FSM. Girl.</w:t>
            </w:r>
          </w:p>
        </w:tc>
        <w:tc>
          <w:tcPr>
            <w:tcW w:w="1100" w:type="dxa"/>
            <w:tcBorders>
              <w:top w:val="nil"/>
              <w:left w:val="nil"/>
              <w:bottom w:val="nil"/>
              <w:right w:val="nil"/>
            </w:tcBorders>
            <w:shd w:val="clear" w:color="000000" w:fill="FDCF7E"/>
            <w:noWrap/>
            <w:vAlign w:val="bottom"/>
            <w:hideMark/>
          </w:tcPr>
          <w:p w14:paraId="40124B8A" w14:textId="6F0101BE"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6.55</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FEE282"/>
            <w:vAlign w:val="bottom"/>
            <w:hideMark/>
          </w:tcPr>
          <w:p w14:paraId="18E8B0F2" w14:textId="4BCAC10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6.91</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FDCA7D"/>
            <w:vAlign w:val="bottom"/>
            <w:hideMark/>
          </w:tcPr>
          <w:p w14:paraId="31D8F627" w14:textId="69895CD6"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6.48</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DCF7E"/>
            <w:vAlign w:val="bottom"/>
            <w:hideMark/>
          </w:tcPr>
          <w:p w14:paraId="6B67FF85" w14:textId="7C15242A"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6.26</w:t>
            </w:r>
            <w:r w:rsidR="00C205A3">
              <w:rPr>
                <w:rFonts w:ascii="Calibri" w:eastAsia="Times New Roman" w:hAnsi="Calibri" w:cs="Calibri"/>
                <w:kern w:val="0"/>
                <w:sz w:val="22"/>
                <w:szCs w:val="22"/>
                <w:lang w:eastAsia="en-GB"/>
                <w14:ligatures w14:val="none"/>
              </w:rPr>
              <w:t>*</w:t>
            </w:r>
          </w:p>
        </w:tc>
      </w:tr>
      <w:tr w:rsidR="0038336A" w:rsidRPr="0038336A" w14:paraId="28BE064D" w14:textId="77777777" w:rsidTr="0038336A">
        <w:trPr>
          <w:trHeight w:val="231"/>
        </w:trPr>
        <w:tc>
          <w:tcPr>
            <w:tcW w:w="2920" w:type="dxa"/>
            <w:tcBorders>
              <w:top w:val="nil"/>
              <w:left w:val="nil"/>
              <w:bottom w:val="nil"/>
              <w:right w:val="nil"/>
            </w:tcBorders>
            <w:noWrap/>
            <w:vAlign w:val="bottom"/>
            <w:hideMark/>
          </w:tcPr>
          <w:p w14:paraId="355598A6"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South Asian. FSM. Boy.</w:t>
            </w:r>
          </w:p>
        </w:tc>
        <w:tc>
          <w:tcPr>
            <w:tcW w:w="1100" w:type="dxa"/>
            <w:tcBorders>
              <w:top w:val="nil"/>
              <w:left w:val="nil"/>
              <w:bottom w:val="nil"/>
              <w:right w:val="nil"/>
            </w:tcBorders>
            <w:shd w:val="clear" w:color="000000" w:fill="FEEA83"/>
            <w:noWrap/>
            <w:vAlign w:val="bottom"/>
            <w:hideMark/>
          </w:tcPr>
          <w:p w14:paraId="2FCDEEC6" w14:textId="4E174D65"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6.84</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FEE683"/>
            <w:vAlign w:val="bottom"/>
            <w:hideMark/>
          </w:tcPr>
          <w:p w14:paraId="0A4DECF0" w14:textId="6928582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6.94</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E2E383"/>
            <w:vAlign w:val="bottom"/>
            <w:hideMark/>
          </w:tcPr>
          <w:p w14:paraId="6A875FD8" w14:textId="3A8A5FC8"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6.84</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EE883"/>
            <w:vAlign w:val="bottom"/>
            <w:hideMark/>
          </w:tcPr>
          <w:p w14:paraId="6674C532" w14:textId="137B4BBC"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6.75</w:t>
            </w:r>
            <w:r w:rsidR="00C205A3">
              <w:rPr>
                <w:rFonts w:ascii="Calibri" w:eastAsia="Times New Roman" w:hAnsi="Calibri" w:cs="Calibri"/>
                <w:kern w:val="0"/>
                <w:sz w:val="22"/>
                <w:szCs w:val="22"/>
                <w:lang w:eastAsia="en-GB"/>
                <w14:ligatures w14:val="none"/>
              </w:rPr>
              <w:t>*</w:t>
            </w:r>
          </w:p>
        </w:tc>
      </w:tr>
      <w:tr w:rsidR="0038336A" w:rsidRPr="0038336A" w14:paraId="49E615BC" w14:textId="77777777" w:rsidTr="0038336A">
        <w:trPr>
          <w:trHeight w:val="231"/>
        </w:trPr>
        <w:tc>
          <w:tcPr>
            <w:tcW w:w="2920" w:type="dxa"/>
            <w:tcBorders>
              <w:top w:val="nil"/>
              <w:left w:val="nil"/>
              <w:bottom w:val="nil"/>
              <w:right w:val="nil"/>
            </w:tcBorders>
            <w:noWrap/>
            <w:vAlign w:val="bottom"/>
            <w:hideMark/>
          </w:tcPr>
          <w:p w14:paraId="1D048A79"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Mixed race. Not FSM. Boy.</w:t>
            </w:r>
          </w:p>
        </w:tc>
        <w:tc>
          <w:tcPr>
            <w:tcW w:w="1100" w:type="dxa"/>
            <w:tcBorders>
              <w:top w:val="nil"/>
              <w:left w:val="nil"/>
              <w:bottom w:val="nil"/>
              <w:right w:val="nil"/>
            </w:tcBorders>
            <w:shd w:val="clear" w:color="000000" w:fill="FEEB84"/>
            <w:noWrap/>
            <w:vAlign w:val="bottom"/>
            <w:hideMark/>
          </w:tcPr>
          <w:p w14:paraId="5240F6E8" w14:textId="55202AD0"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6.86</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FEE883"/>
            <w:vAlign w:val="bottom"/>
            <w:hideMark/>
          </w:tcPr>
          <w:p w14:paraId="214D0FE7" w14:textId="14D276E8"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6.96</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F2E884"/>
            <w:vAlign w:val="bottom"/>
            <w:hideMark/>
          </w:tcPr>
          <w:p w14:paraId="2467E0CB" w14:textId="4A7D0DE1"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6.76</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5E884"/>
            <w:vAlign w:val="bottom"/>
            <w:hideMark/>
          </w:tcPr>
          <w:p w14:paraId="40279759" w14:textId="7C102C2A"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6.87</w:t>
            </w:r>
            <w:r w:rsidR="00C205A3">
              <w:rPr>
                <w:rFonts w:ascii="Calibri" w:eastAsia="Times New Roman" w:hAnsi="Calibri" w:cs="Calibri"/>
                <w:kern w:val="0"/>
                <w:sz w:val="22"/>
                <w:szCs w:val="22"/>
                <w:lang w:eastAsia="en-GB"/>
                <w14:ligatures w14:val="none"/>
              </w:rPr>
              <w:t>*</w:t>
            </w:r>
          </w:p>
        </w:tc>
      </w:tr>
      <w:tr w:rsidR="0038336A" w:rsidRPr="0038336A" w14:paraId="74A7B551" w14:textId="77777777" w:rsidTr="0038336A">
        <w:trPr>
          <w:trHeight w:val="231"/>
        </w:trPr>
        <w:tc>
          <w:tcPr>
            <w:tcW w:w="2920" w:type="dxa"/>
            <w:tcBorders>
              <w:top w:val="nil"/>
              <w:left w:val="nil"/>
              <w:bottom w:val="nil"/>
              <w:right w:val="nil"/>
            </w:tcBorders>
            <w:noWrap/>
            <w:vAlign w:val="bottom"/>
            <w:hideMark/>
          </w:tcPr>
          <w:p w14:paraId="1ADCB66D"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Asian. FSM. Girl.</w:t>
            </w:r>
          </w:p>
        </w:tc>
        <w:tc>
          <w:tcPr>
            <w:tcW w:w="1100" w:type="dxa"/>
            <w:tcBorders>
              <w:top w:val="nil"/>
              <w:left w:val="nil"/>
              <w:bottom w:val="nil"/>
              <w:right w:val="nil"/>
            </w:tcBorders>
            <w:shd w:val="clear" w:color="000000" w:fill="E0E283"/>
            <w:noWrap/>
            <w:vAlign w:val="bottom"/>
            <w:hideMark/>
          </w:tcPr>
          <w:p w14:paraId="204F2102" w14:textId="7E856251"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7.02</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D4DF82"/>
            <w:vAlign w:val="bottom"/>
            <w:hideMark/>
          </w:tcPr>
          <w:p w14:paraId="16B2000D" w14:textId="3BDFD3F0"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7.18</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E1E383"/>
            <w:vAlign w:val="bottom"/>
            <w:hideMark/>
          </w:tcPr>
          <w:p w14:paraId="45B8C0A6" w14:textId="16515D8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6.84</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E1E383"/>
            <w:vAlign w:val="bottom"/>
            <w:hideMark/>
          </w:tcPr>
          <w:p w14:paraId="5BC3768C" w14:textId="1B46895B"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7.03</w:t>
            </w:r>
            <w:r w:rsidR="00C205A3">
              <w:rPr>
                <w:rFonts w:ascii="Calibri" w:eastAsia="Times New Roman" w:hAnsi="Calibri" w:cs="Calibri"/>
                <w:kern w:val="0"/>
                <w:sz w:val="22"/>
                <w:szCs w:val="22"/>
                <w:lang w:eastAsia="en-GB"/>
                <w14:ligatures w14:val="none"/>
              </w:rPr>
              <w:t>*</w:t>
            </w:r>
          </w:p>
        </w:tc>
      </w:tr>
      <w:tr w:rsidR="0038336A" w:rsidRPr="0038336A" w14:paraId="26DB0881" w14:textId="77777777" w:rsidTr="0038336A">
        <w:trPr>
          <w:trHeight w:val="231"/>
        </w:trPr>
        <w:tc>
          <w:tcPr>
            <w:tcW w:w="2920" w:type="dxa"/>
            <w:tcBorders>
              <w:top w:val="nil"/>
              <w:left w:val="nil"/>
              <w:bottom w:val="nil"/>
              <w:right w:val="nil"/>
            </w:tcBorders>
            <w:noWrap/>
            <w:vAlign w:val="bottom"/>
            <w:hideMark/>
          </w:tcPr>
          <w:p w14:paraId="60E3EA2C"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Asian. FSM. Boy.</w:t>
            </w:r>
          </w:p>
        </w:tc>
        <w:tc>
          <w:tcPr>
            <w:tcW w:w="1100" w:type="dxa"/>
            <w:tcBorders>
              <w:top w:val="nil"/>
              <w:left w:val="nil"/>
              <w:bottom w:val="nil"/>
              <w:right w:val="nil"/>
            </w:tcBorders>
            <w:shd w:val="clear" w:color="000000" w:fill="FCC17C"/>
            <w:noWrap/>
            <w:vAlign w:val="bottom"/>
            <w:hideMark/>
          </w:tcPr>
          <w:p w14:paraId="229B7CAB"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6.39</w:t>
            </w:r>
          </w:p>
        </w:tc>
        <w:tc>
          <w:tcPr>
            <w:tcW w:w="1840" w:type="dxa"/>
            <w:tcBorders>
              <w:top w:val="nil"/>
              <w:left w:val="nil"/>
              <w:bottom w:val="nil"/>
              <w:right w:val="nil"/>
            </w:tcBorders>
            <w:shd w:val="clear" w:color="000000" w:fill="FBA977"/>
            <w:vAlign w:val="bottom"/>
            <w:hideMark/>
          </w:tcPr>
          <w:p w14:paraId="420A6810"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6.50</w:t>
            </w:r>
          </w:p>
        </w:tc>
        <w:tc>
          <w:tcPr>
            <w:tcW w:w="2080" w:type="dxa"/>
            <w:tcBorders>
              <w:top w:val="nil"/>
              <w:left w:val="nil"/>
              <w:bottom w:val="nil"/>
              <w:right w:val="nil"/>
            </w:tcBorders>
            <w:shd w:val="clear" w:color="000000" w:fill="FDCC7E"/>
            <w:vAlign w:val="bottom"/>
            <w:hideMark/>
          </w:tcPr>
          <w:p w14:paraId="244713A4"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6.49</w:t>
            </w:r>
          </w:p>
        </w:tc>
        <w:tc>
          <w:tcPr>
            <w:tcW w:w="1980" w:type="dxa"/>
            <w:tcBorders>
              <w:top w:val="nil"/>
              <w:left w:val="nil"/>
              <w:bottom w:val="nil"/>
              <w:right w:val="nil"/>
            </w:tcBorders>
            <w:shd w:val="clear" w:color="000000" w:fill="FDCA7D"/>
            <w:vAlign w:val="bottom"/>
            <w:hideMark/>
          </w:tcPr>
          <w:p w14:paraId="55C94EA6"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6.17</w:t>
            </w:r>
          </w:p>
        </w:tc>
      </w:tr>
      <w:tr w:rsidR="0038336A" w:rsidRPr="0038336A" w14:paraId="494CFBFA" w14:textId="77777777" w:rsidTr="0038336A">
        <w:trPr>
          <w:trHeight w:val="231"/>
        </w:trPr>
        <w:tc>
          <w:tcPr>
            <w:tcW w:w="2920" w:type="dxa"/>
            <w:tcBorders>
              <w:top w:val="nil"/>
              <w:left w:val="nil"/>
              <w:bottom w:val="nil"/>
              <w:right w:val="nil"/>
            </w:tcBorders>
            <w:noWrap/>
            <w:vAlign w:val="bottom"/>
            <w:hideMark/>
          </w:tcPr>
          <w:p w14:paraId="3BE1FA4E"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Other. Not FSM. Boy.</w:t>
            </w:r>
          </w:p>
        </w:tc>
        <w:tc>
          <w:tcPr>
            <w:tcW w:w="1100" w:type="dxa"/>
            <w:tcBorders>
              <w:top w:val="nil"/>
              <w:left w:val="nil"/>
              <w:bottom w:val="nil"/>
              <w:right w:val="nil"/>
            </w:tcBorders>
            <w:shd w:val="clear" w:color="000000" w:fill="FCEA84"/>
            <w:noWrap/>
            <w:vAlign w:val="bottom"/>
            <w:hideMark/>
          </w:tcPr>
          <w:p w14:paraId="674C5A13" w14:textId="525FF5EC"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6.87</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FBEA84"/>
            <w:vAlign w:val="bottom"/>
            <w:hideMark/>
          </w:tcPr>
          <w:p w14:paraId="77287FA3" w14:textId="3BEEAEAE"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7.00</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FEEB84"/>
            <w:vAlign w:val="bottom"/>
            <w:hideMark/>
          </w:tcPr>
          <w:p w14:paraId="67B59044" w14:textId="4EB02DB0"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6.71</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1E784"/>
            <w:vAlign w:val="bottom"/>
            <w:hideMark/>
          </w:tcPr>
          <w:p w14:paraId="3B6C6AE1" w14:textId="43299588"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6.90</w:t>
            </w:r>
            <w:r w:rsidR="00C205A3">
              <w:rPr>
                <w:rFonts w:ascii="Calibri" w:eastAsia="Times New Roman" w:hAnsi="Calibri" w:cs="Calibri"/>
                <w:kern w:val="0"/>
                <w:sz w:val="22"/>
                <w:szCs w:val="22"/>
                <w:lang w:eastAsia="en-GB"/>
                <w14:ligatures w14:val="none"/>
              </w:rPr>
              <w:t>*</w:t>
            </w:r>
          </w:p>
        </w:tc>
      </w:tr>
      <w:tr w:rsidR="0038336A" w:rsidRPr="0038336A" w14:paraId="1D9DCEC2" w14:textId="77777777" w:rsidTr="0038336A">
        <w:trPr>
          <w:trHeight w:val="231"/>
        </w:trPr>
        <w:tc>
          <w:tcPr>
            <w:tcW w:w="2920" w:type="dxa"/>
            <w:tcBorders>
              <w:top w:val="nil"/>
              <w:left w:val="nil"/>
              <w:bottom w:val="nil"/>
              <w:right w:val="nil"/>
            </w:tcBorders>
            <w:noWrap/>
            <w:vAlign w:val="bottom"/>
            <w:hideMark/>
          </w:tcPr>
          <w:p w14:paraId="296B6F2D"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Mixed race. Not FSM. Girl.</w:t>
            </w:r>
          </w:p>
        </w:tc>
        <w:tc>
          <w:tcPr>
            <w:tcW w:w="1100" w:type="dxa"/>
            <w:tcBorders>
              <w:top w:val="nil"/>
              <w:left w:val="nil"/>
              <w:bottom w:val="nil"/>
              <w:right w:val="nil"/>
            </w:tcBorders>
            <w:shd w:val="clear" w:color="000000" w:fill="F7E984"/>
            <w:noWrap/>
            <w:vAlign w:val="bottom"/>
            <w:hideMark/>
          </w:tcPr>
          <w:p w14:paraId="1994E485" w14:textId="466A50B3"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6.90</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D6E082"/>
            <w:vAlign w:val="bottom"/>
            <w:hideMark/>
          </w:tcPr>
          <w:p w14:paraId="000F8DA0" w14:textId="2CF48713"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7.17</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FEE983"/>
            <w:vAlign w:val="bottom"/>
            <w:hideMark/>
          </w:tcPr>
          <w:p w14:paraId="6FB8D54A" w14:textId="57D5A90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6.70</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AEA84"/>
            <w:vAlign w:val="bottom"/>
            <w:hideMark/>
          </w:tcPr>
          <w:p w14:paraId="20DB717F" w14:textId="4E703EE4"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6.83</w:t>
            </w:r>
            <w:r w:rsidR="00C205A3">
              <w:rPr>
                <w:rFonts w:ascii="Calibri" w:eastAsia="Times New Roman" w:hAnsi="Calibri" w:cs="Calibri"/>
                <w:kern w:val="0"/>
                <w:sz w:val="22"/>
                <w:szCs w:val="22"/>
                <w:lang w:eastAsia="en-GB"/>
                <w14:ligatures w14:val="none"/>
              </w:rPr>
              <w:t>*</w:t>
            </w:r>
          </w:p>
        </w:tc>
      </w:tr>
      <w:tr w:rsidR="0038336A" w:rsidRPr="0038336A" w14:paraId="05749C1E" w14:textId="77777777" w:rsidTr="0038336A">
        <w:trPr>
          <w:trHeight w:val="231"/>
        </w:trPr>
        <w:tc>
          <w:tcPr>
            <w:tcW w:w="2920" w:type="dxa"/>
            <w:tcBorders>
              <w:top w:val="nil"/>
              <w:left w:val="nil"/>
              <w:bottom w:val="nil"/>
              <w:right w:val="nil"/>
            </w:tcBorders>
            <w:noWrap/>
            <w:vAlign w:val="bottom"/>
            <w:hideMark/>
          </w:tcPr>
          <w:p w14:paraId="4A11B61A"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Other. Not FSM. Girl.</w:t>
            </w:r>
          </w:p>
        </w:tc>
        <w:tc>
          <w:tcPr>
            <w:tcW w:w="1100" w:type="dxa"/>
            <w:tcBorders>
              <w:top w:val="nil"/>
              <w:left w:val="nil"/>
              <w:bottom w:val="nil"/>
              <w:right w:val="nil"/>
            </w:tcBorders>
            <w:shd w:val="clear" w:color="000000" w:fill="D6DF82"/>
            <w:noWrap/>
            <w:vAlign w:val="bottom"/>
            <w:hideMark/>
          </w:tcPr>
          <w:p w14:paraId="2483E42E" w14:textId="77A6C76E"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7.07</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C3DA81"/>
            <w:vAlign w:val="bottom"/>
            <w:hideMark/>
          </w:tcPr>
          <w:p w14:paraId="72D57F4A" w14:textId="35EF008A"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7.26</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DDE283"/>
            <w:vAlign w:val="bottom"/>
            <w:hideMark/>
          </w:tcPr>
          <w:p w14:paraId="03813E23" w14:textId="3AC2678E"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6.86</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D9E082"/>
            <w:vAlign w:val="bottom"/>
            <w:hideMark/>
          </w:tcPr>
          <w:p w14:paraId="103968C2" w14:textId="6765FB8D"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7.10</w:t>
            </w:r>
            <w:r w:rsidR="00C205A3">
              <w:rPr>
                <w:rFonts w:ascii="Calibri" w:eastAsia="Times New Roman" w:hAnsi="Calibri" w:cs="Calibri"/>
                <w:kern w:val="0"/>
                <w:sz w:val="22"/>
                <w:szCs w:val="22"/>
                <w:lang w:eastAsia="en-GB"/>
                <w14:ligatures w14:val="none"/>
              </w:rPr>
              <w:t>*</w:t>
            </w:r>
          </w:p>
        </w:tc>
      </w:tr>
      <w:tr w:rsidR="0038336A" w:rsidRPr="0038336A" w14:paraId="75A10257" w14:textId="77777777" w:rsidTr="0038336A">
        <w:trPr>
          <w:trHeight w:val="231"/>
        </w:trPr>
        <w:tc>
          <w:tcPr>
            <w:tcW w:w="2920" w:type="dxa"/>
            <w:tcBorders>
              <w:top w:val="nil"/>
              <w:left w:val="nil"/>
              <w:bottom w:val="nil"/>
              <w:right w:val="nil"/>
            </w:tcBorders>
            <w:noWrap/>
            <w:vAlign w:val="bottom"/>
            <w:hideMark/>
          </w:tcPr>
          <w:p w14:paraId="6595E2DE"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South Asian. FSM. Girl.</w:t>
            </w:r>
          </w:p>
        </w:tc>
        <w:tc>
          <w:tcPr>
            <w:tcW w:w="1100" w:type="dxa"/>
            <w:tcBorders>
              <w:top w:val="nil"/>
              <w:left w:val="nil"/>
              <w:bottom w:val="nil"/>
              <w:right w:val="nil"/>
            </w:tcBorders>
            <w:shd w:val="clear" w:color="000000" w:fill="F5E884"/>
            <w:noWrap/>
            <w:vAlign w:val="bottom"/>
            <w:hideMark/>
          </w:tcPr>
          <w:p w14:paraId="422D52CA" w14:textId="543DB016"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6.91</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EAE583"/>
            <w:vAlign w:val="bottom"/>
            <w:hideMark/>
          </w:tcPr>
          <w:p w14:paraId="5FCDD7B0" w14:textId="550EDADC"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7.08</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E9E583"/>
            <w:vAlign w:val="bottom"/>
            <w:hideMark/>
          </w:tcPr>
          <w:p w14:paraId="76D85FA3" w14:textId="4F0B8FA5"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6.81</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9EA84"/>
            <w:vAlign w:val="bottom"/>
            <w:hideMark/>
          </w:tcPr>
          <w:p w14:paraId="65D9F536" w14:textId="4EC49A73"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6.84</w:t>
            </w:r>
            <w:r w:rsidR="00C205A3">
              <w:rPr>
                <w:rFonts w:ascii="Calibri" w:eastAsia="Times New Roman" w:hAnsi="Calibri" w:cs="Calibri"/>
                <w:kern w:val="0"/>
                <w:sz w:val="22"/>
                <w:szCs w:val="22"/>
                <w:lang w:eastAsia="en-GB"/>
                <w14:ligatures w14:val="none"/>
              </w:rPr>
              <w:t>*</w:t>
            </w:r>
          </w:p>
        </w:tc>
      </w:tr>
      <w:tr w:rsidR="0038336A" w:rsidRPr="0038336A" w14:paraId="1AC67507" w14:textId="77777777" w:rsidTr="0038336A">
        <w:trPr>
          <w:trHeight w:val="231"/>
        </w:trPr>
        <w:tc>
          <w:tcPr>
            <w:tcW w:w="2920" w:type="dxa"/>
            <w:tcBorders>
              <w:top w:val="nil"/>
              <w:left w:val="nil"/>
              <w:bottom w:val="nil"/>
              <w:right w:val="nil"/>
            </w:tcBorders>
            <w:noWrap/>
            <w:vAlign w:val="bottom"/>
            <w:hideMark/>
          </w:tcPr>
          <w:p w14:paraId="3CE3A8C2"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British. Not FSM. Boy.</w:t>
            </w:r>
          </w:p>
        </w:tc>
        <w:tc>
          <w:tcPr>
            <w:tcW w:w="1100" w:type="dxa"/>
            <w:tcBorders>
              <w:top w:val="nil"/>
              <w:left w:val="nil"/>
              <w:bottom w:val="nil"/>
              <w:right w:val="nil"/>
            </w:tcBorders>
            <w:shd w:val="clear" w:color="000000" w:fill="FDD57F"/>
            <w:noWrap/>
            <w:vAlign w:val="bottom"/>
            <w:hideMark/>
          </w:tcPr>
          <w:p w14:paraId="04CDFCB6" w14:textId="5D990FD6"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6.61</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FEDF81"/>
            <w:vAlign w:val="bottom"/>
            <w:hideMark/>
          </w:tcPr>
          <w:p w14:paraId="6D648A9C" w14:textId="54016865"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6.89</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FEDB80"/>
            <w:vAlign w:val="bottom"/>
            <w:hideMark/>
          </w:tcPr>
          <w:p w14:paraId="4526813A" w14:textId="09929DB6"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6.59</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DD37F"/>
            <w:vAlign w:val="bottom"/>
            <w:hideMark/>
          </w:tcPr>
          <w:p w14:paraId="71385FF7" w14:textId="58B910C1"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6.34</w:t>
            </w:r>
            <w:r w:rsidR="00C205A3">
              <w:rPr>
                <w:rFonts w:ascii="Calibri" w:eastAsia="Times New Roman" w:hAnsi="Calibri" w:cs="Calibri"/>
                <w:kern w:val="0"/>
                <w:sz w:val="22"/>
                <w:szCs w:val="22"/>
                <w:lang w:eastAsia="en-GB"/>
                <w14:ligatures w14:val="none"/>
              </w:rPr>
              <w:t>*</w:t>
            </w:r>
          </w:p>
        </w:tc>
      </w:tr>
      <w:tr w:rsidR="0038336A" w:rsidRPr="0038336A" w14:paraId="3CA400AC" w14:textId="77777777" w:rsidTr="0038336A">
        <w:trPr>
          <w:trHeight w:val="231"/>
        </w:trPr>
        <w:tc>
          <w:tcPr>
            <w:tcW w:w="2920" w:type="dxa"/>
            <w:tcBorders>
              <w:top w:val="nil"/>
              <w:left w:val="nil"/>
              <w:bottom w:val="nil"/>
              <w:right w:val="nil"/>
            </w:tcBorders>
            <w:noWrap/>
            <w:vAlign w:val="bottom"/>
            <w:hideMark/>
          </w:tcPr>
          <w:p w14:paraId="4A844F68"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Other. FSM. Boy.</w:t>
            </w:r>
          </w:p>
        </w:tc>
        <w:tc>
          <w:tcPr>
            <w:tcW w:w="1100" w:type="dxa"/>
            <w:tcBorders>
              <w:top w:val="nil"/>
              <w:left w:val="nil"/>
              <w:bottom w:val="nil"/>
              <w:right w:val="nil"/>
            </w:tcBorders>
            <w:shd w:val="clear" w:color="000000" w:fill="FCBD7B"/>
            <w:noWrap/>
            <w:vAlign w:val="bottom"/>
            <w:hideMark/>
          </w:tcPr>
          <w:p w14:paraId="50E715A8"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6.34</w:t>
            </w:r>
          </w:p>
        </w:tc>
        <w:tc>
          <w:tcPr>
            <w:tcW w:w="1840" w:type="dxa"/>
            <w:tcBorders>
              <w:top w:val="nil"/>
              <w:left w:val="nil"/>
              <w:bottom w:val="nil"/>
              <w:right w:val="nil"/>
            </w:tcBorders>
            <w:shd w:val="clear" w:color="000000" w:fill="FCBF7B"/>
            <w:vAlign w:val="bottom"/>
            <w:hideMark/>
          </w:tcPr>
          <w:p w14:paraId="4C36B5CE"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6.66</w:t>
            </w:r>
          </w:p>
        </w:tc>
        <w:tc>
          <w:tcPr>
            <w:tcW w:w="2080" w:type="dxa"/>
            <w:tcBorders>
              <w:top w:val="nil"/>
              <w:left w:val="nil"/>
              <w:bottom w:val="nil"/>
              <w:right w:val="nil"/>
            </w:tcBorders>
            <w:shd w:val="clear" w:color="000000" w:fill="FCC57C"/>
            <w:vAlign w:val="bottom"/>
            <w:hideMark/>
          </w:tcPr>
          <w:p w14:paraId="69E98FA0" w14:textId="2D5A610B"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6.44</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CBD7B"/>
            <w:vAlign w:val="bottom"/>
            <w:hideMark/>
          </w:tcPr>
          <w:p w14:paraId="4037EDA1"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5.91</w:t>
            </w:r>
          </w:p>
        </w:tc>
      </w:tr>
      <w:tr w:rsidR="0038336A" w:rsidRPr="0038336A" w14:paraId="2B0244FE" w14:textId="77777777" w:rsidTr="0038336A">
        <w:trPr>
          <w:trHeight w:val="231"/>
        </w:trPr>
        <w:tc>
          <w:tcPr>
            <w:tcW w:w="2920" w:type="dxa"/>
            <w:tcBorders>
              <w:top w:val="nil"/>
              <w:left w:val="nil"/>
              <w:bottom w:val="nil"/>
              <w:right w:val="nil"/>
            </w:tcBorders>
            <w:noWrap/>
            <w:vAlign w:val="bottom"/>
            <w:hideMark/>
          </w:tcPr>
          <w:p w14:paraId="7ABA8F63"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British. Not FSM. Girl.</w:t>
            </w:r>
          </w:p>
        </w:tc>
        <w:tc>
          <w:tcPr>
            <w:tcW w:w="1100" w:type="dxa"/>
            <w:tcBorders>
              <w:top w:val="nil"/>
              <w:left w:val="nil"/>
              <w:bottom w:val="nil"/>
              <w:right w:val="nil"/>
            </w:tcBorders>
            <w:shd w:val="clear" w:color="000000" w:fill="FEDD81"/>
            <w:noWrap/>
            <w:vAlign w:val="bottom"/>
            <w:hideMark/>
          </w:tcPr>
          <w:p w14:paraId="621BBF0D" w14:textId="7F49A64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6.70</w:t>
            </w:r>
            <w:r w:rsidR="00C205A3">
              <w:rPr>
                <w:rFonts w:ascii="Calibri" w:eastAsia="Times New Roman" w:hAnsi="Calibri" w:cs="Calibri"/>
                <w:kern w:val="0"/>
                <w:sz w:val="22"/>
                <w:szCs w:val="22"/>
                <w:lang w:eastAsia="en-GB"/>
                <w14:ligatures w14:val="none"/>
              </w:rPr>
              <w:t>*</w:t>
            </w:r>
          </w:p>
        </w:tc>
        <w:tc>
          <w:tcPr>
            <w:tcW w:w="1840" w:type="dxa"/>
            <w:tcBorders>
              <w:top w:val="nil"/>
              <w:left w:val="nil"/>
              <w:bottom w:val="nil"/>
              <w:right w:val="nil"/>
            </w:tcBorders>
            <w:shd w:val="clear" w:color="000000" w:fill="EEE683"/>
            <w:vAlign w:val="bottom"/>
            <w:hideMark/>
          </w:tcPr>
          <w:p w14:paraId="5D7D39C0" w14:textId="1223EB08"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7.06</w:t>
            </w:r>
            <w:r w:rsidR="00C205A3">
              <w:rPr>
                <w:rFonts w:ascii="Calibri" w:eastAsia="Times New Roman" w:hAnsi="Calibri" w:cs="Calibri"/>
                <w:kern w:val="0"/>
                <w:sz w:val="22"/>
                <w:szCs w:val="22"/>
                <w:lang w:eastAsia="en-GB"/>
                <w14:ligatures w14:val="none"/>
              </w:rPr>
              <w:t>*</w:t>
            </w:r>
          </w:p>
        </w:tc>
        <w:tc>
          <w:tcPr>
            <w:tcW w:w="2080" w:type="dxa"/>
            <w:tcBorders>
              <w:top w:val="nil"/>
              <w:left w:val="nil"/>
              <w:bottom w:val="nil"/>
              <w:right w:val="nil"/>
            </w:tcBorders>
            <w:shd w:val="clear" w:color="000000" w:fill="FDD880"/>
            <w:vAlign w:val="bottom"/>
            <w:hideMark/>
          </w:tcPr>
          <w:p w14:paraId="281D6766" w14:textId="1BFF8A92"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6.57</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EDA80"/>
            <w:vAlign w:val="bottom"/>
            <w:hideMark/>
          </w:tcPr>
          <w:p w14:paraId="0B147612" w14:textId="6435F166"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6.47</w:t>
            </w:r>
            <w:r w:rsidR="00C205A3">
              <w:rPr>
                <w:rFonts w:ascii="Calibri" w:eastAsia="Times New Roman" w:hAnsi="Calibri" w:cs="Calibri"/>
                <w:kern w:val="0"/>
                <w:sz w:val="22"/>
                <w:szCs w:val="22"/>
                <w:lang w:eastAsia="en-GB"/>
                <w14:ligatures w14:val="none"/>
              </w:rPr>
              <w:t>*</w:t>
            </w:r>
          </w:p>
        </w:tc>
      </w:tr>
      <w:tr w:rsidR="0038336A" w:rsidRPr="0038336A" w14:paraId="7C70AEA4" w14:textId="77777777" w:rsidTr="0038336A">
        <w:trPr>
          <w:trHeight w:val="231"/>
        </w:trPr>
        <w:tc>
          <w:tcPr>
            <w:tcW w:w="2920" w:type="dxa"/>
            <w:tcBorders>
              <w:top w:val="nil"/>
              <w:left w:val="nil"/>
              <w:bottom w:val="nil"/>
              <w:right w:val="nil"/>
            </w:tcBorders>
            <w:noWrap/>
            <w:vAlign w:val="bottom"/>
            <w:hideMark/>
          </w:tcPr>
          <w:p w14:paraId="111D7D72"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Mixed race. FSM. Boy.</w:t>
            </w:r>
          </w:p>
        </w:tc>
        <w:tc>
          <w:tcPr>
            <w:tcW w:w="1100" w:type="dxa"/>
            <w:tcBorders>
              <w:top w:val="nil"/>
              <w:left w:val="nil"/>
              <w:bottom w:val="nil"/>
              <w:right w:val="nil"/>
            </w:tcBorders>
            <w:shd w:val="clear" w:color="000000" w:fill="FA9773"/>
            <w:noWrap/>
            <w:vAlign w:val="bottom"/>
            <w:hideMark/>
          </w:tcPr>
          <w:p w14:paraId="33624898"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5.90</w:t>
            </w:r>
          </w:p>
        </w:tc>
        <w:tc>
          <w:tcPr>
            <w:tcW w:w="1840" w:type="dxa"/>
            <w:tcBorders>
              <w:top w:val="nil"/>
              <w:left w:val="nil"/>
              <w:bottom w:val="nil"/>
              <w:right w:val="nil"/>
            </w:tcBorders>
            <w:shd w:val="clear" w:color="000000" w:fill="FA8F72"/>
            <w:vAlign w:val="bottom"/>
            <w:hideMark/>
          </w:tcPr>
          <w:p w14:paraId="5C87C250"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6.30</w:t>
            </w:r>
          </w:p>
        </w:tc>
        <w:tc>
          <w:tcPr>
            <w:tcW w:w="2080" w:type="dxa"/>
            <w:tcBorders>
              <w:top w:val="nil"/>
              <w:left w:val="nil"/>
              <w:bottom w:val="nil"/>
              <w:right w:val="nil"/>
            </w:tcBorders>
            <w:shd w:val="clear" w:color="000000" w:fill="FA9D75"/>
            <w:vAlign w:val="bottom"/>
            <w:hideMark/>
          </w:tcPr>
          <w:p w14:paraId="5F3661C2"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6.16</w:t>
            </w:r>
          </w:p>
        </w:tc>
        <w:tc>
          <w:tcPr>
            <w:tcW w:w="1980" w:type="dxa"/>
            <w:tcBorders>
              <w:top w:val="nil"/>
              <w:left w:val="nil"/>
              <w:bottom w:val="nil"/>
              <w:right w:val="nil"/>
            </w:tcBorders>
            <w:shd w:val="clear" w:color="000000" w:fill="FA9B74"/>
            <w:vAlign w:val="bottom"/>
            <w:hideMark/>
          </w:tcPr>
          <w:p w14:paraId="4451427E"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5.26</w:t>
            </w:r>
          </w:p>
        </w:tc>
      </w:tr>
      <w:tr w:rsidR="0038336A" w:rsidRPr="0038336A" w14:paraId="2D0C5D95" w14:textId="77777777" w:rsidTr="0038336A">
        <w:trPr>
          <w:trHeight w:val="231"/>
        </w:trPr>
        <w:tc>
          <w:tcPr>
            <w:tcW w:w="2920" w:type="dxa"/>
            <w:tcBorders>
              <w:top w:val="nil"/>
              <w:left w:val="nil"/>
              <w:bottom w:val="nil"/>
              <w:right w:val="nil"/>
            </w:tcBorders>
            <w:noWrap/>
            <w:vAlign w:val="bottom"/>
            <w:hideMark/>
          </w:tcPr>
          <w:p w14:paraId="09E8C5BD"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Other. FSM. Girl.</w:t>
            </w:r>
          </w:p>
        </w:tc>
        <w:tc>
          <w:tcPr>
            <w:tcW w:w="1100" w:type="dxa"/>
            <w:tcBorders>
              <w:top w:val="nil"/>
              <w:left w:val="nil"/>
              <w:bottom w:val="nil"/>
              <w:right w:val="nil"/>
            </w:tcBorders>
            <w:shd w:val="clear" w:color="000000" w:fill="FCB97A"/>
            <w:noWrap/>
            <w:vAlign w:val="bottom"/>
            <w:hideMark/>
          </w:tcPr>
          <w:p w14:paraId="41F69663"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6.29</w:t>
            </w:r>
          </w:p>
        </w:tc>
        <w:tc>
          <w:tcPr>
            <w:tcW w:w="1840" w:type="dxa"/>
            <w:tcBorders>
              <w:top w:val="nil"/>
              <w:left w:val="nil"/>
              <w:bottom w:val="nil"/>
              <w:right w:val="nil"/>
            </w:tcBorders>
            <w:shd w:val="clear" w:color="000000" w:fill="FCC57C"/>
            <w:vAlign w:val="bottom"/>
            <w:hideMark/>
          </w:tcPr>
          <w:p w14:paraId="2BF42CAE"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6.70</w:t>
            </w:r>
          </w:p>
        </w:tc>
        <w:tc>
          <w:tcPr>
            <w:tcW w:w="2080" w:type="dxa"/>
            <w:tcBorders>
              <w:top w:val="nil"/>
              <w:left w:val="nil"/>
              <w:bottom w:val="nil"/>
              <w:right w:val="nil"/>
            </w:tcBorders>
            <w:shd w:val="clear" w:color="000000" w:fill="FCC07B"/>
            <w:vAlign w:val="bottom"/>
            <w:hideMark/>
          </w:tcPr>
          <w:p w14:paraId="5162EB72" w14:textId="35AF4FD4"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6.40</w:t>
            </w:r>
            <w:r w:rsidR="00C205A3">
              <w:rPr>
                <w:rFonts w:ascii="Calibri" w:eastAsia="Times New Roman" w:hAnsi="Calibri" w:cs="Calibri"/>
                <w:kern w:val="0"/>
                <w:sz w:val="22"/>
                <w:szCs w:val="22"/>
                <w:lang w:eastAsia="en-GB"/>
                <w14:ligatures w14:val="none"/>
              </w:rPr>
              <w:t>*</w:t>
            </w:r>
          </w:p>
        </w:tc>
        <w:tc>
          <w:tcPr>
            <w:tcW w:w="1980" w:type="dxa"/>
            <w:tcBorders>
              <w:top w:val="nil"/>
              <w:left w:val="nil"/>
              <w:bottom w:val="nil"/>
              <w:right w:val="nil"/>
            </w:tcBorders>
            <w:shd w:val="clear" w:color="000000" w:fill="FCB579"/>
            <w:vAlign w:val="bottom"/>
            <w:hideMark/>
          </w:tcPr>
          <w:p w14:paraId="5AEF6541"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5.77</w:t>
            </w:r>
          </w:p>
        </w:tc>
      </w:tr>
      <w:tr w:rsidR="0038336A" w:rsidRPr="0038336A" w14:paraId="36040722" w14:textId="77777777" w:rsidTr="0038336A">
        <w:trPr>
          <w:trHeight w:val="231"/>
        </w:trPr>
        <w:tc>
          <w:tcPr>
            <w:tcW w:w="2920" w:type="dxa"/>
            <w:tcBorders>
              <w:top w:val="nil"/>
              <w:left w:val="nil"/>
              <w:bottom w:val="nil"/>
              <w:right w:val="nil"/>
            </w:tcBorders>
            <w:noWrap/>
            <w:vAlign w:val="bottom"/>
            <w:hideMark/>
          </w:tcPr>
          <w:p w14:paraId="4E6EF758"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Mixed race. FSM. Girl.</w:t>
            </w:r>
          </w:p>
        </w:tc>
        <w:tc>
          <w:tcPr>
            <w:tcW w:w="1100" w:type="dxa"/>
            <w:tcBorders>
              <w:top w:val="nil"/>
              <w:left w:val="nil"/>
              <w:bottom w:val="nil"/>
              <w:right w:val="nil"/>
            </w:tcBorders>
            <w:shd w:val="clear" w:color="000000" w:fill="FA9A74"/>
            <w:noWrap/>
            <w:vAlign w:val="bottom"/>
            <w:hideMark/>
          </w:tcPr>
          <w:p w14:paraId="1213B91F"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5.94</w:t>
            </w:r>
          </w:p>
        </w:tc>
        <w:tc>
          <w:tcPr>
            <w:tcW w:w="1840" w:type="dxa"/>
            <w:tcBorders>
              <w:top w:val="nil"/>
              <w:left w:val="nil"/>
              <w:bottom w:val="nil"/>
              <w:right w:val="nil"/>
            </w:tcBorders>
            <w:shd w:val="clear" w:color="000000" w:fill="FBA476"/>
            <w:vAlign w:val="bottom"/>
            <w:hideMark/>
          </w:tcPr>
          <w:p w14:paraId="19B19F0C"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6.46</w:t>
            </w:r>
          </w:p>
        </w:tc>
        <w:tc>
          <w:tcPr>
            <w:tcW w:w="2080" w:type="dxa"/>
            <w:tcBorders>
              <w:top w:val="nil"/>
              <w:left w:val="nil"/>
              <w:bottom w:val="nil"/>
              <w:right w:val="nil"/>
            </w:tcBorders>
            <w:shd w:val="clear" w:color="000000" w:fill="F98A71"/>
            <w:vAlign w:val="bottom"/>
            <w:hideMark/>
          </w:tcPr>
          <w:p w14:paraId="4E2F5F75"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6.03</w:t>
            </w:r>
          </w:p>
        </w:tc>
        <w:tc>
          <w:tcPr>
            <w:tcW w:w="1980" w:type="dxa"/>
            <w:tcBorders>
              <w:top w:val="nil"/>
              <w:left w:val="nil"/>
              <w:bottom w:val="nil"/>
              <w:right w:val="nil"/>
            </w:tcBorders>
            <w:shd w:val="clear" w:color="000000" w:fill="FAA075"/>
            <w:vAlign w:val="bottom"/>
            <w:hideMark/>
          </w:tcPr>
          <w:p w14:paraId="0A6DEC04"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5.35</w:t>
            </w:r>
          </w:p>
        </w:tc>
      </w:tr>
      <w:tr w:rsidR="0038336A" w:rsidRPr="0038336A" w14:paraId="7B2D43C7" w14:textId="77777777" w:rsidTr="0038336A">
        <w:trPr>
          <w:trHeight w:val="231"/>
        </w:trPr>
        <w:tc>
          <w:tcPr>
            <w:tcW w:w="2920" w:type="dxa"/>
            <w:tcBorders>
              <w:top w:val="single" w:sz="8" w:space="0" w:color="auto"/>
              <w:left w:val="single" w:sz="8" w:space="0" w:color="auto"/>
              <w:bottom w:val="single" w:sz="8" w:space="0" w:color="auto"/>
              <w:right w:val="nil"/>
            </w:tcBorders>
            <w:noWrap/>
            <w:vAlign w:val="bottom"/>
            <w:hideMark/>
          </w:tcPr>
          <w:p w14:paraId="5392673C"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British. FSM. Boy.</w:t>
            </w:r>
          </w:p>
        </w:tc>
        <w:tc>
          <w:tcPr>
            <w:tcW w:w="1100" w:type="dxa"/>
            <w:tcBorders>
              <w:top w:val="single" w:sz="8" w:space="0" w:color="auto"/>
              <w:left w:val="nil"/>
              <w:bottom w:val="single" w:sz="8" w:space="0" w:color="auto"/>
              <w:right w:val="nil"/>
            </w:tcBorders>
            <w:shd w:val="clear" w:color="000000" w:fill="F8696B"/>
            <w:noWrap/>
            <w:vAlign w:val="bottom"/>
            <w:hideMark/>
          </w:tcPr>
          <w:p w14:paraId="328F585E"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5.38</w:t>
            </w:r>
          </w:p>
        </w:tc>
        <w:tc>
          <w:tcPr>
            <w:tcW w:w="1840" w:type="dxa"/>
            <w:tcBorders>
              <w:top w:val="single" w:sz="8" w:space="0" w:color="auto"/>
              <w:left w:val="nil"/>
              <w:bottom w:val="single" w:sz="8" w:space="0" w:color="auto"/>
              <w:right w:val="nil"/>
            </w:tcBorders>
            <w:shd w:val="clear" w:color="000000" w:fill="F8696B"/>
            <w:vAlign w:val="bottom"/>
            <w:hideMark/>
          </w:tcPr>
          <w:p w14:paraId="403DD362"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6.02</w:t>
            </w:r>
          </w:p>
        </w:tc>
        <w:tc>
          <w:tcPr>
            <w:tcW w:w="2080" w:type="dxa"/>
            <w:tcBorders>
              <w:top w:val="single" w:sz="8" w:space="0" w:color="auto"/>
              <w:left w:val="nil"/>
              <w:bottom w:val="single" w:sz="8" w:space="0" w:color="auto"/>
              <w:right w:val="nil"/>
            </w:tcBorders>
            <w:shd w:val="clear" w:color="000000" w:fill="F86C6B"/>
            <w:vAlign w:val="bottom"/>
            <w:hideMark/>
          </w:tcPr>
          <w:p w14:paraId="1EE32A26"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5.81</w:t>
            </w:r>
          </w:p>
        </w:tc>
        <w:tc>
          <w:tcPr>
            <w:tcW w:w="1980" w:type="dxa"/>
            <w:tcBorders>
              <w:top w:val="single" w:sz="8" w:space="0" w:color="auto"/>
              <w:left w:val="nil"/>
              <w:bottom w:val="single" w:sz="8" w:space="0" w:color="auto"/>
              <w:right w:val="single" w:sz="8" w:space="0" w:color="auto"/>
            </w:tcBorders>
            <w:shd w:val="clear" w:color="000000" w:fill="F8696B"/>
            <w:vAlign w:val="bottom"/>
            <w:hideMark/>
          </w:tcPr>
          <w:p w14:paraId="0BD4BB97" w14:textId="77777777"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4.28</w:t>
            </w:r>
          </w:p>
        </w:tc>
      </w:tr>
      <w:tr w:rsidR="0038336A" w:rsidRPr="0038336A" w14:paraId="70260040" w14:textId="77777777" w:rsidTr="0038336A">
        <w:trPr>
          <w:trHeight w:val="231"/>
        </w:trPr>
        <w:tc>
          <w:tcPr>
            <w:tcW w:w="2920" w:type="dxa"/>
            <w:tcBorders>
              <w:top w:val="nil"/>
              <w:left w:val="single" w:sz="8" w:space="0" w:color="auto"/>
              <w:bottom w:val="single" w:sz="8" w:space="0" w:color="auto"/>
              <w:right w:val="nil"/>
            </w:tcBorders>
            <w:noWrap/>
            <w:vAlign w:val="bottom"/>
            <w:hideMark/>
          </w:tcPr>
          <w:p w14:paraId="128E24C7" w14:textId="77777777" w:rsidR="0038336A" w:rsidRPr="0038336A" w:rsidRDefault="0038336A" w:rsidP="0038336A">
            <w:pPr>
              <w:spacing w:after="0" w:line="240" w:lineRule="auto"/>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White British. FSM. Girl.</w:t>
            </w:r>
          </w:p>
        </w:tc>
        <w:tc>
          <w:tcPr>
            <w:tcW w:w="1100" w:type="dxa"/>
            <w:tcBorders>
              <w:top w:val="single" w:sz="8" w:space="0" w:color="auto"/>
              <w:left w:val="nil"/>
              <w:bottom w:val="single" w:sz="8" w:space="0" w:color="auto"/>
              <w:right w:val="nil"/>
            </w:tcBorders>
            <w:shd w:val="clear" w:color="000000" w:fill="F8776D"/>
            <w:noWrap/>
            <w:vAlign w:val="bottom"/>
            <w:hideMark/>
          </w:tcPr>
          <w:p w14:paraId="7225A6F4" w14:textId="01B588D1"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5.54</w:t>
            </w:r>
            <w:r w:rsidR="00C205A3">
              <w:rPr>
                <w:rFonts w:ascii="Calibri" w:eastAsia="Times New Roman" w:hAnsi="Calibri" w:cs="Calibri"/>
                <w:kern w:val="0"/>
                <w:sz w:val="22"/>
                <w:szCs w:val="22"/>
                <w:lang w:eastAsia="en-GB"/>
                <w14:ligatures w14:val="none"/>
              </w:rPr>
              <w:t>*</w:t>
            </w:r>
          </w:p>
        </w:tc>
        <w:tc>
          <w:tcPr>
            <w:tcW w:w="1840" w:type="dxa"/>
            <w:tcBorders>
              <w:top w:val="single" w:sz="8" w:space="0" w:color="auto"/>
              <w:left w:val="nil"/>
              <w:bottom w:val="single" w:sz="8" w:space="0" w:color="auto"/>
              <w:right w:val="nil"/>
            </w:tcBorders>
            <w:shd w:val="clear" w:color="000000" w:fill="F98670"/>
            <w:vAlign w:val="bottom"/>
            <w:hideMark/>
          </w:tcPr>
          <w:p w14:paraId="2982D57B" w14:textId="0855B15F"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6.23</w:t>
            </w:r>
            <w:r w:rsidR="00C205A3">
              <w:rPr>
                <w:rFonts w:ascii="Calibri" w:eastAsia="Times New Roman" w:hAnsi="Calibri" w:cs="Calibri"/>
                <w:kern w:val="0"/>
                <w:sz w:val="22"/>
                <w:szCs w:val="22"/>
                <w:lang w:eastAsia="en-GB"/>
                <w14:ligatures w14:val="none"/>
              </w:rPr>
              <w:t>*</w:t>
            </w:r>
          </w:p>
        </w:tc>
        <w:tc>
          <w:tcPr>
            <w:tcW w:w="2080" w:type="dxa"/>
            <w:tcBorders>
              <w:top w:val="single" w:sz="8" w:space="0" w:color="auto"/>
              <w:left w:val="nil"/>
              <w:bottom w:val="single" w:sz="8" w:space="0" w:color="auto"/>
              <w:right w:val="nil"/>
            </w:tcBorders>
            <w:shd w:val="clear" w:color="000000" w:fill="F8696B"/>
            <w:vAlign w:val="bottom"/>
            <w:hideMark/>
          </w:tcPr>
          <w:p w14:paraId="1B448675" w14:textId="4C602CF6"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5.79</w:t>
            </w:r>
            <w:r w:rsidR="00C205A3">
              <w:rPr>
                <w:rFonts w:ascii="Calibri" w:eastAsia="Times New Roman" w:hAnsi="Calibri" w:cs="Calibri"/>
                <w:kern w:val="0"/>
                <w:sz w:val="22"/>
                <w:szCs w:val="22"/>
                <w:lang w:eastAsia="en-GB"/>
                <w14:ligatures w14:val="none"/>
              </w:rPr>
              <w:t>*</w:t>
            </w:r>
          </w:p>
        </w:tc>
        <w:tc>
          <w:tcPr>
            <w:tcW w:w="1980" w:type="dxa"/>
            <w:tcBorders>
              <w:top w:val="single" w:sz="8" w:space="0" w:color="auto"/>
              <w:left w:val="nil"/>
              <w:bottom w:val="single" w:sz="8" w:space="0" w:color="auto"/>
              <w:right w:val="single" w:sz="8" w:space="0" w:color="auto"/>
            </w:tcBorders>
            <w:shd w:val="clear" w:color="000000" w:fill="F8796E"/>
            <w:vAlign w:val="bottom"/>
            <w:hideMark/>
          </w:tcPr>
          <w:p w14:paraId="2EE707E1" w14:textId="753BFBAF" w:rsidR="0038336A" w:rsidRPr="0038336A" w:rsidRDefault="0038336A" w:rsidP="0038336A">
            <w:pPr>
              <w:spacing w:after="0" w:line="240" w:lineRule="auto"/>
              <w:jc w:val="center"/>
              <w:rPr>
                <w:rFonts w:ascii="Calibri" w:eastAsia="Times New Roman" w:hAnsi="Calibri" w:cs="Calibri"/>
                <w:kern w:val="0"/>
                <w:sz w:val="22"/>
                <w:szCs w:val="22"/>
                <w:lang w:eastAsia="en-GB"/>
                <w14:ligatures w14:val="none"/>
              </w:rPr>
            </w:pPr>
            <w:r w:rsidRPr="0038336A">
              <w:rPr>
                <w:rFonts w:ascii="Calibri" w:eastAsia="Times New Roman" w:hAnsi="Calibri" w:cs="Calibri"/>
                <w:kern w:val="0"/>
                <w:sz w:val="22"/>
                <w:szCs w:val="22"/>
                <w:lang w:eastAsia="en-GB"/>
                <w14:ligatures w14:val="none"/>
              </w:rPr>
              <w:t>4.60</w:t>
            </w:r>
            <w:r w:rsidR="00C205A3">
              <w:rPr>
                <w:rFonts w:ascii="Calibri" w:eastAsia="Times New Roman" w:hAnsi="Calibri" w:cs="Calibri"/>
                <w:kern w:val="0"/>
                <w:sz w:val="22"/>
                <w:szCs w:val="22"/>
                <w:lang w:eastAsia="en-GB"/>
                <w14:ligatures w14:val="none"/>
              </w:rPr>
              <w:t>*</w:t>
            </w:r>
          </w:p>
        </w:tc>
      </w:tr>
    </w:tbl>
    <w:p w14:paraId="3D212787" w14:textId="7F9A4977" w:rsidR="008D2783" w:rsidRDefault="00895E9C" w:rsidP="00624909">
      <w:pPr>
        <w:spacing w:after="0" w:line="240" w:lineRule="auto"/>
        <w:jc w:val="both"/>
        <w:rPr>
          <w:sz w:val="20"/>
          <w:szCs w:val="20"/>
        </w:rPr>
        <w:sectPr w:rsidR="008D2783" w:rsidSect="008D2783">
          <w:pgSz w:w="11906" w:h="16838"/>
          <w:pgMar w:top="1440" w:right="1440" w:bottom="1440" w:left="1440" w:header="708" w:footer="708" w:gutter="0"/>
          <w:cols w:space="708"/>
          <w:docGrid w:linePitch="360"/>
        </w:sectPr>
      </w:pPr>
      <w:r w:rsidRPr="0097774C">
        <w:rPr>
          <w:sz w:val="20"/>
          <w:szCs w:val="20"/>
        </w:rPr>
        <w:t>Notes:</w:t>
      </w:r>
      <w:r>
        <w:rPr>
          <w:sz w:val="20"/>
          <w:szCs w:val="20"/>
        </w:rPr>
        <w:t xml:space="preserve"> </w:t>
      </w:r>
      <w:r w:rsidRPr="00541165">
        <w:rPr>
          <w:sz w:val="20"/>
          <w:szCs w:val="20"/>
        </w:rPr>
        <w:t xml:space="preserve">Shading should be read vertically within columns, with green shading indicating higher scores and red shading lower scores. </w:t>
      </w:r>
      <w:r>
        <w:rPr>
          <w:sz w:val="20"/>
          <w:szCs w:val="20"/>
        </w:rPr>
        <w:t xml:space="preserve"> Figures refer to average scores on the 0-10 TEP scale. * indicates significant difference from White Working-Class pupils in panel (a), and White Working-Class boys in panel b.</w:t>
      </w:r>
      <w:r w:rsidR="00624909">
        <w:rPr>
          <w:sz w:val="20"/>
          <w:szCs w:val="20"/>
        </w:rPr>
        <w:t xml:space="preserve"> </w:t>
      </w:r>
    </w:p>
    <w:p w14:paraId="4E20EF05" w14:textId="2A67FF2B" w:rsidR="0067127A" w:rsidRDefault="0067127A" w:rsidP="0067127A">
      <w:pPr>
        <w:spacing w:after="0"/>
        <w:jc w:val="center"/>
        <w:rPr>
          <w:b/>
          <w:bCs/>
        </w:rPr>
      </w:pPr>
      <w:r>
        <w:rPr>
          <w:b/>
          <w:bCs/>
        </w:rPr>
        <w:lastRenderedPageBreak/>
        <w:t>Figure</w:t>
      </w:r>
      <w:r w:rsidRPr="00541165">
        <w:rPr>
          <w:b/>
          <w:bCs/>
        </w:rPr>
        <w:t xml:space="preserve"> </w:t>
      </w:r>
      <w:r>
        <w:rPr>
          <w:b/>
          <w:bCs/>
        </w:rPr>
        <w:t>1</w:t>
      </w:r>
      <w:r w:rsidRPr="00541165">
        <w:rPr>
          <w:b/>
          <w:bCs/>
        </w:rPr>
        <w:t xml:space="preserve">. </w:t>
      </w:r>
      <w:r>
        <w:rPr>
          <w:b/>
          <w:bCs/>
        </w:rPr>
        <w:t>The Engagement Platform model of school engagement</w:t>
      </w:r>
    </w:p>
    <w:p w14:paraId="08CA2603" w14:textId="6A5DE870" w:rsidR="0067127A" w:rsidRDefault="00EE1743" w:rsidP="00FB33C5">
      <w:pPr>
        <w:spacing w:after="0"/>
        <w:jc w:val="center"/>
        <w:rPr>
          <w:b/>
          <w:bCs/>
        </w:rPr>
      </w:pPr>
      <w:r w:rsidRPr="00B80A00">
        <w:rPr>
          <w:noProof/>
        </w:rPr>
        <w:drawing>
          <wp:inline distT="0" distB="0" distL="0" distR="0" wp14:anchorId="2FAB0A26" wp14:editId="4FB11823">
            <wp:extent cx="8419795" cy="4362458"/>
            <wp:effectExtent l="0" t="0" r="635" b="0"/>
            <wp:docPr id="758096826"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584832" name="Picture 1" descr="A diagram of a diagram&#10;&#10;Description automatically generated"/>
                    <pic:cNvPicPr/>
                  </pic:nvPicPr>
                  <pic:blipFill>
                    <a:blip r:embed="rId48"/>
                    <a:stretch>
                      <a:fillRect/>
                    </a:stretch>
                  </pic:blipFill>
                  <pic:spPr>
                    <a:xfrm>
                      <a:off x="0" y="0"/>
                      <a:ext cx="8425151" cy="4365233"/>
                    </a:xfrm>
                    <a:prstGeom prst="rect">
                      <a:avLst/>
                    </a:prstGeom>
                  </pic:spPr>
                </pic:pic>
              </a:graphicData>
            </a:graphic>
          </wp:inline>
        </w:drawing>
      </w:r>
    </w:p>
    <w:p w14:paraId="0EA6D67D" w14:textId="77777777" w:rsidR="0067127A" w:rsidRDefault="0067127A" w:rsidP="00FB33C5">
      <w:pPr>
        <w:spacing w:after="0"/>
        <w:jc w:val="center"/>
        <w:rPr>
          <w:b/>
          <w:bCs/>
        </w:rPr>
        <w:sectPr w:rsidR="0067127A" w:rsidSect="00B21F5C">
          <w:pgSz w:w="16838" w:h="11906" w:orient="landscape"/>
          <w:pgMar w:top="720" w:right="720" w:bottom="720" w:left="720" w:header="708" w:footer="708" w:gutter="0"/>
          <w:cols w:space="708"/>
          <w:docGrid w:linePitch="360"/>
        </w:sectPr>
      </w:pPr>
    </w:p>
    <w:p w14:paraId="265FC618" w14:textId="7F4803E3" w:rsidR="00FB33C5" w:rsidRDefault="00FB33C5" w:rsidP="00FB33C5">
      <w:pPr>
        <w:spacing w:after="0"/>
        <w:jc w:val="center"/>
        <w:rPr>
          <w:b/>
          <w:bCs/>
        </w:rPr>
      </w:pPr>
      <w:r>
        <w:rPr>
          <w:b/>
          <w:bCs/>
        </w:rPr>
        <w:lastRenderedPageBreak/>
        <w:t>Figure</w:t>
      </w:r>
      <w:r w:rsidRPr="00541165">
        <w:rPr>
          <w:b/>
          <w:bCs/>
        </w:rPr>
        <w:t xml:space="preserve"> </w:t>
      </w:r>
      <w:r w:rsidR="0067127A">
        <w:rPr>
          <w:b/>
          <w:bCs/>
        </w:rPr>
        <w:t>2</w:t>
      </w:r>
      <w:r w:rsidRPr="00541165">
        <w:rPr>
          <w:b/>
          <w:bCs/>
        </w:rPr>
        <w:t xml:space="preserve">. </w:t>
      </w:r>
      <w:r>
        <w:rPr>
          <w:b/>
          <w:bCs/>
        </w:rPr>
        <w:t>The Year 7 drop in pupil</w:t>
      </w:r>
      <w:r w:rsidR="00AF5A2E">
        <w:rPr>
          <w:b/>
          <w:bCs/>
        </w:rPr>
        <w:t xml:space="preserve">’s </w:t>
      </w:r>
      <w:r w:rsidR="00AF5A2E" w:rsidRPr="003F14BB">
        <w:rPr>
          <w:b/>
          <w:bCs/>
          <w:u w:val="single"/>
        </w:rPr>
        <w:t>cognitive</w:t>
      </w:r>
      <w:r w:rsidR="00AF5A2E">
        <w:rPr>
          <w:b/>
          <w:bCs/>
        </w:rPr>
        <w:t xml:space="preserve"> engagement with school</w:t>
      </w:r>
      <w:r>
        <w:rPr>
          <w:b/>
          <w:bCs/>
        </w:rPr>
        <w:t>. Intersection between ethnicity and disadvantage.</w:t>
      </w:r>
    </w:p>
    <w:p w14:paraId="3E0572DC" w14:textId="216761A8" w:rsidR="00FB33C5" w:rsidRPr="0046694B" w:rsidRDefault="00FB33C5" w:rsidP="00FB33C5">
      <w:pPr>
        <w:spacing w:after="0"/>
      </w:pPr>
      <w:r w:rsidRPr="0046694B">
        <w:tab/>
      </w:r>
      <w:r w:rsidRPr="0046694B">
        <w:tab/>
      </w:r>
      <w:r w:rsidR="00AF5A2E">
        <w:tab/>
      </w:r>
      <w:r w:rsidR="00AF5A2E">
        <w:tab/>
        <w:t>Sense of agency</w:t>
      </w:r>
      <w:r w:rsidRPr="0046694B">
        <w:tab/>
      </w:r>
      <w:r w:rsidRPr="0046694B">
        <w:tab/>
      </w:r>
      <w:r w:rsidR="00AF5A2E">
        <w:tab/>
      </w:r>
      <w:r w:rsidR="00AF5A2E">
        <w:tab/>
      </w:r>
      <w:r w:rsidRPr="0046694B">
        <w:tab/>
      </w:r>
      <w:r w:rsidRPr="0046694B">
        <w:tab/>
      </w:r>
      <w:r w:rsidRPr="0046694B">
        <w:tab/>
      </w:r>
      <w:r w:rsidR="00B21F5C">
        <w:tab/>
      </w:r>
      <w:r w:rsidRPr="0046694B">
        <w:tab/>
      </w:r>
      <w:r w:rsidR="00AF5A2E">
        <w:t>Value of education</w:t>
      </w:r>
    </w:p>
    <w:p w14:paraId="3F6C7025" w14:textId="23B591C8" w:rsidR="00A041AF" w:rsidRDefault="008876E9" w:rsidP="00541165">
      <w:pPr>
        <w:spacing w:line="240" w:lineRule="auto"/>
        <w:jc w:val="both"/>
        <w:rPr>
          <w:noProof/>
        </w:rPr>
      </w:pPr>
      <w:r>
        <w:rPr>
          <w:noProof/>
        </w:rPr>
        <w:drawing>
          <wp:inline distT="0" distB="0" distL="0" distR="0" wp14:anchorId="28F22496" wp14:editId="474688BF">
            <wp:extent cx="4747260" cy="4785360"/>
            <wp:effectExtent l="0" t="0" r="0" b="0"/>
            <wp:docPr id="607670672" name="Chart 1">
              <a:extLst xmlns:a="http://schemas.openxmlformats.org/drawingml/2006/main">
                <a:ext uri="{FF2B5EF4-FFF2-40B4-BE49-F238E27FC236}">
                  <a16:creationId xmlns:a16="http://schemas.microsoft.com/office/drawing/2014/main" id="{4BEBA81F-6E2E-4A7F-A400-7DCB48867FC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r w:rsidRPr="008876E9">
        <w:rPr>
          <w:noProof/>
        </w:rPr>
        <w:t xml:space="preserve"> </w:t>
      </w:r>
      <w:r>
        <w:rPr>
          <w:noProof/>
        </w:rPr>
        <w:drawing>
          <wp:inline distT="0" distB="0" distL="0" distR="0" wp14:anchorId="0C29BDC6" wp14:editId="09569FCC">
            <wp:extent cx="4747260" cy="4785360"/>
            <wp:effectExtent l="0" t="0" r="0" b="0"/>
            <wp:docPr id="628054711" name="Chart 1">
              <a:extLst xmlns:a="http://schemas.openxmlformats.org/drawingml/2006/main">
                <a:ext uri="{FF2B5EF4-FFF2-40B4-BE49-F238E27FC236}">
                  <a16:creationId xmlns:a16="http://schemas.microsoft.com/office/drawing/2014/main" id="{FAF43198-C730-4A33-9022-38C94773B2E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6F8E0845" w14:textId="5A1F217B" w:rsidR="00A041AF" w:rsidRDefault="00A041AF" w:rsidP="00541165">
      <w:pPr>
        <w:spacing w:line="240" w:lineRule="auto"/>
        <w:jc w:val="both"/>
        <w:rPr>
          <w:noProof/>
          <w:sz w:val="20"/>
          <w:szCs w:val="20"/>
        </w:rPr>
      </w:pPr>
      <w:r w:rsidRPr="00A041AF">
        <w:rPr>
          <w:noProof/>
          <w:sz w:val="20"/>
          <w:szCs w:val="20"/>
        </w:rPr>
        <w:t>Notes:</w:t>
      </w:r>
      <w:r>
        <w:rPr>
          <w:noProof/>
          <w:sz w:val="20"/>
          <w:szCs w:val="20"/>
        </w:rPr>
        <w:t xml:space="preserve"> </w:t>
      </w:r>
      <w:r w:rsidR="00EE1743">
        <w:rPr>
          <w:noProof/>
          <w:sz w:val="20"/>
          <w:szCs w:val="20"/>
        </w:rPr>
        <w:t>Figures refer to the average scores on the TEP 0-10 scale.</w:t>
      </w:r>
    </w:p>
    <w:p w14:paraId="3EB55620" w14:textId="77777777" w:rsidR="003F14BB" w:rsidRDefault="003F14BB" w:rsidP="00541165">
      <w:pPr>
        <w:spacing w:line="240" w:lineRule="auto"/>
        <w:jc w:val="both"/>
        <w:rPr>
          <w:noProof/>
          <w:sz w:val="20"/>
          <w:szCs w:val="20"/>
        </w:rPr>
      </w:pPr>
    </w:p>
    <w:p w14:paraId="53579B42" w14:textId="77777777" w:rsidR="003F14BB" w:rsidRDefault="003F14BB" w:rsidP="00541165">
      <w:pPr>
        <w:spacing w:line="240" w:lineRule="auto"/>
        <w:jc w:val="both"/>
        <w:rPr>
          <w:noProof/>
          <w:sz w:val="20"/>
          <w:szCs w:val="20"/>
        </w:rPr>
      </w:pPr>
    </w:p>
    <w:p w14:paraId="496D67A1" w14:textId="77777777" w:rsidR="00816665" w:rsidRDefault="00816665" w:rsidP="00541165">
      <w:pPr>
        <w:spacing w:line="240" w:lineRule="auto"/>
        <w:jc w:val="both"/>
        <w:rPr>
          <w:noProof/>
          <w:sz w:val="20"/>
          <w:szCs w:val="20"/>
        </w:rPr>
      </w:pPr>
    </w:p>
    <w:p w14:paraId="3C1AAF7C" w14:textId="786DE0AD" w:rsidR="003F14BB" w:rsidRDefault="003F14BB" w:rsidP="003F14BB">
      <w:pPr>
        <w:spacing w:after="0"/>
        <w:jc w:val="center"/>
        <w:rPr>
          <w:b/>
          <w:bCs/>
        </w:rPr>
      </w:pPr>
      <w:r>
        <w:rPr>
          <w:b/>
          <w:bCs/>
        </w:rPr>
        <w:lastRenderedPageBreak/>
        <w:t>Figure</w:t>
      </w:r>
      <w:r w:rsidRPr="00541165">
        <w:rPr>
          <w:b/>
          <w:bCs/>
        </w:rPr>
        <w:t xml:space="preserve"> </w:t>
      </w:r>
      <w:r w:rsidR="0067127A">
        <w:rPr>
          <w:b/>
          <w:bCs/>
        </w:rPr>
        <w:t>3</w:t>
      </w:r>
      <w:r w:rsidRPr="00541165">
        <w:rPr>
          <w:b/>
          <w:bCs/>
        </w:rPr>
        <w:t xml:space="preserve">. </w:t>
      </w:r>
      <w:r>
        <w:rPr>
          <w:b/>
          <w:bCs/>
        </w:rPr>
        <w:t xml:space="preserve">The Year 7 drop in pupil’s </w:t>
      </w:r>
      <w:r>
        <w:rPr>
          <w:b/>
          <w:bCs/>
          <w:u w:val="single"/>
        </w:rPr>
        <w:t>emotional</w:t>
      </w:r>
      <w:r>
        <w:rPr>
          <w:b/>
          <w:bCs/>
        </w:rPr>
        <w:t xml:space="preserve"> engagement with school. Intersection between ethnicity and disadvantage.</w:t>
      </w:r>
    </w:p>
    <w:p w14:paraId="66CAFBBD" w14:textId="3FC4C009" w:rsidR="003F14BB" w:rsidRPr="0046694B" w:rsidRDefault="003F14BB" w:rsidP="003F14BB">
      <w:pPr>
        <w:spacing w:after="0"/>
      </w:pPr>
      <w:r w:rsidRPr="0046694B">
        <w:tab/>
      </w:r>
      <w:r w:rsidRPr="0046694B">
        <w:tab/>
      </w:r>
      <w:r>
        <w:tab/>
      </w:r>
      <w:r>
        <w:tab/>
        <w:t>Peer relationships</w:t>
      </w:r>
      <w:r w:rsidRPr="0046694B">
        <w:tab/>
      </w:r>
      <w:r w:rsidRPr="0046694B">
        <w:tab/>
      </w:r>
      <w:r>
        <w:tab/>
      </w:r>
      <w:r>
        <w:tab/>
      </w:r>
      <w:r w:rsidRPr="0046694B">
        <w:tab/>
      </w:r>
      <w:r w:rsidRPr="0046694B">
        <w:tab/>
      </w:r>
      <w:r w:rsidRPr="0046694B">
        <w:tab/>
      </w:r>
      <w:r w:rsidRPr="0046694B">
        <w:tab/>
      </w:r>
      <w:r>
        <w:t>Teacher relationships</w:t>
      </w:r>
    </w:p>
    <w:p w14:paraId="14287DBF" w14:textId="5F7CC5CB" w:rsidR="003F14BB" w:rsidRDefault="003F14BB" w:rsidP="003F14BB">
      <w:pPr>
        <w:spacing w:line="240" w:lineRule="auto"/>
        <w:jc w:val="both"/>
        <w:rPr>
          <w:noProof/>
        </w:rPr>
      </w:pPr>
      <w:r w:rsidRPr="00AC031C">
        <w:rPr>
          <w:noProof/>
        </w:rPr>
        <w:t xml:space="preserve"> </w:t>
      </w:r>
      <w:r w:rsidR="00B33E37">
        <w:rPr>
          <w:noProof/>
        </w:rPr>
        <w:t xml:space="preserve">     </w:t>
      </w:r>
      <w:r w:rsidR="00BF2A8B">
        <w:rPr>
          <w:noProof/>
        </w:rPr>
        <w:drawing>
          <wp:inline distT="0" distB="0" distL="0" distR="0" wp14:anchorId="12C36308" wp14:editId="6CBAD955">
            <wp:extent cx="4747260" cy="4785360"/>
            <wp:effectExtent l="0" t="0" r="0" b="0"/>
            <wp:docPr id="701749723" name="Chart 1">
              <a:extLst xmlns:a="http://schemas.openxmlformats.org/drawingml/2006/main">
                <a:ext uri="{FF2B5EF4-FFF2-40B4-BE49-F238E27FC236}">
                  <a16:creationId xmlns:a16="http://schemas.microsoft.com/office/drawing/2014/main" id="{CEAB9490-2BDA-4E4B-ADBF-0ADE4D7E5B5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r w:rsidR="00BF2A8B" w:rsidRPr="00BF2A8B">
        <w:rPr>
          <w:noProof/>
        </w:rPr>
        <w:t xml:space="preserve"> </w:t>
      </w:r>
      <w:r w:rsidR="00BF2A8B">
        <w:rPr>
          <w:noProof/>
        </w:rPr>
        <w:drawing>
          <wp:inline distT="0" distB="0" distL="0" distR="0" wp14:anchorId="0AADB597" wp14:editId="618390AD">
            <wp:extent cx="4747260" cy="4785360"/>
            <wp:effectExtent l="0" t="0" r="0" b="0"/>
            <wp:docPr id="1868105882" name="Chart 1">
              <a:extLst xmlns:a="http://schemas.openxmlformats.org/drawingml/2006/main">
                <a:ext uri="{FF2B5EF4-FFF2-40B4-BE49-F238E27FC236}">
                  <a16:creationId xmlns:a16="http://schemas.microsoft.com/office/drawing/2014/main" id="{4293471C-C6BD-40E6-9CB9-32EF1E76594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37C7434D" w14:textId="22579E96" w:rsidR="00661105" w:rsidRDefault="003F14BB" w:rsidP="003F14BB">
      <w:pPr>
        <w:spacing w:line="240" w:lineRule="auto"/>
        <w:jc w:val="both"/>
        <w:rPr>
          <w:noProof/>
          <w:sz w:val="20"/>
          <w:szCs w:val="20"/>
        </w:rPr>
        <w:sectPr w:rsidR="00661105" w:rsidSect="00B21F5C">
          <w:pgSz w:w="16838" w:h="11906" w:orient="landscape"/>
          <w:pgMar w:top="720" w:right="720" w:bottom="720" w:left="720" w:header="708" w:footer="708" w:gutter="0"/>
          <w:cols w:space="708"/>
          <w:docGrid w:linePitch="360"/>
        </w:sectPr>
      </w:pPr>
      <w:r w:rsidRPr="00A041AF">
        <w:rPr>
          <w:noProof/>
          <w:sz w:val="20"/>
          <w:szCs w:val="20"/>
        </w:rPr>
        <w:t>Notes:</w:t>
      </w:r>
      <w:r>
        <w:rPr>
          <w:noProof/>
          <w:sz w:val="20"/>
          <w:szCs w:val="20"/>
        </w:rPr>
        <w:t xml:space="preserve"> </w:t>
      </w:r>
      <w:r w:rsidR="00EE1743">
        <w:rPr>
          <w:noProof/>
          <w:sz w:val="20"/>
          <w:szCs w:val="20"/>
        </w:rPr>
        <w:t>Figures refer to the average scores on the TEP 0-10 scale.</w:t>
      </w:r>
    </w:p>
    <w:p w14:paraId="726DA1A2" w14:textId="247950F7" w:rsidR="00661105" w:rsidRDefault="00661105" w:rsidP="00661105">
      <w:pPr>
        <w:spacing w:after="0"/>
        <w:jc w:val="center"/>
        <w:rPr>
          <w:b/>
          <w:bCs/>
        </w:rPr>
      </w:pPr>
      <w:r>
        <w:rPr>
          <w:b/>
          <w:bCs/>
        </w:rPr>
        <w:lastRenderedPageBreak/>
        <w:t>Figure</w:t>
      </w:r>
      <w:r w:rsidRPr="00541165">
        <w:rPr>
          <w:b/>
          <w:bCs/>
        </w:rPr>
        <w:t xml:space="preserve"> </w:t>
      </w:r>
      <w:r w:rsidR="0067127A">
        <w:rPr>
          <w:b/>
          <w:bCs/>
        </w:rPr>
        <w:t>4</w:t>
      </w:r>
      <w:r w:rsidRPr="00541165">
        <w:rPr>
          <w:b/>
          <w:bCs/>
        </w:rPr>
        <w:t xml:space="preserve">. </w:t>
      </w:r>
      <w:r>
        <w:rPr>
          <w:b/>
          <w:bCs/>
        </w:rPr>
        <w:t xml:space="preserve">The Year 7 drop in pupil’s </w:t>
      </w:r>
      <w:r>
        <w:rPr>
          <w:b/>
          <w:bCs/>
          <w:u w:val="single"/>
        </w:rPr>
        <w:t>behavioural</w:t>
      </w:r>
      <w:r>
        <w:rPr>
          <w:b/>
          <w:bCs/>
        </w:rPr>
        <w:t xml:space="preserve"> engagement</w:t>
      </w:r>
      <w:r w:rsidR="0067127A">
        <w:rPr>
          <w:b/>
          <w:bCs/>
        </w:rPr>
        <w:t xml:space="preserve"> (self-reported effort)</w:t>
      </w:r>
      <w:r>
        <w:rPr>
          <w:b/>
          <w:bCs/>
        </w:rPr>
        <w:t xml:space="preserve"> with school. Intersection between ethnicity and disadvantage.</w:t>
      </w:r>
    </w:p>
    <w:p w14:paraId="2FF72806" w14:textId="0B59A388" w:rsidR="00661105" w:rsidRDefault="00BF2A8B" w:rsidP="00B33E37">
      <w:pPr>
        <w:spacing w:line="240" w:lineRule="auto"/>
        <w:jc w:val="center"/>
        <w:rPr>
          <w:noProof/>
          <w:sz w:val="20"/>
          <w:szCs w:val="20"/>
        </w:rPr>
      </w:pPr>
      <w:r>
        <w:rPr>
          <w:noProof/>
        </w:rPr>
        <w:drawing>
          <wp:inline distT="0" distB="0" distL="0" distR="0" wp14:anchorId="08E33F1C" wp14:editId="7F221E51">
            <wp:extent cx="5204460" cy="5052060"/>
            <wp:effectExtent l="0" t="0" r="0" b="0"/>
            <wp:docPr id="1214550834" name="Chart 1">
              <a:extLst xmlns:a="http://schemas.openxmlformats.org/drawingml/2006/main">
                <a:ext uri="{FF2B5EF4-FFF2-40B4-BE49-F238E27FC236}">
                  <a16:creationId xmlns:a16="http://schemas.microsoft.com/office/drawing/2014/main" id="{75D716BB-51DE-4422-9FFB-F28C99258C5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76A5C683" w14:textId="3B552329" w:rsidR="00EE1743" w:rsidRPr="00A041AF" w:rsidRDefault="00EE1743" w:rsidP="00EE1743">
      <w:pPr>
        <w:spacing w:line="240" w:lineRule="auto"/>
        <w:rPr>
          <w:noProof/>
          <w:sz w:val="20"/>
          <w:szCs w:val="20"/>
        </w:rPr>
      </w:pPr>
      <w:r>
        <w:rPr>
          <w:noProof/>
          <w:sz w:val="20"/>
          <w:szCs w:val="20"/>
        </w:rPr>
        <w:t>Notes: Figures refer to the average scores on the TEP 0-10 scale.</w:t>
      </w:r>
    </w:p>
    <w:p w14:paraId="6AF4602E" w14:textId="77777777" w:rsidR="003F14BB" w:rsidRPr="00A041AF" w:rsidRDefault="003F14BB" w:rsidP="00541165">
      <w:pPr>
        <w:spacing w:line="240" w:lineRule="auto"/>
        <w:jc w:val="both"/>
        <w:rPr>
          <w:noProof/>
          <w:sz w:val="20"/>
          <w:szCs w:val="20"/>
        </w:rPr>
      </w:pPr>
    </w:p>
    <w:sectPr w:rsidR="003F14BB" w:rsidRPr="00A041AF" w:rsidSect="0066110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3877F" w14:textId="77777777" w:rsidR="00292566" w:rsidRDefault="00292566" w:rsidP="00CE371C">
      <w:pPr>
        <w:spacing w:after="0" w:line="240" w:lineRule="auto"/>
      </w:pPr>
      <w:r>
        <w:separator/>
      </w:r>
    </w:p>
  </w:endnote>
  <w:endnote w:type="continuationSeparator" w:id="0">
    <w:p w14:paraId="75D2F5E4" w14:textId="77777777" w:rsidR="00292566" w:rsidRDefault="00292566" w:rsidP="00CE37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1611827"/>
      <w:docPartObj>
        <w:docPartGallery w:val="Page Numbers (Bottom of Page)"/>
        <w:docPartUnique/>
      </w:docPartObj>
    </w:sdtPr>
    <w:sdtContent>
      <w:p w14:paraId="53351D96" w14:textId="61847FC3" w:rsidR="003A0985" w:rsidRDefault="003A0985">
        <w:pPr>
          <w:pStyle w:val="Footer"/>
          <w:jc w:val="center"/>
        </w:pPr>
        <w:r>
          <w:fldChar w:fldCharType="begin"/>
        </w:r>
        <w:r>
          <w:instrText>PAGE   \* MERGEFORMAT</w:instrText>
        </w:r>
        <w:r>
          <w:fldChar w:fldCharType="separate"/>
        </w:r>
        <w:r>
          <w:t>2</w:t>
        </w:r>
        <w:r>
          <w:fldChar w:fldCharType="end"/>
        </w:r>
      </w:p>
    </w:sdtContent>
  </w:sdt>
  <w:p w14:paraId="0407032B" w14:textId="77777777" w:rsidR="003A0985" w:rsidRDefault="003A09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1F16D7" w14:textId="77777777" w:rsidR="00292566" w:rsidRDefault="00292566" w:rsidP="00CE371C">
      <w:pPr>
        <w:spacing w:after="0" w:line="240" w:lineRule="auto"/>
      </w:pPr>
      <w:r>
        <w:separator/>
      </w:r>
    </w:p>
  </w:footnote>
  <w:footnote w:type="continuationSeparator" w:id="0">
    <w:p w14:paraId="169E9950" w14:textId="77777777" w:rsidR="00292566" w:rsidRDefault="00292566" w:rsidP="00CE371C">
      <w:pPr>
        <w:spacing w:after="0" w:line="240" w:lineRule="auto"/>
      </w:pPr>
      <w:r>
        <w:continuationSeparator/>
      </w:r>
    </w:p>
  </w:footnote>
  <w:footnote w:id="1">
    <w:p w14:paraId="23C753CE" w14:textId="77777777" w:rsidR="00CE371C" w:rsidRPr="00927352" w:rsidRDefault="00CE371C" w:rsidP="00CE371C">
      <w:pPr>
        <w:spacing w:after="0" w:line="240" w:lineRule="auto"/>
        <w:jc w:val="both"/>
        <w:rPr>
          <w:rFonts w:cs="Times New Roman"/>
          <w:color w:val="000000"/>
          <w:lang w:val="es-ES"/>
        </w:rPr>
      </w:pPr>
      <w:r w:rsidRPr="00927352">
        <w:rPr>
          <w:rStyle w:val="FootnoteReference"/>
          <w:rFonts w:cs="Times New Roman"/>
        </w:rPr>
        <w:footnoteRef/>
      </w:r>
      <w:r w:rsidRPr="00927352">
        <w:rPr>
          <w:rFonts w:cs="Times New Roman"/>
        </w:rPr>
        <w:t xml:space="preserve"> </w:t>
      </w:r>
      <w:r w:rsidRPr="00927352">
        <w:rPr>
          <w:rFonts w:cs="Times New Roman"/>
          <w:bCs/>
          <w:color w:val="000000"/>
        </w:rPr>
        <w:t xml:space="preserve">Social Research Institute, University College London, </w:t>
      </w:r>
      <w:r w:rsidRPr="00927352">
        <w:rPr>
          <w:rFonts w:cs="Times New Roman"/>
          <w:color w:val="000000"/>
        </w:rPr>
        <w:t xml:space="preserve">20 Bedford Way London, WC1H 0AL. </w:t>
      </w:r>
      <w:r w:rsidRPr="00927352">
        <w:rPr>
          <w:rFonts w:cs="Times New Roman"/>
          <w:color w:val="000000"/>
          <w:lang w:val="es-ES"/>
        </w:rPr>
        <w:t xml:space="preserve">E-mail: </w:t>
      </w:r>
      <w:hyperlink r:id="rId1" w:history="1">
        <w:r w:rsidRPr="00927352">
          <w:rPr>
            <w:rStyle w:val="Hyperlink"/>
            <w:rFonts w:cs="Times New Roman"/>
            <w:lang w:val="es-ES"/>
          </w:rPr>
          <w:t>j.jerrim@ucl.ac.uk</w:t>
        </w:r>
      </w:hyperlink>
      <w:r w:rsidRPr="00927352">
        <w:rPr>
          <w:rFonts w:cs="Times New Roman"/>
          <w:lang w:val="es-ES"/>
        </w:rPr>
        <w:t xml:space="preserve"> </w:t>
      </w:r>
      <w:r w:rsidRPr="00927352">
        <w:rPr>
          <w:rFonts w:cs="Times New Roman"/>
          <w:color w:val="000000"/>
          <w:lang w:val="es-ES"/>
        </w:rPr>
        <w:t>(John Jerrim)</w:t>
      </w:r>
      <w:r w:rsidRPr="00927352">
        <w:rPr>
          <w:rFonts w:cs="Times New Roman"/>
          <w:bCs/>
          <w:color w:val="000000"/>
          <w:lang w:val="es-ES"/>
        </w:rPr>
        <w:t>.</w:t>
      </w:r>
    </w:p>
  </w:footnote>
  <w:footnote w:id="2">
    <w:p w14:paraId="25EBC9F0" w14:textId="6074270B" w:rsidR="009A6F1B" w:rsidRDefault="009A6F1B" w:rsidP="009A6F1B">
      <w:pPr>
        <w:pStyle w:val="FootnoteText"/>
        <w:jc w:val="both"/>
      </w:pPr>
      <w:r>
        <w:rPr>
          <w:rStyle w:val="FootnoteReference"/>
        </w:rPr>
        <w:footnoteRef/>
      </w:r>
      <w:r>
        <w:t xml:space="preserve"> As with any survey, there is a level of attrition amongst pupils across survey waves. In our sample, this may be driven by either (a) schools choosing to survey pupil’s twice rather than three times during the academic year or (b) pupils choosing not to respond to the survey. Details on </w:t>
      </w:r>
      <w:r w:rsidR="00A27C49">
        <w:t>the number of pupils responding</w:t>
      </w:r>
      <w:r>
        <w:t xml:space="preserve"> across waves can be found in Appendix </w:t>
      </w:r>
      <w:r w:rsidR="00DC6023">
        <w:t>B</w:t>
      </w:r>
      <w:r>
        <w:t>. The imputation model includes as covariates the engagement scale score in a particular domain in each round (e.g. value of education when this is the measure of interest) and pupil’s socio-economic by ethnic group.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C09C2"/>
    <w:multiLevelType w:val="multilevel"/>
    <w:tmpl w:val="1AEE8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B32304"/>
    <w:multiLevelType w:val="hybridMultilevel"/>
    <w:tmpl w:val="111E2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FE5D40"/>
    <w:multiLevelType w:val="hybridMultilevel"/>
    <w:tmpl w:val="DE002E6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235C17"/>
    <w:multiLevelType w:val="hybridMultilevel"/>
    <w:tmpl w:val="825ED6F4"/>
    <w:lvl w:ilvl="0" w:tplc="9F7ABBCE">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126343"/>
    <w:multiLevelType w:val="hybridMultilevel"/>
    <w:tmpl w:val="2F06701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AC92416"/>
    <w:multiLevelType w:val="hybridMultilevel"/>
    <w:tmpl w:val="E03ACFD6"/>
    <w:lvl w:ilvl="0" w:tplc="B150DCB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125733"/>
    <w:multiLevelType w:val="hybridMultilevel"/>
    <w:tmpl w:val="DE002E64"/>
    <w:lvl w:ilvl="0" w:tplc="37D0747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43F680A"/>
    <w:multiLevelType w:val="hybridMultilevel"/>
    <w:tmpl w:val="ED1048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7C9298B"/>
    <w:multiLevelType w:val="hybridMultilevel"/>
    <w:tmpl w:val="5ABC52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0DB7DBF"/>
    <w:multiLevelType w:val="hybridMultilevel"/>
    <w:tmpl w:val="A2D08E60"/>
    <w:lvl w:ilvl="0" w:tplc="4B72C3A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B5F69A4"/>
    <w:multiLevelType w:val="hybridMultilevel"/>
    <w:tmpl w:val="DE002E6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CA81AC6"/>
    <w:multiLevelType w:val="hybridMultilevel"/>
    <w:tmpl w:val="C516752A"/>
    <w:lvl w:ilvl="0" w:tplc="5720CE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D7719CF"/>
    <w:multiLevelType w:val="hybridMultilevel"/>
    <w:tmpl w:val="2F067010"/>
    <w:lvl w:ilvl="0" w:tplc="37D0747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73988812">
    <w:abstractNumId w:val="11"/>
  </w:num>
  <w:num w:numId="2" w16cid:durableId="1125806577">
    <w:abstractNumId w:val="7"/>
  </w:num>
  <w:num w:numId="3" w16cid:durableId="426124844">
    <w:abstractNumId w:val="8"/>
  </w:num>
  <w:num w:numId="4" w16cid:durableId="731343909">
    <w:abstractNumId w:val="1"/>
  </w:num>
  <w:num w:numId="5" w16cid:durableId="1361861815">
    <w:abstractNumId w:val="6"/>
  </w:num>
  <w:num w:numId="6" w16cid:durableId="383137841">
    <w:abstractNumId w:val="10"/>
  </w:num>
  <w:num w:numId="7" w16cid:durableId="475878149">
    <w:abstractNumId w:val="2"/>
  </w:num>
  <w:num w:numId="8" w16cid:durableId="1991665410">
    <w:abstractNumId w:val="12"/>
  </w:num>
  <w:num w:numId="9" w16cid:durableId="1193769412">
    <w:abstractNumId w:val="4"/>
  </w:num>
  <w:num w:numId="10" w16cid:durableId="637076872">
    <w:abstractNumId w:val="5"/>
  </w:num>
  <w:num w:numId="11" w16cid:durableId="1352226132">
    <w:abstractNumId w:val="3"/>
  </w:num>
  <w:num w:numId="12" w16cid:durableId="433983015">
    <w:abstractNumId w:val="9"/>
  </w:num>
  <w:num w:numId="13" w16cid:durableId="359673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AAE"/>
    <w:rsid w:val="000058F2"/>
    <w:rsid w:val="00015637"/>
    <w:rsid w:val="00030E96"/>
    <w:rsid w:val="00037531"/>
    <w:rsid w:val="00037FE1"/>
    <w:rsid w:val="00055A97"/>
    <w:rsid w:val="00056B1A"/>
    <w:rsid w:val="00067D5C"/>
    <w:rsid w:val="00071940"/>
    <w:rsid w:val="00076972"/>
    <w:rsid w:val="00085337"/>
    <w:rsid w:val="000915FE"/>
    <w:rsid w:val="00094038"/>
    <w:rsid w:val="000970A0"/>
    <w:rsid w:val="000A1EB1"/>
    <w:rsid w:val="000A3BC9"/>
    <w:rsid w:val="000C1667"/>
    <w:rsid w:val="000C19C6"/>
    <w:rsid w:val="000C28BC"/>
    <w:rsid w:val="000D24C4"/>
    <w:rsid w:val="000D3C79"/>
    <w:rsid w:val="000E1A09"/>
    <w:rsid w:val="000E2DD9"/>
    <w:rsid w:val="000E3172"/>
    <w:rsid w:val="000E3913"/>
    <w:rsid w:val="000E49D4"/>
    <w:rsid w:val="000E759C"/>
    <w:rsid w:val="00105425"/>
    <w:rsid w:val="001068DE"/>
    <w:rsid w:val="00107A20"/>
    <w:rsid w:val="0011076F"/>
    <w:rsid w:val="00112F81"/>
    <w:rsid w:val="00121095"/>
    <w:rsid w:val="001212B2"/>
    <w:rsid w:val="00124D12"/>
    <w:rsid w:val="001375F1"/>
    <w:rsid w:val="00157840"/>
    <w:rsid w:val="00157BC1"/>
    <w:rsid w:val="001630ED"/>
    <w:rsid w:val="00170ACC"/>
    <w:rsid w:val="00171701"/>
    <w:rsid w:val="00182352"/>
    <w:rsid w:val="00183C0A"/>
    <w:rsid w:val="001932C0"/>
    <w:rsid w:val="00194229"/>
    <w:rsid w:val="001A595E"/>
    <w:rsid w:val="001B0E0D"/>
    <w:rsid w:val="001B2C67"/>
    <w:rsid w:val="001B698A"/>
    <w:rsid w:val="001C10E7"/>
    <w:rsid w:val="001C618D"/>
    <w:rsid w:val="001F2131"/>
    <w:rsid w:val="00202C1C"/>
    <w:rsid w:val="00206527"/>
    <w:rsid w:val="0021188E"/>
    <w:rsid w:val="00215CBB"/>
    <w:rsid w:val="00226221"/>
    <w:rsid w:val="002317AD"/>
    <w:rsid w:val="002364DD"/>
    <w:rsid w:val="002412E1"/>
    <w:rsid w:val="002462B3"/>
    <w:rsid w:val="0024632B"/>
    <w:rsid w:val="00251C17"/>
    <w:rsid w:val="0025382D"/>
    <w:rsid w:val="00256B3F"/>
    <w:rsid w:val="002755B0"/>
    <w:rsid w:val="00277B18"/>
    <w:rsid w:val="002801C8"/>
    <w:rsid w:val="00283279"/>
    <w:rsid w:val="00285C80"/>
    <w:rsid w:val="00292566"/>
    <w:rsid w:val="002955C2"/>
    <w:rsid w:val="00296D06"/>
    <w:rsid w:val="002A3D53"/>
    <w:rsid w:val="002B0FC5"/>
    <w:rsid w:val="002C1D94"/>
    <w:rsid w:val="002C5BB1"/>
    <w:rsid w:val="002D0A77"/>
    <w:rsid w:val="002D46CD"/>
    <w:rsid w:val="002E1CBF"/>
    <w:rsid w:val="002F3C57"/>
    <w:rsid w:val="00301B04"/>
    <w:rsid w:val="00306BB9"/>
    <w:rsid w:val="00340456"/>
    <w:rsid w:val="00350C87"/>
    <w:rsid w:val="00353A18"/>
    <w:rsid w:val="00355BFB"/>
    <w:rsid w:val="0037036A"/>
    <w:rsid w:val="003752C1"/>
    <w:rsid w:val="00377E6C"/>
    <w:rsid w:val="00380A32"/>
    <w:rsid w:val="003826AC"/>
    <w:rsid w:val="0038336A"/>
    <w:rsid w:val="0038793A"/>
    <w:rsid w:val="003904C6"/>
    <w:rsid w:val="003957BA"/>
    <w:rsid w:val="00397372"/>
    <w:rsid w:val="003A0985"/>
    <w:rsid w:val="003A1990"/>
    <w:rsid w:val="003A1C8F"/>
    <w:rsid w:val="003A33A3"/>
    <w:rsid w:val="003A3486"/>
    <w:rsid w:val="003A4DAD"/>
    <w:rsid w:val="003A57F5"/>
    <w:rsid w:val="003A69DE"/>
    <w:rsid w:val="003B0043"/>
    <w:rsid w:val="003C6D79"/>
    <w:rsid w:val="003D06B6"/>
    <w:rsid w:val="003D086A"/>
    <w:rsid w:val="003D17BF"/>
    <w:rsid w:val="003D293E"/>
    <w:rsid w:val="003D3834"/>
    <w:rsid w:val="003F0077"/>
    <w:rsid w:val="003F008C"/>
    <w:rsid w:val="003F1391"/>
    <w:rsid w:val="003F14BB"/>
    <w:rsid w:val="004014FF"/>
    <w:rsid w:val="004039CE"/>
    <w:rsid w:val="0041093F"/>
    <w:rsid w:val="004146DF"/>
    <w:rsid w:val="00420959"/>
    <w:rsid w:val="00431DDA"/>
    <w:rsid w:val="00433625"/>
    <w:rsid w:val="004342BF"/>
    <w:rsid w:val="00450FAD"/>
    <w:rsid w:val="004559C4"/>
    <w:rsid w:val="00455B47"/>
    <w:rsid w:val="00466591"/>
    <w:rsid w:val="0046694B"/>
    <w:rsid w:val="00470595"/>
    <w:rsid w:val="0047361E"/>
    <w:rsid w:val="00475AAF"/>
    <w:rsid w:val="00480F9F"/>
    <w:rsid w:val="00495E00"/>
    <w:rsid w:val="004A392D"/>
    <w:rsid w:val="004A44A6"/>
    <w:rsid w:val="004A48F7"/>
    <w:rsid w:val="004A6A0D"/>
    <w:rsid w:val="004B7DB5"/>
    <w:rsid w:val="004C24BF"/>
    <w:rsid w:val="004C3BBF"/>
    <w:rsid w:val="004C4C62"/>
    <w:rsid w:val="004E4AD1"/>
    <w:rsid w:val="004E5351"/>
    <w:rsid w:val="004F0874"/>
    <w:rsid w:val="004F289F"/>
    <w:rsid w:val="00500E58"/>
    <w:rsid w:val="00510B3D"/>
    <w:rsid w:val="00527387"/>
    <w:rsid w:val="00530551"/>
    <w:rsid w:val="00540A7B"/>
    <w:rsid w:val="00541165"/>
    <w:rsid w:val="00541315"/>
    <w:rsid w:val="00543825"/>
    <w:rsid w:val="00574737"/>
    <w:rsid w:val="00575815"/>
    <w:rsid w:val="00580883"/>
    <w:rsid w:val="00581EE5"/>
    <w:rsid w:val="00584E2D"/>
    <w:rsid w:val="005932A1"/>
    <w:rsid w:val="005A536A"/>
    <w:rsid w:val="005A6139"/>
    <w:rsid w:val="005B0497"/>
    <w:rsid w:val="005B35D6"/>
    <w:rsid w:val="005B44A0"/>
    <w:rsid w:val="005C2ABD"/>
    <w:rsid w:val="005D6901"/>
    <w:rsid w:val="005D6C8E"/>
    <w:rsid w:val="005E3E80"/>
    <w:rsid w:val="005F0043"/>
    <w:rsid w:val="005F4082"/>
    <w:rsid w:val="005F48D3"/>
    <w:rsid w:val="006005EC"/>
    <w:rsid w:val="006027F2"/>
    <w:rsid w:val="00603518"/>
    <w:rsid w:val="00612440"/>
    <w:rsid w:val="0061575F"/>
    <w:rsid w:val="006240DE"/>
    <w:rsid w:val="00624909"/>
    <w:rsid w:val="0062601E"/>
    <w:rsid w:val="00647BE6"/>
    <w:rsid w:val="00647FEC"/>
    <w:rsid w:val="00654BD4"/>
    <w:rsid w:val="0065771E"/>
    <w:rsid w:val="00657A9D"/>
    <w:rsid w:val="00660B92"/>
    <w:rsid w:val="00661105"/>
    <w:rsid w:val="0067127A"/>
    <w:rsid w:val="00674DAA"/>
    <w:rsid w:val="00675B45"/>
    <w:rsid w:val="00676121"/>
    <w:rsid w:val="00694741"/>
    <w:rsid w:val="00696CCB"/>
    <w:rsid w:val="006A27AA"/>
    <w:rsid w:val="006A6A30"/>
    <w:rsid w:val="006A6C60"/>
    <w:rsid w:val="006B0AB5"/>
    <w:rsid w:val="006B1135"/>
    <w:rsid w:val="006C01C8"/>
    <w:rsid w:val="006C18E8"/>
    <w:rsid w:val="006C3443"/>
    <w:rsid w:val="006C46C7"/>
    <w:rsid w:val="006C6EE0"/>
    <w:rsid w:val="006D217B"/>
    <w:rsid w:val="006D26D1"/>
    <w:rsid w:val="006D63C7"/>
    <w:rsid w:val="006E32A0"/>
    <w:rsid w:val="006F15F0"/>
    <w:rsid w:val="006F770C"/>
    <w:rsid w:val="007079F8"/>
    <w:rsid w:val="00712B1A"/>
    <w:rsid w:val="007155B6"/>
    <w:rsid w:val="007304AD"/>
    <w:rsid w:val="007320ED"/>
    <w:rsid w:val="0073691B"/>
    <w:rsid w:val="00740C9E"/>
    <w:rsid w:val="00744063"/>
    <w:rsid w:val="0075115A"/>
    <w:rsid w:val="00767ACA"/>
    <w:rsid w:val="00780EF6"/>
    <w:rsid w:val="0078468A"/>
    <w:rsid w:val="00784C4E"/>
    <w:rsid w:val="007956C5"/>
    <w:rsid w:val="007A0675"/>
    <w:rsid w:val="007B7414"/>
    <w:rsid w:val="007C090F"/>
    <w:rsid w:val="007C0C55"/>
    <w:rsid w:val="007C2778"/>
    <w:rsid w:val="007C6FC1"/>
    <w:rsid w:val="007C7467"/>
    <w:rsid w:val="007D3D1E"/>
    <w:rsid w:val="007D77E2"/>
    <w:rsid w:val="007F615D"/>
    <w:rsid w:val="008134A5"/>
    <w:rsid w:val="008142D6"/>
    <w:rsid w:val="00816665"/>
    <w:rsid w:val="00844C0E"/>
    <w:rsid w:val="008458F6"/>
    <w:rsid w:val="0085436D"/>
    <w:rsid w:val="008619B0"/>
    <w:rsid w:val="00870872"/>
    <w:rsid w:val="008738E0"/>
    <w:rsid w:val="0088013D"/>
    <w:rsid w:val="00881674"/>
    <w:rsid w:val="008876E9"/>
    <w:rsid w:val="00895E9C"/>
    <w:rsid w:val="008A6073"/>
    <w:rsid w:val="008B5683"/>
    <w:rsid w:val="008C57AD"/>
    <w:rsid w:val="008C75E5"/>
    <w:rsid w:val="008D18BF"/>
    <w:rsid w:val="008D2783"/>
    <w:rsid w:val="008D457E"/>
    <w:rsid w:val="008D7D3D"/>
    <w:rsid w:val="008F1BF2"/>
    <w:rsid w:val="008F22D4"/>
    <w:rsid w:val="00905901"/>
    <w:rsid w:val="00906360"/>
    <w:rsid w:val="00907238"/>
    <w:rsid w:val="0090750B"/>
    <w:rsid w:val="00911555"/>
    <w:rsid w:val="0091485A"/>
    <w:rsid w:val="00927D11"/>
    <w:rsid w:val="00931520"/>
    <w:rsid w:val="009416E9"/>
    <w:rsid w:val="00957727"/>
    <w:rsid w:val="00960573"/>
    <w:rsid w:val="00961248"/>
    <w:rsid w:val="00966465"/>
    <w:rsid w:val="009746BF"/>
    <w:rsid w:val="0097774C"/>
    <w:rsid w:val="009836E5"/>
    <w:rsid w:val="00993BBB"/>
    <w:rsid w:val="009A5D30"/>
    <w:rsid w:val="009A6F1B"/>
    <w:rsid w:val="009A7933"/>
    <w:rsid w:val="009B478E"/>
    <w:rsid w:val="009B5108"/>
    <w:rsid w:val="009C13D5"/>
    <w:rsid w:val="009C1880"/>
    <w:rsid w:val="009C3AB7"/>
    <w:rsid w:val="009C77A3"/>
    <w:rsid w:val="009D35CC"/>
    <w:rsid w:val="009E0D6E"/>
    <w:rsid w:val="009F0F28"/>
    <w:rsid w:val="00A040D5"/>
    <w:rsid w:val="00A041AF"/>
    <w:rsid w:val="00A06149"/>
    <w:rsid w:val="00A11773"/>
    <w:rsid w:val="00A21553"/>
    <w:rsid w:val="00A24765"/>
    <w:rsid w:val="00A27C49"/>
    <w:rsid w:val="00A41159"/>
    <w:rsid w:val="00A41350"/>
    <w:rsid w:val="00A42853"/>
    <w:rsid w:val="00A5041D"/>
    <w:rsid w:val="00A614F4"/>
    <w:rsid w:val="00A6773A"/>
    <w:rsid w:val="00A70B71"/>
    <w:rsid w:val="00A70B72"/>
    <w:rsid w:val="00A86274"/>
    <w:rsid w:val="00A87A39"/>
    <w:rsid w:val="00A92F03"/>
    <w:rsid w:val="00AA05D7"/>
    <w:rsid w:val="00AA145A"/>
    <w:rsid w:val="00AA6FE6"/>
    <w:rsid w:val="00AA7EC3"/>
    <w:rsid w:val="00AB1176"/>
    <w:rsid w:val="00AB1684"/>
    <w:rsid w:val="00AB61B2"/>
    <w:rsid w:val="00AC031C"/>
    <w:rsid w:val="00AC4A17"/>
    <w:rsid w:val="00AC77E7"/>
    <w:rsid w:val="00AD158E"/>
    <w:rsid w:val="00AD3771"/>
    <w:rsid w:val="00AE6AE4"/>
    <w:rsid w:val="00AE7F3C"/>
    <w:rsid w:val="00AF1CB8"/>
    <w:rsid w:val="00AF5A2E"/>
    <w:rsid w:val="00AF6A8A"/>
    <w:rsid w:val="00B00743"/>
    <w:rsid w:val="00B071B5"/>
    <w:rsid w:val="00B10FCF"/>
    <w:rsid w:val="00B176F3"/>
    <w:rsid w:val="00B21F5C"/>
    <w:rsid w:val="00B33E37"/>
    <w:rsid w:val="00B3567B"/>
    <w:rsid w:val="00B406BE"/>
    <w:rsid w:val="00B473C2"/>
    <w:rsid w:val="00B54720"/>
    <w:rsid w:val="00B6081E"/>
    <w:rsid w:val="00B7659D"/>
    <w:rsid w:val="00B84A30"/>
    <w:rsid w:val="00B87F89"/>
    <w:rsid w:val="00B927B5"/>
    <w:rsid w:val="00BA0EB3"/>
    <w:rsid w:val="00BA4693"/>
    <w:rsid w:val="00BA4949"/>
    <w:rsid w:val="00BB1F58"/>
    <w:rsid w:val="00BC3E48"/>
    <w:rsid w:val="00BC6827"/>
    <w:rsid w:val="00BC7D8B"/>
    <w:rsid w:val="00BD603E"/>
    <w:rsid w:val="00BF0B17"/>
    <w:rsid w:val="00BF2A8B"/>
    <w:rsid w:val="00BF5FC2"/>
    <w:rsid w:val="00BF63B0"/>
    <w:rsid w:val="00BF7056"/>
    <w:rsid w:val="00C103A3"/>
    <w:rsid w:val="00C16A9C"/>
    <w:rsid w:val="00C205A3"/>
    <w:rsid w:val="00C233BC"/>
    <w:rsid w:val="00C26782"/>
    <w:rsid w:val="00C31311"/>
    <w:rsid w:val="00C343C9"/>
    <w:rsid w:val="00C345B2"/>
    <w:rsid w:val="00C35BE6"/>
    <w:rsid w:val="00C37AAE"/>
    <w:rsid w:val="00C45AAF"/>
    <w:rsid w:val="00C54928"/>
    <w:rsid w:val="00C561E1"/>
    <w:rsid w:val="00C57955"/>
    <w:rsid w:val="00C64527"/>
    <w:rsid w:val="00C86D02"/>
    <w:rsid w:val="00C96CBE"/>
    <w:rsid w:val="00CA6318"/>
    <w:rsid w:val="00CB2838"/>
    <w:rsid w:val="00CD3739"/>
    <w:rsid w:val="00CD4BB5"/>
    <w:rsid w:val="00CD5861"/>
    <w:rsid w:val="00CD6C0D"/>
    <w:rsid w:val="00CE1849"/>
    <w:rsid w:val="00CE2A75"/>
    <w:rsid w:val="00CE371C"/>
    <w:rsid w:val="00CF2954"/>
    <w:rsid w:val="00CF6ADB"/>
    <w:rsid w:val="00D01CEE"/>
    <w:rsid w:val="00D03EA5"/>
    <w:rsid w:val="00D068E0"/>
    <w:rsid w:val="00D16845"/>
    <w:rsid w:val="00D20679"/>
    <w:rsid w:val="00D25675"/>
    <w:rsid w:val="00D303A2"/>
    <w:rsid w:val="00D43C68"/>
    <w:rsid w:val="00D7103C"/>
    <w:rsid w:val="00D73C6B"/>
    <w:rsid w:val="00D81FB6"/>
    <w:rsid w:val="00D82305"/>
    <w:rsid w:val="00D84C91"/>
    <w:rsid w:val="00D94967"/>
    <w:rsid w:val="00D96FE4"/>
    <w:rsid w:val="00DA57F0"/>
    <w:rsid w:val="00DA5992"/>
    <w:rsid w:val="00DB11A9"/>
    <w:rsid w:val="00DC6023"/>
    <w:rsid w:val="00DD1E4F"/>
    <w:rsid w:val="00DD581D"/>
    <w:rsid w:val="00DE0022"/>
    <w:rsid w:val="00DE101B"/>
    <w:rsid w:val="00DE6460"/>
    <w:rsid w:val="00DF36D8"/>
    <w:rsid w:val="00E02BEB"/>
    <w:rsid w:val="00E077CA"/>
    <w:rsid w:val="00E2225A"/>
    <w:rsid w:val="00E322CF"/>
    <w:rsid w:val="00E3727C"/>
    <w:rsid w:val="00E418C7"/>
    <w:rsid w:val="00E44D95"/>
    <w:rsid w:val="00E45254"/>
    <w:rsid w:val="00E5186F"/>
    <w:rsid w:val="00E57693"/>
    <w:rsid w:val="00E64D6E"/>
    <w:rsid w:val="00E65D8E"/>
    <w:rsid w:val="00E73D07"/>
    <w:rsid w:val="00E8528F"/>
    <w:rsid w:val="00E86491"/>
    <w:rsid w:val="00E87194"/>
    <w:rsid w:val="00E92D10"/>
    <w:rsid w:val="00E966F7"/>
    <w:rsid w:val="00EA0465"/>
    <w:rsid w:val="00EA0A7D"/>
    <w:rsid w:val="00EA2851"/>
    <w:rsid w:val="00EC7A46"/>
    <w:rsid w:val="00ED2182"/>
    <w:rsid w:val="00ED2B22"/>
    <w:rsid w:val="00EE1743"/>
    <w:rsid w:val="00EF0388"/>
    <w:rsid w:val="00EF050F"/>
    <w:rsid w:val="00EF12FB"/>
    <w:rsid w:val="00EF1508"/>
    <w:rsid w:val="00EF5275"/>
    <w:rsid w:val="00F071AB"/>
    <w:rsid w:val="00F0768D"/>
    <w:rsid w:val="00F13499"/>
    <w:rsid w:val="00F178EA"/>
    <w:rsid w:val="00F25732"/>
    <w:rsid w:val="00F304D6"/>
    <w:rsid w:val="00F31B46"/>
    <w:rsid w:val="00F323EE"/>
    <w:rsid w:val="00F40823"/>
    <w:rsid w:val="00F43AFE"/>
    <w:rsid w:val="00F55E61"/>
    <w:rsid w:val="00F71DDE"/>
    <w:rsid w:val="00F7434E"/>
    <w:rsid w:val="00F84CAF"/>
    <w:rsid w:val="00F85065"/>
    <w:rsid w:val="00F85BA0"/>
    <w:rsid w:val="00F8766A"/>
    <w:rsid w:val="00F90286"/>
    <w:rsid w:val="00F95630"/>
    <w:rsid w:val="00FA036E"/>
    <w:rsid w:val="00FA18CE"/>
    <w:rsid w:val="00FA28DB"/>
    <w:rsid w:val="00FA295C"/>
    <w:rsid w:val="00FB0A50"/>
    <w:rsid w:val="00FB10D4"/>
    <w:rsid w:val="00FB23A8"/>
    <w:rsid w:val="00FB33C5"/>
    <w:rsid w:val="00FC1A44"/>
    <w:rsid w:val="00FC43C3"/>
    <w:rsid w:val="00FC5B4B"/>
    <w:rsid w:val="00FD0B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BE793"/>
  <w15:chartTrackingRefBased/>
  <w15:docId w15:val="{869CF966-4317-41C6-9AF3-5E447E608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7A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7A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7A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7A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7A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7A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7A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7A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7A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7A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7A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7A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7A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7A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7A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7A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7A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7AAE"/>
    <w:rPr>
      <w:rFonts w:eastAsiaTheme="majorEastAsia" w:cstheme="majorBidi"/>
      <w:color w:val="272727" w:themeColor="text1" w:themeTint="D8"/>
    </w:rPr>
  </w:style>
  <w:style w:type="paragraph" w:styleId="Title">
    <w:name w:val="Title"/>
    <w:basedOn w:val="Normal"/>
    <w:next w:val="Normal"/>
    <w:link w:val="TitleChar"/>
    <w:uiPriority w:val="10"/>
    <w:qFormat/>
    <w:rsid w:val="00C37A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7A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7A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7A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7AAE"/>
    <w:pPr>
      <w:spacing w:before="160"/>
      <w:jc w:val="center"/>
    </w:pPr>
    <w:rPr>
      <w:i/>
      <w:iCs/>
      <w:color w:val="404040" w:themeColor="text1" w:themeTint="BF"/>
    </w:rPr>
  </w:style>
  <w:style w:type="character" w:customStyle="1" w:styleId="QuoteChar">
    <w:name w:val="Quote Char"/>
    <w:basedOn w:val="DefaultParagraphFont"/>
    <w:link w:val="Quote"/>
    <w:uiPriority w:val="29"/>
    <w:rsid w:val="00C37AAE"/>
    <w:rPr>
      <w:i/>
      <w:iCs/>
      <w:color w:val="404040" w:themeColor="text1" w:themeTint="BF"/>
    </w:rPr>
  </w:style>
  <w:style w:type="paragraph" w:styleId="ListParagraph">
    <w:name w:val="List Paragraph"/>
    <w:basedOn w:val="Normal"/>
    <w:uiPriority w:val="34"/>
    <w:qFormat/>
    <w:rsid w:val="00C37AAE"/>
    <w:pPr>
      <w:ind w:left="720"/>
      <w:contextualSpacing/>
    </w:pPr>
  </w:style>
  <w:style w:type="character" w:styleId="IntenseEmphasis">
    <w:name w:val="Intense Emphasis"/>
    <w:basedOn w:val="DefaultParagraphFont"/>
    <w:uiPriority w:val="21"/>
    <w:qFormat/>
    <w:rsid w:val="00C37AAE"/>
    <w:rPr>
      <w:i/>
      <w:iCs/>
      <w:color w:val="0F4761" w:themeColor="accent1" w:themeShade="BF"/>
    </w:rPr>
  </w:style>
  <w:style w:type="paragraph" w:styleId="IntenseQuote">
    <w:name w:val="Intense Quote"/>
    <w:basedOn w:val="Normal"/>
    <w:next w:val="Normal"/>
    <w:link w:val="IntenseQuoteChar"/>
    <w:uiPriority w:val="30"/>
    <w:qFormat/>
    <w:rsid w:val="00C37A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7AAE"/>
    <w:rPr>
      <w:i/>
      <w:iCs/>
      <w:color w:val="0F4761" w:themeColor="accent1" w:themeShade="BF"/>
    </w:rPr>
  </w:style>
  <w:style w:type="character" w:styleId="IntenseReference">
    <w:name w:val="Intense Reference"/>
    <w:basedOn w:val="DefaultParagraphFont"/>
    <w:uiPriority w:val="32"/>
    <w:qFormat/>
    <w:rsid w:val="00C37AAE"/>
    <w:rPr>
      <w:b/>
      <w:bCs/>
      <w:smallCaps/>
      <w:color w:val="0F4761" w:themeColor="accent1" w:themeShade="BF"/>
      <w:spacing w:val="5"/>
    </w:rPr>
  </w:style>
  <w:style w:type="character" w:styleId="Hyperlink">
    <w:name w:val="Hyperlink"/>
    <w:basedOn w:val="DefaultParagraphFont"/>
    <w:uiPriority w:val="99"/>
    <w:unhideWhenUsed/>
    <w:rsid w:val="00CE371C"/>
    <w:rPr>
      <w:color w:val="467886" w:themeColor="hyperlink"/>
      <w:u w:val="single"/>
    </w:rPr>
  </w:style>
  <w:style w:type="character" w:styleId="FootnoteReference">
    <w:name w:val="footnote reference"/>
    <w:basedOn w:val="DefaultParagraphFont"/>
    <w:uiPriority w:val="99"/>
    <w:unhideWhenUsed/>
    <w:rsid w:val="00CE371C"/>
    <w:rPr>
      <w:vertAlign w:val="superscript"/>
    </w:rPr>
  </w:style>
  <w:style w:type="paragraph" w:styleId="Header">
    <w:name w:val="header"/>
    <w:basedOn w:val="Normal"/>
    <w:link w:val="HeaderChar"/>
    <w:uiPriority w:val="99"/>
    <w:unhideWhenUsed/>
    <w:rsid w:val="003A09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0985"/>
  </w:style>
  <w:style w:type="paragraph" w:styleId="Footer">
    <w:name w:val="footer"/>
    <w:basedOn w:val="Normal"/>
    <w:link w:val="FooterChar"/>
    <w:uiPriority w:val="99"/>
    <w:unhideWhenUsed/>
    <w:rsid w:val="003A09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0985"/>
  </w:style>
  <w:style w:type="paragraph" w:styleId="FootnoteText">
    <w:name w:val="footnote text"/>
    <w:basedOn w:val="Normal"/>
    <w:link w:val="FootnoteTextChar"/>
    <w:uiPriority w:val="99"/>
    <w:semiHidden/>
    <w:unhideWhenUsed/>
    <w:rsid w:val="00285C8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85C80"/>
    <w:rPr>
      <w:sz w:val="20"/>
      <w:szCs w:val="20"/>
    </w:rPr>
  </w:style>
  <w:style w:type="character" w:styleId="PlaceholderText">
    <w:name w:val="Placeholder Text"/>
    <w:basedOn w:val="DefaultParagraphFont"/>
    <w:uiPriority w:val="99"/>
    <w:semiHidden/>
    <w:rsid w:val="00CD4BB5"/>
    <w:rPr>
      <w:color w:val="666666"/>
    </w:rPr>
  </w:style>
  <w:style w:type="character" w:styleId="CommentReference">
    <w:name w:val="annotation reference"/>
    <w:basedOn w:val="DefaultParagraphFont"/>
    <w:uiPriority w:val="99"/>
    <w:semiHidden/>
    <w:unhideWhenUsed/>
    <w:rsid w:val="007C0C55"/>
    <w:rPr>
      <w:sz w:val="16"/>
      <w:szCs w:val="16"/>
    </w:rPr>
  </w:style>
  <w:style w:type="paragraph" w:styleId="CommentText">
    <w:name w:val="annotation text"/>
    <w:basedOn w:val="Normal"/>
    <w:link w:val="CommentTextChar"/>
    <w:uiPriority w:val="99"/>
    <w:unhideWhenUsed/>
    <w:rsid w:val="007C0C55"/>
    <w:pPr>
      <w:spacing w:line="240" w:lineRule="auto"/>
    </w:pPr>
    <w:rPr>
      <w:sz w:val="20"/>
      <w:szCs w:val="20"/>
    </w:rPr>
  </w:style>
  <w:style w:type="character" w:customStyle="1" w:styleId="CommentTextChar">
    <w:name w:val="Comment Text Char"/>
    <w:basedOn w:val="DefaultParagraphFont"/>
    <w:link w:val="CommentText"/>
    <w:uiPriority w:val="99"/>
    <w:rsid w:val="007C0C55"/>
    <w:rPr>
      <w:sz w:val="20"/>
      <w:szCs w:val="20"/>
    </w:rPr>
  </w:style>
  <w:style w:type="paragraph" w:styleId="CommentSubject">
    <w:name w:val="annotation subject"/>
    <w:basedOn w:val="CommentText"/>
    <w:next w:val="CommentText"/>
    <w:link w:val="CommentSubjectChar"/>
    <w:uiPriority w:val="99"/>
    <w:semiHidden/>
    <w:unhideWhenUsed/>
    <w:rsid w:val="007C0C55"/>
    <w:rPr>
      <w:b/>
      <w:bCs/>
    </w:rPr>
  </w:style>
  <w:style w:type="character" w:customStyle="1" w:styleId="CommentSubjectChar">
    <w:name w:val="Comment Subject Char"/>
    <w:basedOn w:val="CommentTextChar"/>
    <w:link w:val="CommentSubject"/>
    <w:uiPriority w:val="99"/>
    <w:semiHidden/>
    <w:rsid w:val="007C0C55"/>
    <w:rPr>
      <w:b/>
      <w:bCs/>
      <w:sz w:val="20"/>
      <w:szCs w:val="20"/>
    </w:rPr>
  </w:style>
  <w:style w:type="character" w:styleId="UnresolvedMention">
    <w:name w:val="Unresolved Mention"/>
    <w:basedOn w:val="DefaultParagraphFont"/>
    <w:uiPriority w:val="99"/>
    <w:semiHidden/>
    <w:unhideWhenUsed/>
    <w:rsid w:val="00B54720"/>
    <w:rPr>
      <w:color w:val="605E5C"/>
      <w:shd w:val="clear" w:color="auto" w:fill="E1DFDD"/>
    </w:rPr>
  </w:style>
  <w:style w:type="character" w:styleId="FollowedHyperlink">
    <w:name w:val="FollowedHyperlink"/>
    <w:basedOn w:val="DefaultParagraphFont"/>
    <w:uiPriority w:val="99"/>
    <w:semiHidden/>
    <w:unhideWhenUsed/>
    <w:rsid w:val="006027F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91237">
      <w:bodyDiv w:val="1"/>
      <w:marLeft w:val="0"/>
      <w:marRight w:val="0"/>
      <w:marTop w:val="0"/>
      <w:marBottom w:val="0"/>
      <w:divBdr>
        <w:top w:val="none" w:sz="0" w:space="0" w:color="auto"/>
        <w:left w:val="none" w:sz="0" w:space="0" w:color="auto"/>
        <w:bottom w:val="none" w:sz="0" w:space="0" w:color="auto"/>
        <w:right w:val="none" w:sz="0" w:space="0" w:color="auto"/>
      </w:divBdr>
    </w:div>
    <w:div w:id="23096186">
      <w:bodyDiv w:val="1"/>
      <w:marLeft w:val="0"/>
      <w:marRight w:val="0"/>
      <w:marTop w:val="0"/>
      <w:marBottom w:val="0"/>
      <w:divBdr>
        <w:top w:val="none" w:sz="0" w:space="0" w:color="auto"/>
        <w:left w:val="none" w:sz="0" w:space="0" w:color="auto"/>
        <w:bottom w:val="none" w:sz="0" w:space="0" w:color="auto"/>
        <w:right w:val="none" w:sz="0" w:space="0" w:color="auto"/>
      </w:divBdr>
    </w:div>
    <w:div w:id="40176310">
      <w:bodyDiv w:val="1"/>
      <w:marLeft w:val="0"/>
      <w:marRight w:val="0"/>
      <w:marTop w:val="0"/>
      <w:marBottom w:val="0"/>
      <w:divBdr>
        <w:top w:val="none" w:sz="0" w:space="0" w:color="auto"/>
        <w:left w:val="none" w:sz="0" w:space="0" w:color="auto"/>
        <w:bottom w:val="none" w:sz="0" w:space="0" w:color="auto"/>
        <w:right w:val="none" w:sz="0" w:space="0" w:color="auto"/>
      </w:divBdr>
    </w:div>
    <w:div w:id="358093104">
      <w:bodyDiv w:val="1"/>
      <w:marLeft w:val="0"/>
      <w:marRight w:val="0"/>
      <w:marTop w:val="0"/>
      <w:marBottom w:val="0"/>
      <w:divBdr>
        <w:top w:val="none" w:sz="0" w:space="0" w:color="auto"/>
        <w:left w:val="none" w:sz="0" w:space="0" w:color="auto"/>
        <w:bottom w:val="none" w:sz="0" w:space="0" w:color="auto"/>
        <w:right w:val="none" w:sz="0" w:space="0" w:color="auto"/>
      </w:divBdr>
    </w:div>
    <w:div w:id="422648689">
      <w:bodyDiv w:val="1"/>
      <w:marLeft w:val="0"/>
      <w:marRight w:val="0"/>
      <w:marTop w:val="0"/>
      <w:marBottom w:val="0"/>
      <w:divBdr>
        <w:top w:val="none" w:sz="0" w:space="0" w:color="auto"/>
        <w:left w:val="none" w:sz="0" w:space="0" w:color="auto"/>
        <w:bottom w:val="none" w:sz="0" w:space="0" w:color="auto"/>
        <w:right w:val="none" w:sz="0" w:space="0" w:color="auto"/>
      </w:divBdr>
    </w:div>
    <w:div w:id="468517705">
      <w:bodyDiv w:val="1"/>
      <w:marLeft w:val="0"/>
      <w:marRight w:val="0"/>
      <w:marTop w:val="0"/>
      <w:marBottom w:val="0"/>
      <w:divBdr>
        <w:top w:val="none" w:sz="0" w:space="0" w:color="auto"/>
        <w:left w:val="none" w:sz="0" w:space="0" w:color="auto"/>
        <w:bottom w:val="none" w:sz="0" w:space="0" w:color="auto"/>
        <w:right w:val="none" w:sz="0" w:space="0" w:color="auto"/>
      </w:divBdr>
      <w:divsChild>
        <w:div w:id="1054935301">
          <w:marLeft w:val="0"/>
          <w:marRight w:val="0"/>
          <w:marTop w:val="0"/>
          <w:marBottom w:val="0"/>
          <w:divBdr>
            <w:top w:val="none" w:sz="0" w:space="0" w:color="auto"/>
            <w:left w:val="none" w:sz="0" w:space="0" w:color="auto"/>
            <w:bottom w:val="none" w:sz="0" w:space="0" w:color="auto"/>
            <w:right w:val="none" w:sz="0" w:space="0" w:color="auto"/>
          </w:divBdr>
        </w:div>
      </w:divsChild>
    </w:div>
    <w:div w:id="507721928">
      <w:bodyDiv w:val="1"/>
      <w:marLeft w:val="0"/>
      <w:marRight w:val="0"/>
      <w:marTop w:val="0"/>
      <w:marBottom w:val="0"/>
      <w:divBdr>
        <w:top w:val="none" w:sz="0" w:space="0" w:color="auto"/>
        <w:left w:val="none" w:sz="0" w:space="0" w:color="auto"/>
        <w:bottom w:val="none" w:sz="0" w:space="0" w:color="auto"/>
        <w:right w:val="none" w:sz="0" w:space="0" w:color="auto"/>
      </w:divBdr>
    </w:div>
    <w:div w:id="517932457">
      <w:bodyDiv w:val="1"/>
      <w:marLeft w:val="0"/>
      <w:marRight w:val="0"/>
      <w:marTop w:val="0"/>
      <w:marBottom w:val="0"/>
      <w:divBdr>
        <w:top w:val="none" w:sz="0" w:space="0" w:color="auto"/>
        <w:left w:val="none" w:sz="0" w:space="0" w:color="auto"/>
        <w:bottom w:val="none" w:sz="0" w:space="0" w:color="auto"/>
        <w:right w:val="none" w:sz="0" w:space="0" w:color="auto"/>
      </w:divBdr>
    </w:div>
    <w:div w:id="546991578">
      <w:bodyDiv w:val="1"/>
      <w:marLeft w:val="0"/>
      <w:marRight w:val="0"/>
      <w:marTop w:val="0"/>
      <w:marBottom w:val="0"/>
      <w:divBdr>
        <w:top w:val="none" w:sz="0" w:space="0" w:color="auto"/>
        <w:left w:val="none" w:sz="0" w:space="0" w:color="auto"/>
        <w:bottom w:val="none" w:sz="0" w:space="0" w:color="auto"/>
        <w:right w:val="none" w:sz="0" w:space="0" w:color="auto"/>
      </w:divBdr>
    </w:div>
    <w:div w:id="572160569">
      <w:bodyDiv w:val="1"/>
      <w:marLeft w:val="0"/>
      <w:marRight w:val="0"/>
      <w:marTop w:val="0"/>
      <w:marBottom w:val="0"/>
      <w:divBdr>
        <w:top w:val="none" w:sz="0" w:space="0" w:color="auto"/>
        <w:left w:val="none" w:sz="0" w:space="0" w:color="auto"/>
        <w:bottom w:val="none" w:sz="0" w:space="0" w:color="auto"/>
        <w:right w:val="none" w:sz="0" w:space="0" w:color="auto"/>
      </w:divBdr>
    </w:div>
    <w:div w:id="665674511">
      <w:bodyDiv w:val="1"/>
      <w:marLeft w:val="0"/>
      <w:marRight w:val="0"/>
      <w:marTop w:val="0"/>
      <w:marBottom w:val="0"/>
      <w:divBdr>
        <w:top w:val="none" w:sz="0" w:space="0" w:color="auto"/>
        <w:left w:val="none" w:sz="0" w:space="0" w:color="auto"/>
        <w:bottom w:val="none" w:sz="0" w:space="0" w:color="auto"/>
        <w:right w:val="none" w:sz="0" w:space="0" w:color="auto"/>
      </w:divBdr>
    </w:div>
    <w:div w:id="689452352">
      <w:bodyDiv w:val="1"/>
      <w:marLeft w:val="0"/>
      <w:marRight w:val="0"/>
      <w:marTop w:val="0"/>
      <w:marBottom w:val="0"/>
      <w:divBdr>
        <w:top w:val="none" w:sz="0" w:space="0" w:color="auto"/>
        <w:left w:val="none" w:sz="0" w:space="0" w:color="auto"/>
        <w:bottom w:val="none" w:sz="0" w:space="0" w:color="auto"/>
        <w:right w:val="none" w:sz="0" w:space="0" w:color="auto"/>
      </w:divBdr>
    </w:div>
    <w:div w:id="728386019">
      <w:bodyDiv w:val="1"/>
      <w:marLeft w:val="0"/>
      <w:marRight w:val="0"/>
      <w:marTop w:val="0"/>
      <w:marBottom w:val="0"/>
      <w:divBdr>
        <w:top w:val="none" w:sz="0" w:space="0" w:color="auto"/>
        <w:left w:val="none" w:sz="0" w:space="0" w:color="auto"/>
        <w:bottom w:val="none" w:sz="0" w:space="0" w:color="auto"/>
        <w:right w:val="none" w:sz="0" w:space="0" w:color="auto"/>
      </w:divBdr>
    </w:div>
    <w:div w:id="737900845">
      <w:bodyDiv w:val="1"/>
      <w:marLeft w:val="0"/>
      <w:marRight w:val="0"/>
      <w:marTop w:val="0"/>
      <w:marBottom w:val="0"/>
      <w:divBdr>
        <w:top w:val="none" w:sz="0" w:space="0" w:color="auto"/>
        <w:left w:val="none" w:sz="0" w:space="0" w:color="auto"/>
        <w:bottom w:val="none" w:sz="0" w:space="0" w:color="auto"/>
        <w:right w:val="none" w:sz="0" w:space="0" w:color="auto"/>
      </w:divBdr>
    </w:div>
    <w:div w:id="847524951">
      <w:bodyDiv w:val="1"/>
      <w:marLeft w:val="0"/>
      <w:marRight w:val="0"/>
      <w:marTop w:val="0"/>
      <w:marBottom w:val="0"/>
      <w:divBdr>
        <w:top w:val="none" w:sz="0" w:space="0" w:color="auto"/>
        <w:left w:val="none" w:sz="0" w:space="0" w:color="auto"/>
        <w:bottom w:val="none" w:sz="0" w:space="0" w:color="auto"/>
        <w:right w:val="none" w:sz="0" w:space="0" w:color="auto"/>
      </w:divBdr>
    </w:div>
    <w:div w:id="863443504">
      <w:bodyDiv w:val="1"/>
      <w:marLeft w:val="0"/>
      <w:marRight w:val="0"/>
      <w:marTop w:val="0"/>
      <w:marBottom w:val="0"/>
      <w:divBdr>
        <w:top w:val="none" w:sz="0" w:space="0" w:color="auto"/>
        <w:left w:val="none" w:sz="0" w:space="0" w:color="auto"/>
        <w:bottom w:val="none" w:sz="0" w:space="0" w:color="auto"/>
        <w:right w:val="none" w:sz="0" w:space="0" w:color="auto"/>
      </w:divBdr>
    </w:div>
    <w:div w:id="957761411">
      <w:bodyDiv w:val="1"/>
      <w:marLeft w:val="0"/>
      <w:marRight w:val="0"/>
      <w:marTop w:val="0"/>
      <w:marBottom w:val="0"/>
      <w:divBdr>
        <w:top w:val="none" w:sz="0" w:space="0" w:color="auto"/>
        <w:left w:val="none" w:sz="0" w:space="0" w:color="auto"/>
        <w:bottom w:val="none" w:sz="0" w:space="0" w:color="auto"/>
        <w:right w:val="none" w:sz="0" w:space="0" w:color="auto"/>
      </w:divBdr>
    </w:div>
    <w:div w:id="987172981">
      <w:bodyDiv w:val="1"/>
      <w:marLeft w:val="0"/>
      <w:marRight w:val="0"/>
      <w:marTop w:val="0"/>
      <w:marBottom w:val="0"/>
      <w:divBdr>
        <w:top w:val="none" w:sz="0" w:space="0" w:color="auto"/>
        <w:left w:val="none" w:sz="0" w:space="0" w:color="auto"/>
        <w:bottom w:val="none" w:sz="0" w:space="0" w:color="auto"/>
        <w:right w:val="none" w:sz="0" w:space="0" w:color="auto"/>
      </w:divBdr>
    </w:div>
    <w:div w:id="1009335723">
      <w:bodyDiv w:val="1"/>
      <w:marLeft w:val="0"/>
      <w:marRight w:val="0"/>
      <w:marTop w:val="0"/>
      <w:marBottom w:val="0"/>
      <w:divBdr>
        <w:top w:val="none" w:sz="0" w:space="0" w:color="auto"/>
        <w:left w:val="none" w:sz="0" w:space="0" w:color="auto"/>
        <w:bottom w:val="none" w:sz="0" w:space="0" w:color="auto"/>
        <w:right w:val="none" w:sz="0" w:space="0" w:color="auto"/>
      </w:divBdr>
    </w:div>
    <w:div w:id="1053431373">
      <w:bodyDiv w:val="1"/>
      <w:marLeft w:val="0"/>
      <w:marRight w:val="0"/>
      <w:marTop w:val="0"/>
      <w:marBottom w:val="0"/>
      <w:divBdr>
        <w:top w:val="none" w:sz="0" w:space="0" w:color="auto"/>
        <w:left w:val="none" w:sz="0" w:space="0" w:color="auto"/>
        <w:bottom w:val="none" w:sz="0" w:space="0" w:color="auto"/>
        <w:right w:val="none" w:sz="0" w:space="0" w:color="auto"/>
      </w:divBdr>
    </w:div>
    <w:div w:id="1155804333">
      <w:bodyDiv w:val="1"/>
      <w:marLeft w:val="0"/>
      <w:marRight w:val="0"/>
      <w:marTop w:val="0"/>
      <w:marBottom w:val="0"/>
      <w:divBdr>
        <w:top w:val="none" w:sz="0" w:space="0" w:color="auto"/>
        <w:left w:val="none" w:sz="0" w:space="0" w:color="auto"/>
        <w:bottom w:val="none" w:sz="0" w:space="0" w:color="auto"/>
        <w:right w:val="none" w:sz="0" w:space="0" w:color="auto"/>
      </w:divBdr>
    </w:div>
    <w:div w:id="1229611070">
      <w:bodyDiv w:val="1"/>
      <w:marLeft w:val="0"/>
      <w:marRight w:val="0"/>
      <w:marTop w:val="0"/>
      <w:marBottom w:val="0"/>
      <w:divBdr>
        <w:top w:val="none" w:sz="0" w:space="0" w:color="auto"/>
        <w:left w:val="none" w:sz="0" w:space="0" w:color="auto"/>
        <w:bottom w:val="none" w:sz="0" w:space="0" w:color="auto"/>
        <w:right w:val="none" w:sz="0" w:space="0" w:color="auto"/>
      </w:divBdr>
      <w:divsChild>
        <w:div w:id="294067388">
          <w:marLeft w:val="0"/>
          <w:marRight w:val="0"/>
          <w:marTop w:val="0"/>
          <w:marBottom w:val="0"/>
          <w:divBdr>
            <w:top w:val="none" w:sz="0" w:space="0" w:color="auto"/>
            <w:left w:val="none" w:sz="0" w:space="0" w:color="auto"/>
            <w:bottom w:val="none" w:sz="0" w:space="0" w:color="auto"/>
            <w:right w:val="none" w:sz="0" w:space="0" w:color="auto"/>
          </w:divBdr>
          <w:divsChild>
            <w:div w:id="2066876470">
              <w:marLeft w:val="0"/>
              <w:marRight w:val="0"/>
              <w:marTop w:val="0"/>
              <w:marBottom w:val="0"/>
              <w:divBdr>
                <w:top w:val="none" w:sz="0" w:space="0" w:color="auto"/>
                <w:left w:val="none" w:sz="0" w:space="0" w:color="auto"/>
                <w:bottom w:val="none" w:sz="0" w:space="0" w:color="auto"/>
                <w:right w:val="none" w:sz="0" w:space="0" w:color="auto"/>
              </w:divBdr>
            </w:div>
          </w:divsChild>
        </w:div>
        <w:div w:id="1798915282">
          <w:marLeft w:val="0"/>
          <w:marRight w:val="0"/>
          <w:marTop w:val="0"/>
          <w:marBottom w:val="0"/>
          <w:divBdr>
            <w:top w:val="none" w:sz="0" w:space="0" w:color="auto"/>
            <w:left w:val="none" w:sz="0" w:space="0" w:color="auto"/>
            <w:bottom w:val="none" w:sz="0" w:space="0" w:color="auto"/>
            <w:right w:val="none" w:sz="0" w:space="0" w:color="auto"/>
          </w:divBdr>
        </w:div>
      </w:divsChild>
    </w:div>
    <w:div w:id="1229995683">
      <w:bodyDiv w:val="1"/>
      <w:marLeft w:val="0"/>
      <w:marRight w:val="0"/>
      <w:marTop w:val="0"/>
      <w:marBottom w:val="0"/>
      <w:divBdr>
        <w:top w:val="none" w:sz="0" w:space="0" w:color="auto"/>
        <w:left w:val="none" w:sz="0" w:space="0" w:color="auto"/>
        <w:bottom w:val="none" w:sz="0" w:space="0" w:color="auto"/>
        <w:right w:val="none" w:sz="0" w:space="0" w:color="auto"/>
      </w:divBdr>
      <w:divsChild>
        <w:div w:id="1530987449">
          <w:marLeft w:val="0"/>
          <w:marRight w:val="0"/>
          <w:marTop w:val="0"/>
          <w:marBottom w:val="0"/>
          <w:divBdr>
            <w:top w:val="none" w:sz="0" w:space="0" w:color="auto"/>
            <w:left w:val="none" w:sz="0" w:space="0" w:color="auto"/>
            <w:bottom w:val="none" w:sz="0" w:space="0" w:color="auto"/>
            <w:right w:val="none" w:sz="0" w:space="0" w:color="auto"/>
          </w:divBdr>
          <w:divsChild>
            <w:div w:id="1842118300">
              <w:marLeft w:val="0"/>
              <w:marRight w:val="0"/>
              <w:marTop w:val="0"/>
              <w:marBottom w:val="0"/>
              <w:divBdr>
                <w:top w:val="none" w:sz="0" w:space="0" w:color="auto"/>
                <w:left w:val="none" w:sz="0" w:space="0" w:color="auto"/>
                <w:bottom w:val="none" w:sz="0" w:space="0" w:color="auto"/>
                <w:right w:val="none" w:sz="0" w:space="0" w:color="auto"/>
              </w:divBdr>
            </w:div>
          </w:divsChild>
        </w:div>
        <w:div w:id="1635598993">
          <w:marLeft w:val="0"/>
          <w:marRight w:val="0"/>
          <w:marTop w:val="0"/>
          <w:marBottom w:val="0"/>
          <w:divBdr>
            <w:top w:val="none" w:sz="0" w:space="0" w:color="auto"/>
            <w:left w:val="none" w:sz="0" w:space="0" w:color="auto"/>
            <w:bottom w:val="none" w:sz="0" w:space="0" w:color="auto"/>
            <w:right w:val="none" w:sz="0" w:space="0" w:color="auto"/>
          </w:divBdr>
        </w:div>
      </w:divsChild>
    </w:div>
    <w:div w:id="1232352389">
      <w:bodyDiv w:val="1"/>
      <w:marLeft w:val="0"/>
      <w:marRight w:val="0"/>
      <w:marTop w:val="0"/>
      <w:marBottom w:val="0"/>
      <w:divBdr>
        <w:top w:val="none" w:sz="0" w:space="0" w:color="auto"/>
        <w:left w:val="none" w:sz="0" w:space="0" w:color="auto"/>
        <w:bottom w:val="none" w:sz="0" w:space="0" w:color="auto"/>
        <w:right w:val="none" w:sz="0" w:space="0" w:color="auto"/>
      </w:divBdr>
    </w:div>
    <w:div w:id="1341666075">
      <w:bodyDiv w:val="1"/>
      <w:marLeft w:val="0"/>
      <w:marRight w:val="0"/>
      <w:marTop w:val="0"/>
      <w:marBottom w:val="0"/>
      <w:divBdr>
        <w:top w:val="none" w:sz="0" w:space="0" w:color="auto"/>
        <w:left w:val="none" w:sz="0" w:space="0" w:color="auto"/>
        <w:bottom w:val="none" w:sz="0" w:space="0" w:color="auto"/>
        <w:right w:val="none" w:sz="0" w:space="0" w:color="auto"/>
      </w:divBdr>
    </w:div>
    <w:div w:id="1476029308">
      <w:bodyDiv w:val="1"/>
      <w:marLeft w:val="0"/>
      <w:marRight w:val="0"/>
      <w:marTop w:val="0"/>
      <w:marBottom w:val="0"/>
      <w:divBdr>
        <w:top w:val="none" w:sz="0" w:space="0" w:color="auto"/>
        <w:left w:val="none" w:sz="0" w:space="0" w:color="auto"/>
        <w:bottom w:val="none" w:sz="0" w:space="0" w:color="auto"/>
        <w:right w:val="none" w:sz="0" w:space="0" w:color="auto"/>
      </w:divBdr>
    </w:div>
    <w:div w:id="1503662865">
      <w:bodyDiv w:val="1"/>
      <w:marLeft w:val="0"/>
      <w:marRight w:val="0"/>
      <w:marTop w:val="0"/>
      <w:marBottom w:val="0"/>
      <w:divBdr>
        <w:top w:val="none" w:sz="0" w:space="0" w:color="auto"/>
        <w:left w:val="none" w:sz="0" w:space="0" w:color="auto"/>
        <w:bottom w:val="none" w:sz="0" w:space="0" w:color="auto"/>
        <w:right w:val="none" w:sz="0" w:space="0" w:color="auto"/>
      </w:divBdr>
      <w:divsChild>
        <w:div w:id="672993197">
          <w:marLeft w:val="0"/>
          <w:marRight w:val="0"/>
          <w:marTop w:val="0"/>
          <w:marBottom w:val="0"/>
          <w:divBdr>
            <w:top w:val="none" w:sz="0" w:space="0" w:color="auto"/>
            <w:left w:val="none" w:sz="0" w:space="0" w:color="auto"/>
            <w:bottom w:val="none" w:sz="0" w:space="0" w:color="auto"/>
            <w:right w:val="none" w:sz="0" w:space="0" w:color="auto"/>
          </w:divBdr>
        </w:div>
      </w:divsChild>
    </w:div>
    <w:div w:id="1722905073">
      <w:bodyDiv w:val="1"/>
      <w:marLeft w:val="0"/>
      <w:marRight w:val="0"/>
      <w:marTop w:val="0"/>
      <w:marBottom w:val="0"/>
      <w:divBdr>
        <w:top w:val="none" w:sz="0" w:space="0" w:color="auto"/>
        <w:left w:val="none" w:sz="0" w:space="0" w:color="auto"/>
        <w:bottom w:val="none" w:sz="0" w:space="0" w:color="auto"/>
        <w:right w:val="none" w:sz="0" w:space="0" w:color="auto"/>
      </w:divBdr>
    </w:div>
    <w:div w:id="1791362813">
      <w:bodyDiv w:val="1"/>
      <w:marLeft w:val="0"/>
      <w:marRight w:val="0"/>
      <w:marTop w:val="0"/>
      <w:marBottom w:val="0"/>
      <w:divBdr>
        <w:top w:val="none" w:sz="0" w:space="0" w:color="auto"/>
        <w:left w:val="none" w:sz="0" w:space="0" w:color="auto"/>
        <w:bottom w:val="none" w:sz="0" w:space="0" w:color="auto"/>
        <w:right w:val="none" w:sz="0" w:space="0" w:color="auto"/>
      </w:divBdr>
    </w:div>
    <w:div w:id="203595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11/1475-5890.12404" TargetMode="External"/><Relationship Id="rId18" Type="http://schemas.openxmlformats.org/officeDocument/2006/relationships/hyperlink" Target="https://doi.org/10.3102/00346543074001059" TargetMode="External"/><Relationship Id="rId26" Type="http://schemas.openxmlformats.org/officeDocument/2006/relationships/hyperlink" Target="https://johnjerrim.com/school-absences-exclusions-and-criminal-sentences-amongst-high-achieving-children-from-disadvantaged-socio-economic-backgrounds/" TargetMode="External"/><Relationship Id="rId39" Type="http://schemas.openxmlformats.org/officeDocument/2006/relationships/hyperlink" Target="https://doi.org/10.1080/09620214.2023.2274612" TargetMode="External"/><Relationship Id="rId21" Type="http://schemas.openxmlformats.org/officeDocument/2006/relationships/hyperlink" Target="https://doi.org/10.1080/13603110050167998" TargetMode="External"/><Relationship Id="rId34" Type="http://schemas.openxmlformats.org/officeDocument/2006/relationships/hyperlink" Target="https://doi.org/10.1111/cdev.12704" TargetMode="External"/><Relationship Id="rId42" Type="http://schemas.openxmlformats.org/officeDocument/2006/relationships/hyperlink" Target="https://doi.org/10.1080/02671522.2013.767370" TargetMode="External"/><Relationship Id="rId47" Type="http://schemas.openxmlformats.org/officeDocument/2006/relationships/hyperlink" Target="https://doi.org/10.1080/01425692.2022.2026762" TargetMode="External"/><Relationship Id="rId50" Type="http://schemas.openxmlformats.org/officeDocument/2006/relationships/chart" Target="charts/chart2.xm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07/s11218-023-09882-z" TargetMode="External"/><Relationship Id="rId29" Type="http://schemas.openxmlformats.org/officeDocument/2006/relationships/hyperlink" Target="https://doi.org/10.1007/s10648-023-09733-5" TargetMode="External"/><Relationship Id="rId11" Type="http://schemas.openxmlformats.org/officeDocument/2006/relationships/hyperlink" Target="https://aura.abdn.ac.uk/handle/2164/12563" TargetMode="External"/><Relationship Id="rId24" Type="http://schemas.openxmlformats.org/officeDocument/2006/relationships/hyperlink" Target="https://publications.parliament.uk/pa/cm201415/cmselect/cmeduc/142/142.pdf" TargetMode="External"/><Relationship Id="rId32" Type="http://schemas.openxmlformats.org/officeDocument/2006/relationships/hyperlink" Target="https://doi.org/10.1080/10796126.2014.976185" TargetMode="External"/><Relationship Id="rId37" Type="http://schemas.openxmlformats.org/officeDocument/2006/relationships/hyperlink" Target="https://doi.org/10.1111/j.1467-8527.2006.00351.x" TargetMode="External"/><Relationship Id="rId40" Type="http://schemas.openxmlformats.org/officeDocument/2006/relationships/hyperlink" Target="https://repository.uel.ac.uk/item/8995q" TargetMode="External"/><Relationship Id="rId45" Type="http://schemas.openxmlformats.org/officeDocument/2006/relationships/hyperlink" Target="https://doi.org/10.1016/j.tics.2021.04.006" TargetMode="External"/><Relationship Id="rId53" Type="http://schemas.openxmlformats.org/officeDocument/2006/relationships/chart" Target="charts/chart5.xml"/><Relationship Id="rId5" Type="http://schemas.openxmlformats.org/officeDocument/2006/relationships/webSettings" Target="webSettings.xml"/><Relationship Id="rId10" Type="http://schemas.openxmlformats.org/officeDocument/2006/relationships/hyperlink" Target="https://doi.org/10.1177/1746197912440857" TargetMode="External"/><Relationship Id="rId19" Type="http://schemas.openxmlformats.org/officeDocument/2006/relationships/hyperlink" Target="https://doi.org/10.1037//0003-066x.56.3.218" TargetMode="External"/><Relationship Id="rId31" Type="http://schemas.openxmlformats.org/officeDocument/2006/relationships/hyperlink" Target="https://doi.org/10.1037/0033-2909.131.6.803" TargetMode="External"/><Relationship Id="rId44" Type="http://schemas.openxmlformats.org/officeDocument/2006/relationships/hyperlink" Target="https://doi.org/10.1177/14687968241240787" TargetMode="External"/><Relationship Id="rId52" Type="http://schemas.openxmlformats.org/officeDocument/2006/relationships/chart" Target="charts/chart4.xml"/><Relationship Id="rId4" Type="http://schemas.openxmlformats.org/officeDocument/2006/relationships/settings" Target="settings.xml"/><Relationship Id="rId9" Type="http://schemas.openxmlformats.org/officeDocument/2006/relationships/hyperlink" Target="https://doi.org/10.1080/13540602.2023.2201423" TargetMode="External"/><Relationship Id="rId14" Type="http://schemas.openxmlformats.org/officeDocument/2006/relationships/hyperlink" Target="https://doi.org/10.1080/03055698.2010.506341" TargetMode="External"/><Relationship Id="rId22" Type="http://schemas.openxmlformats.org/officeDocument/2006/relationships/hyperlink" Target="https://doi.org/10.1007/s10964-019-01072-5" TargetMode="External"/><Relationship Id="rId27" Type="http://schemas.openxmlformats.org/officeDocument/2006/relationships/hyperlink" Target="https://www.impactedgroup.uk/resources/report-mind-the-engagement-gap" TargetMode="External"/><Relationship Id="rId30" Type="http://schemas.openxmlformats.org/officeDocument/2006/relationships/hyperlink" Target="https://doi.org/10.1192/bjb.2020.78" TargetMode="External"/><Relationship Id="rId35" Type="http://schemas.openxmlformats.org/officeDocument/2006/relationships/hyperlink" Target="https://arxiv.org/abs/2211.06321" TargetMode="External"/><Relationship Id="rId43" Type="http://schemas.openxmlformats.org/officeDocument/2006/relationships/hyperlink" Target="https://assets.publishing.service.gov.uk/media/5a74bb8d40f0b619c8659fc3/RR439A-Ethnic_minorities_and_attainment_the_effects_of_poverty.pdf" TargetMode="External"/><Relationship Id="rId48" Type="http://schemas.openxmlformats.org/officeDocument/2006/relationships/image" Target="media/image1.png"/><Relationship Id="rId8" Type="http://schemas.openxmlformats.org/officeDocument/2006/relationships/footer" Target="footer1.xml"/><Relationship Id="rId51" Type="http://schemas.openxmlformats.org/officeDocument/2006/relationships/chart" Target="charts/chart3.xml"/><Relationship Id="rId3" Type="http://schemas.openxmlformats.org/officeDocument/2006/relationships/styles" Target="styles.xml"/><Relationship Id="rId12" Type="http://schemas.openxmlformats.org/officeDocument/2006/relationships/hyperlink" Target="https://doi.org/10.1080/14733285.2011.540440" TargetMode="External"/><Relationship Id="rId17" Type="http://schemas.openxmlformats.org/officeDocument/2006/relationships/hyperlink" Target="https://doi.org/10.1093/ooec/odad029" TargetMode="External"/><Relationship Id="rId25" Type="http://schemas.openxmlformats.org/officeDocument/2006/relationships/hyperlink" Target="https://committees.parliament.uk/work/237/left-behind-white-pupils-from-disadvantaged-backgrounds/publications/" TargetMode="External"/><Relationship Id="rId33" Type="http://schemas.openxmlformats.org/officeDocument/2006/relationships/hyperlink" Target="https://doi.org/10.1080/0954896042000267170" TargetMode="External"/><Relationship Id="rId38" Type="http://schemas.openxmlformats.org/officeDocument/2006/relationships/hyperlink" Target="https://discovery.ucl.ac.uk/id/eprint/10166367/" TargetMode="External"/><Relationship Id="rId46" Type="http://schemas.openxmlformats.org/officeDocument/2006/relationships/hyperlink" Target="https://doi.org/10.1111/cdev.12138" TargetMode="External"/><Relationship Id="rId20" Type="http://schemas.openxmlformats.org/officeDocument/2006/relationships/hyperlink" Target="https://publications.aston.ac.uk/id/eprint/17096/1/working_class_neighbourhoods_summary.pdf" TargetMode="External"/><Relationship Id="rId41" Type="http://schemas.openxmlformats.org/officeDocument/2006/relationships/hyperlink" Target="https://doi.org/10.4324/9781315774824"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1111/bjep.12541" TargetMode="External"/><Relationship Id="rId23" Type="http://schemas.openxmlformats.org/officeDocument/2006/relationships/hyperlink" Target="https://doi.org/10.7160/eriesj.2023.160308" TargetMode="External"/><Relationship Id="rId28" Type="http://schemas.openxmlformats.org/officeDocument/2006/relationships/hyperlink" Target="https://psycnet.apa.org/doi/10.1037/0022-3514.57.3.469" TargetMode="External"/><Relationship Id="rId36" Type="http://schemas.openxmlformats.org/officeDocument/2006/relationships/hyperlink" Target="https://doi.org/10.1080/0954025022000010695" TargetMode="External"/><Relationship Id="rId49" Type="http://schemas.openxmlformats.org/officeDocument/2006/relationships/chart" Target="charts/chart1.xml"/></Relationships>
</file>

<file path=word/_rels/footnotes.xml.rels><?xml version="1.0" encoding="UTF-8" standalone="yes"?>
<Relationships xmlns="http://schemas.openxmlformats.org/package/2006/relationships"><Relationship Id="rId1" Type="http://schemas.openxmlformats.org/officeDocument/2006/relationships/hyperlink" Target="mailto:j.jerrim@ucl.ac.uk"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johnjerrim\OneDrive%20-%20ImpactEd%20Group\Documents\Pupil_Engagement\White_Working_Class\White_Working_Clas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johnjerrim\OneDrive%20-%20ImpactEd%20Group\Documents\Pupil_Engagement\White_Working_Class\White_Working_Clas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johnjerrim\OneDrive%20-%20ImpactEd%20Group\Documents\Pupil_Engagement\White_Working_Class\White_Working_Clas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johnjerrim\OneDrive%20-%20ImpactEd%20Group\Documents\Pupil_Engagement\White_Working_Class\White_Working_Class.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johnjerrim\OneDrive%20-%20ImpactEd%20Group\Documents\Pupil_Engagement\White_Working_Class\White_Working_Class.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9098806469416046E-2"/>
          <c:y val="2.1732743200093618E-2"/>
          <c:w val="0.90715845615451918"/>
          <c:h val="0.91537063042278954"/>
        </c:manualLayout>
      </c:layout>
      <c:lineChart>
        <c:grouping val="standard"/>
        <c:varyColors val="0"/>
        <c:ser>
          <c:idx val="0"/>
          <c:order val="0"/>
          <c:tx>
            <c:strRef>
              <c:f>Y7_Drop_AGENCY_subset!$A$2</c:f>
              <c:strCache>
                <c:ptCount val="1"/>
                <c:pt idx="0">
                  <c:v>Asian. FSM.</c:v>
                </c:pt>
              </c:strCache>
            </c:strRef>
          </c:tx>
          <c:spPr>
            <a:ln w="28575" cap="rnd">
              <a:solidFill>
                <a:schemeClr val="tx1"/>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0-559C-415A-9E4C-6F953446FBDF}"/>
                </c:ext>
              </c:extLst>
            </c:dLbl>
            <c:dLbl>
              <c:idx val="1"/>
              <c:delete val="1"/>
              <c:extLst>
                <c:ext xmlns:c15="http://schemas.microsoft.com/office/drawing/2012/chart" uri="{CE6537A1-D6FC-4f65-9D91-7224C49458BB}"/>
                <c:ext xmlns:c16="http://schemas.microsoft.com/office/drawing/2014/chart" uri="{C3380CC4-5D6E-409C-BE32-E72D297353CC}">
                  <c16:uniqueId val="{00000001-559C-415A-9E4C-6F953446FBD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Y7_Drop_AGENCY_subset!$B$1:$D$1</c:f>
              <c:strCache>
                <c:ptCount val="3"/>
                <c:pt idx="0">
                  <c:v>Average November Year 7</c:v>
                </c:pt>
                <c:pt idx="1">
                  <c:v>Average March Year 7</c:v>
                </c:pt>
                <c:pt idx="2">
                  <c:v>Average June Year 7</c:v>
                </c:pt>
              </c:strCache>
            </c:strRef>
          </c:cat>
          <c:val>
            <c:numRef>
              <c:f>Y7_Drop_AGENCY_subset!$B$2:$D$2</c:f>
              <c:numCache>
                <c:formatCode>General</c:formatCode>
                <c:ptCount val="3"/>
                <c:pt idx="0">
                  <c:v>8.511683464050293</c:v>
                </c:pt>
                <c:pt idx="1">
                  <c:v>7.5780925750732422</c:v>
                </c:pt>
                <c:pt idx="2">
                  <c:v>7.9394402503967285</c:v>
                </c:pt>
              </c:numCache>
            </c:numRef>
          </c:val>
          <c:smooth val="0"/>
          <c:extLst>
            <c:ext xmlns:c16="http://schemas.microsoft.com/office/drawing/2014/chart" uri="{C3380CC4-5D6E-409C-BE32-E72D297353CC}">
              <c16:uniqueId val="{00000002-559C-415A-9E4C-6F953446FBDF}"/>
            </c:ext>
          </c:extLst>
        </c:ser>
        <c:ser>
          <c:idx val="1"/>
          <c:order val="1"/>
          <c:tx>
            <c:strRef>
              <c:f>Y7_Drop_AGENCY_subset!$A$3</c:f>
              <c:strCache>
                <c:ptCount val="1"/>
                <c:pt idx="0">
                  <c:v>Black. FSM.</c:v>
                </c:pt>
              </c:strCache>
            </c:strRef>
          </c:tx>
          <c:spPr>
            <a:ln w="28575" cap="rnd">
              <a:solidFill>
                <a:schemeClr val="tx1"/>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3-559C-415A-9E4C-6F953446FBDF}"/>
                </c:ext>
              </c:extLst>
            </c:dLbl>
            <c:dLbl>
              <c:idx val="1"/>
              <c:delete val="1"/>
              <c:extLst>
                <c:ext xmlns:c15="http://schemas.microsoft.com/office/drawing/2012/chart" uri="{CE6537A1-D6FC-4f65-9D91-7224C49458BB}"/>
                <c:ext xmlns:c16="http://schemas.microsoft.com/office/drawing/2014/chart" uri="{C3380CC4-5D6E-409C-BE32-E72D297353CC}">
                  <c16:uniqueId val="{00000004-559C-415A-9E4C-6F953446FBD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Y7_Drop_AGENCY_subset!$B$1:$D$1</c:f>
              <c:strCache>
                <c:ptCount val="3"/>
                <c:pt idx="0">
                  <c:v>Average November Year 7</c:v>
                </c:pt>
                <c:pt idx="1">
                  <c:v>Average March Year 7</c:v>
                </c:pt>
                <c:pt idx="2">
                  <c:v>Average June Year 7</c:v>
                </c:pt>
              </c:strCache>
            </c:strRef>
          </c:cat>
          <c:val>
            <c:numRef>
              <c:f>Y7_Drop_AGENCY_subset!$B$3:$D$3</c:f>
              <c:numCache>
                <c:formatCode>General</c:formatCode>
                <c:ptCount val="3"/>
                <c:pt idx="0">
                  <c:v>8.3424816131591797</c:v>
                </c:pt>
                <c:pt idx="1">
                  <c:v>7.431607723236084</c:v>
                </c:pt>
                <c:pt idx="2">
                  <c:v>7.3006296157836914</c:v>
                </c:pt>
              </c:numCache>
            </c:numRef>
          </c:val>
          <c:smooth val="0"/>
          <c:extLst>
            <c:ext xmlns:c16="http://schemas.microsoft.com/office/drawing/2014/chart" uri="{C3380CC4-5D6E-409C-BE32-E72D297353CC}">
              <c16:uniqueId val="{00000005-559C-415A-9E4C-6F953446FBDF}"/>
            </c:ext>
          </c:extLst>
        </c:ser>
        <c:ser>
          <c:idx val="2"/>
          <c:order val="2"/>
          <c:tx>
            <c:strRef>
              <c:f>Y7_Drop_AGENCY_subset!$A$4</c:f>
              <c:strCache>
                <c:ptCount val="1"/>
                <c:pt idx="0">
                  <c:v>South Asian. FSM.</c:v>
                </c:pt>
              </c:strCache>
            </c:strRef>
          </c:tx>
          <c:spPr>
            <a:ln w="28575" cap="rnd">
              <a:solidFill>
                <a:schemeClr val="accent1">
                  <a:lumMod val="60000"/>
                  <a:lumOff val="40000"/>
                </a:schemeClr>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6-559C-415A-9E4C-6F953446FBDF}"/>
                </c:ext>
              </c:extLst>
            </c:dLbl>
            <c:dLbl>
              <c:idx val="1"/>
              <c:delete val="1"/>
              <c:extLst>
                <c:ext xmlns:c15="http://schemas.microsoft.com/office/drawing/2012/chart" uri="{CE6537A1-D6FC-4f65-9D91-7224C49458BB}"/>
                <c:ext xmlns:c16="http://schemas.microsoft.com/office/drawing/2014/chart" uri="{C3380CC4-5D6E-409C-BE32-E72D297353CC}">
                  <c16:uniqueId val="{00000007-559C-415A-9E4C-6F953446FBDF}"/>
                </c:ext>
              </c:extLst>
            </c:dLbl>
            <c:dLbl>
              <c:idx val="2"/>
              <c:layout>
                <c:manualLayout>
                  <c:x val="-8.0256821829855531E-3"/>
                  <c:y val="-5.042462845010616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8-559C-415A-9E4C-6F953446FBD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Y7_Drop_AGENCY_subset!$B$1:$D$1</c:f>
              <c:strCache>
                <c:ptCount val="3"/>
                <c:pt idx="0">
                  <c:v>Average November Year 7</c:v>
                </c:pt>
                <c:pt idx="1">
                  <c:v>Average March Year 7</c:v>
                </c:pt>
                <c:pt idx="2">
                  <c:v>Average June Year 7</c:v>
                </c:pt>
              </c:strCache>
            </c:strRef>
          </c:cat>
          <c:val>
            <c:numRef>
              <c:f>Y7_Drop_AGENCY_subset!$B$4:$D$4</c:f>
              <c:numCache>
                <c:formatCode>General</c:formatCode>
                <c:ptCount val="3"/>
                <c:pt idx="0">
                  <c:v>8.4456443786621094</c:v>
                </c:pt>
                <c:pt idx="1">
                  <c:v>7.6639242172241211</c:v>
                </c:pt>
                <c:pt idx="2">
                  <c:v>7.4316558837890625</c:v>
                </c:pt>
              </c:numCache>
            </c:numRef>
          </c:val>
          <c:smooth val="0"/>
          <c:extLst>
            <c:ext xmlns:c16="http://schemas.microsoft.com/office/drawing/2014/chart" uri="{C3380CC4-5D6E-409C-BE32-E72D297353CC}">
              <c16:uniqueId val="{00000009-559C-415A-9E4C-6F953446FBDF}"/>
            </c:ext>
          </c:extLst>
        </c:ser>
        <c:ser>
          <c:idx val="3"/>
          <c:order val="3"/>
          <c:tx>
            <c:strRef>
              <c:f>Y7_Drop_AGENCY_subset!$A$5</c:f>
              <c:strCache>
                <c:ptCount val="1"/>
                <c:pt idx="0">
                  <c:v>White (British). FSM</c:v>
                </c:pt>
              </c:strCache>
            </c:strRef>
          </c:tx>
          <c:spPr>
            <a:ln w="28575" cap="rnd">
              <a:solidFill>
                <a:schemeClr val="accent4"/>
              </a:solidFill>
              <a:round/>
            </a:ln>
            <a:effectLst/>
          </c:spPr>
          <c:marker>
            <c:symbol val="none"/>
          </c:marker>
          <c:dLbls>
            <c:dLbl>
              <c:idx val="2"/>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A-559C-415A-9E4C-6F953446FBD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0"/>
              </c:ext>
            </c:extLst>
          </c:dLbls>
          <c:cat>
            <c:strRef>
              <c:f>Y7_Drop_AGENCY_subset!$B$1:$D$1</c:f>
              <c:strCache>
                <c:ptCount val="3"/>
                <c:pt idx="0">
                  <c:v>Average November Year 7</c:v>
                </c:pt>
                <c:pt idx="1">
                  <c:v>Average March Year 7</c:v>
                </c:pt>
                <c:pt idx="2">
                  <c:v>Average June Year 7</c:v>
                </c:pt>
              </c:strCache>
            </c:strRef>
          </c:cat>
          <c:val>
            <c:numRef>
              <c:f>Y7_Drop_AGENCY_subset!$B$5:$D$5</c:f>
              <c:numCache>
                <c:formatCode>General</c:formatCode>
                <c:ptCount val="3"/>
                <c:pt idx="0">
                  <c:v>7.6014318466186523</c:v>
                </c:pt>
                <c:pt idx="1">
                  <c:v>6.8773565292358398</c:v>
                </c:pt>
                <c:pt idx="2">
                  <c:v>6.6738672256469727</c:v>
                </c:pt>
              </c:numCache>
            </c:numRef>
          </c:val>
          <c:smooth val="0"/>
          <c:extLst>
            <c:ext xmlns:c16="http://schemas.microsoft.com/office/drawing/2014/chart" uri="{C3380CC4-5D6E-409C-BE32-E72D297353CC}">
              <c16:uniqueId val="{0000000B-559C-415A-9E4C-6F953446FBDF}"/>
            </c:ext>
          </c:extLst>
        </c:ser>
        <c:ser>
          <c:idx val="4"/>
          <c:order val="4"/>
          <c:tx>
            <c:strRef>
              <c:f>Y7_Drop_AGENCY_subset!$A$6</c:f>
              <c:strCache>
                <c:ptCount val="1"/>
                <c:pt idx="0">
                  <c:v>White (British). Not FSM.</c:v>
                </c:pt>
              </c:strCache>
            </c:strRef>
          </c:tx>
          <c:spPr>
            <a:ln w="28575" cap="rnd">
              <a:solidFill>
                <a:schemeClr val="bg1">
                  <a:lumMod val="75000"/>
                </a:schemeClr>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C-559C-415A-9E4C-6F953446FBDF}"/>
                </c:ext>
              </c:extLst>
            </c:dLbl>
            <c:dLbl>
              <c:idx val="1"/>
              <c:delete val="1"/>
              <c:extLst>
                <c:ext xmlns:c15="http://schemas.microsoft.com/office/drawing/2012/chart" uri="{CE6537A1-D6FC-4f65-9D91-7224C49458BB}"/>
                <c:ext xmlns:c16="http://schemas.microsoft.com/office/drawing/2014/chart" uri="{C3380CC4-5D6E-409C-BE32-E72D297353CC}">
                  <c16:uniqueId val="{0000000D-559C-415A-9E4C-6F953446FBDF}"/>
                </c:ext>
              </c:extLst>
            </c:dLbl>
            <c:dLbl>
              <c:idx val="2"/>
              <c:layout>
                <c:manualLayout>
                  <c:x val="-0.76779026217228463"/>
                  <c:y val="-0.38481953290870491"/>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E-559C-415A-9E4C-6F953446FBD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Y7_Drop_AGENCY_subset!$B$1:$D$1</c:f>
              <c:strCache>
                <c:ptCount val="3"/>
                <c:pt idx="0">
                  <c:v>Average November Year 7</c:v>
                </c:pt>
                <c:pt idx="1">
                  <c:v>Average March Year 7</c:v>
                </c:pt>
                <c:pt idx="2">
                  <c:v>Average June Year 7</c:v>
                </c:pt>
              </c:strCache>
            </c:strRef>
          </c:cat>
          <c:val>
            <c:numRef>
              <c:f>Y7_Drop_AGENCY_subset!$B$6:$D$6</c:f>
              <c:numCache>
                <c:formatCode>General</c:formatCode>
                <c:ptCount val="3"/>
                <c:pt idx="0">
                  <c:v>8.1953058242797852</c:v>
                </c:pt>
                <c:pt idx="1">
                  <c:v>7.5302939414978027</c:v>
                </c:pt>
                <c:pt idx="2">
                  <c:v>7.2454609870910645</c:v>
                </c:pt>
              </c:numCache>
            </c:numRef>
          </c:val>
          <c:smooth val="0"/>
          <c:extLst>
            <c:ext xmlns:c16="http://schemas.microsoft.com/office/drawing/2014/chart" uri="{C3380CC4-5D6E-409C-BE32-E72D297353CC}">
              <c16:uniqueId val="{0000000F-559C-415A-9E4C-6F953446FBDF}"/>
            </c:ext>
          </c:extLst>
        </c:ser>
        <c:ser>
          <c:idx val="5"/>
          <c:order val="5"/>
          <c:tx>
            <c:strRef>
              <c:f>Y7_Drop_AGENCY_subset!$A$7</c:f>
              <c:strCache>
                <c:ptCount val="1"/>
                <c:pt idx="0">
                  <c:v>White (Other). FSM.</c:v>
                </c:pt>
              </c:strCache>
            </c:strRef>
          </c:tx>
          <c:spPr>
            <a:ln w="28575" cap="rnd">
              <a:solidFill>
                <a:schemeClr val="bg1">
                  <a:lumMod val="75000"/>
                </a:schemeClr>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10-559C-415A-9E4C-6F953446FBDF}"/>
                </c:ext>
              </c:extLst>
            </c:dLbl>
            <c:dLbl>
              <c:idx val="1"/>
              <c:delete val="1"/>
              <c:extLst>
                <c:ext xmlns:c15="http://schemas.microsoft.com/office/drawing/2012/chart" uri="{CE6537A1-D6FC-4f65-9D91-7224C49458BB}"/>
                <c:ext xmlns:c16="http://schemas.microsoft.com/office/drawing/2014/chart" uri="{C3380CC4-5D6E-409C-BE32-E72D297353CC}">
                  <c16:uniqueId val="{00000011-559C-415A-9E4C-6F953446FBDF}"/>
                </c:ext>
              </c:extLst>
            </c:dLbl>
            <c:dLbl>
              <c:idx val="2"/>
              <c:layout>
                <c:manualLayout>
                  <c:x val="-8.0256821829855531E-3"/>
                  <c:y val="3.4501061571125168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12-559C-415A-9E4C-6F953446FBD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Y7_Drop_AGENCY_subset!$B$1:$D$1</c:f>
              <c:strCache>
                <c:ptCount val="3"/>
                <c:pt idx="0">
                  <c:v>Average November Year 7</c:v>
                </c:pt>
                <c:pt idx="1">
                  <c:v>Average March Year 7</c:v>
                </c:pt>
                <c:pt idx="2">
                  <c:v>Average June Year 7</c:v>
                </c:pt>
              </c:strCache>
            </c:strRef>
          </c:cat>
          <c:val>
            <c:numRef>
              <c:f>Y7_Drop_AGENCY_subset!$B$7:$D$7</c:f>
              <c:numCache>
                <c:formatCode>General</c:formatCode>
                <c:ptCount val="3"/>
                <c:pt idx="0">
                  <c:v>8.0355730056762695</c:v>
                </c:pt>
                <c:pt idx="1">
                  <c:v>6.9771027565002441</c:v>
                </c:pt>
                <c:pt idx="2">
                  <c:v>6.9574136734008789</c:v>
                </c:pt>
              </c:numCache>
            </c:numRef>
          </c:val>
          <c:smooth val="0"/>
          <c:extLst>
            <c:ext xmlns:c16="http://schemas.microsoft.com/office/drawing/2014/chart" uri="{C3380CC4-5D6E-409C-BE32-E72D297353CC}">
              <c16:uniqueId val="{00000013-559C-415A-9E4C-6F953446FBDF}"/>
            </c:ext>
          </c:extLst>
        </c:ser>
        <c:dLbls>
          <c:showLegendKey val="0"/>
          <c:showVal val="0"/>
          <c:showCatName val="0"/>
          <c:showSerName val="0"/>
          <c:showPercent val="0"/>
          <c:showBubbleSize val="0"/>
        </c:dLbls>
        <c:smooth val="0"/>
        <c:axId val="1286135856"/>
        <c:axId val="1286134416"/>
      </c:lineChart>
      <c:catAx>
        <c:axId val="1286135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6134416"/>
        <c:crosses val="autoZero"/>
        <c:auto val="1"/>
        <c:lblAlgn val="ctr"/>
        <c:lblOffset val="100"/>
        <c:noMultiLvlLbl val="0"/>
      </c:catAx>
      <c:valAx>
        <c:axId val="1286134416"/>
        <c:scaling>
          <c:orientation val="minMax"/>
          <c:max val="8.75"/>
          <c:min val="6.5"/>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6135856"/>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1720529315857984E-2"/>
          <c:y val="3.2348454452747546E-2"/>
          <c:w val="0.90715845615451918"/>
          <c:h val="0.88086965380604254"/>
        </c:manualLayout>
      </c:layout>
      <c:lineChart>
        <c:grouping val="standard"/>
        <c:varyColors val="0"/>
        <c:ser>
          <c:idx val="0"/>
          <c:order val="0"/>
          <c:tx>
            <c:strRef>
              <c:f>Y7_Drop_VALUE_subset!$A$2</c:f>
              <c:strCache>
                <c:ptCount val="1"/>
                <c:pt idx="0">
                  <c:v>Asian. FSM.</c:v>
                </c:pt>
              </c:strCache>
            </c:strRef>
          </c:tx>
          <c:spPr>
            <a:ln w="28575" cap="rnd">
              <a:solidFill>
                <a:schemeClr val="tx1"/>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0-6961-4A66-8619-28BB33F1881C}"/>
                </c:ext>
              </c:extLst>
            </c:dLbl>
            <c:dLbl>
              <c:idx val="1"/>
              <c:delete val="1"/>
              <c:extLst>
                <c:ext xmlns:c15="http://schemas.microsoft.com/office/drawing/2012/chart" uri="{CE6537A1-D6FC-4f65-9D91-7224C49458BB}"/>
                <c:ext xmlns:c16="http://schemas.microsoft.com/office/drawing/2014/chart" uri="{C3380CC4-5D6E-409C-BE32-E72D297353CC}">
                  <c16:uniqueId val="{00000001-6961-4A66-8619-28BB33F1881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Y7_Drop_VALUE_subset!$B$1:$D$1</c:f>
              <c:strCache>
                <c:ptCount val="3"/>
                <c:pt idx="0">
                  <c:v>Average November Year 7</c:v>
                </c:pt>
                <c:pt idx="1">
                  <c:v>Average March Year 7</c:v>
                </c:pt>
                <c:pt idx="2">
                  <c:v>Average June Year 7</c:v>
                </c:pt>
              </c:strCache>
            </c:strRef>
          </c:cat>
          <c:val>
            <c:numRef>
              <c:f>Y7_Drop_VALUE_subset!$B$2:$D$2</c:f>
              <c:numCache>
                <c:formatCode>General</c:formatCode>
                <c:ptCount val="3"/>
                <c:pt idx="0">
                  <c:v>8.1190452575683594</c:v>
                </c:pt>
                <c:pt idx="1">
                  <c:v>7.5462384223937988</c:v>
                </c:pt>
                <c:pt idx="2">
                  <c:v>7.5766420364379883</c:v>
                </c:pt>
              </c:numCache>
            </c:numRef>
          </c:val>
          <c:smooth val="0"/>
          <c:extLst>
            <c:ext xmlns:c16="http://schemas.microsoft.com/office/drawing/2014/chart" uri="{C3380CC4-5D6E-409C-BE32-E72D297353CC}">
              <c16:uniqueId val="{00000002-6961-4A66-8619-28BB33F1881C}"/>
            </c:ext>
          </c:extLst>
        </c:ser>
        <c:ser>
          <c:idx val="1"/>
          <c:order val="1"/>
          <c:tx>
            <c:strRef>
              <c:f>Y7_Drop_VALUE_subset!$A$3</c:f>
              <c:strCache>
                <c:ptCount val="1"/>
                <c:pt idx="0">
                  <c:v>Black. FSM.</c:v>
                </c:pt>
              </c:strCache>
            </c:strRef>
          </c:tx>
          <c:spPr>
            <a:ln w="28575" cap="rnd">
              <a:solidFill>
                <a:schemeClr val="tx1"/>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3-6961-4A66-8619-28BB33F1881C}"/>
                </c:ext>
              </c:extLst>
            </c:dLbl>
            <c:dLbl>
              <c:idx val="1"/>
              <c:delete val="1"/>
              <c:extLst>
                <c:ext xmlns:c15="http://schemas.microsoft.com/office/drawing/2012/chart" uri="{CE6537A1-D6FC-4f65-9D91-7224C49458BB}"/>
                <c:ext xmlns:c16="http://schemas.microsoft.com/office/drawing/2014/chart" uri="{C3380CC4-5D6E-409C-BE32-E72D297353CC}">
                  <c16:uniqueId val="{00000004-6961-4A66-8619-28BB33F1881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Y7_Drop_VALUE_subset!$B$1:$D$1</c:f>
              <c:strCache>
                <c:ptCount val="3"/>
                <c:pt idx="0">
                  <c:v>Average November Year 7</c:v>
                </c:pt>
                <c:pt idx="1">
                  <c:v>Average March Year 7</c:v>
                </c:pt>
                <c:pt idx="2">
                  <c:v>Average June Year 7</c:v>
                </c:pt>
              </c:strCache>
            </c:strRef>
          </c:cat>
          <c:val>
            <c:numRef>
              <c:f>Y7_Drop_VALUE_subset!$B$3:$D$3</c:f>
              <c:numCache>
                <c:formatCode>General</c:formatCode>
                <c:ptCount val="3"/>
                <c:pt idx="0">
                  <c:v>7.7486834526062012</c:v>
                </c:pt>
                <c:pt idx="1">
                  <c:v>6.9463715553283691</c:v>
                </c:pt>
                <c:pt idx="2">
                  <c:v>6.854982852935791</c:v>
                </c:pt>
              </c:numCache>
            </c:numRef>
          </c:val>
          <c:smooth val="0"/>
          <c:extLst>
            <c:ext xmlns:c16="http://schemas.microsoft.com/office/drawing/2014/chart" uri="{C3380CC4-5D6E-409C-BE32-E72D297353CC}">
              <c16:uniqueId val="{00000005-6961-4A66-8619-28BB33F1881C}"/>
            </c:ext>
          </c:extLst>
        </c:ser>
        <c:ser>
          <c:idx val="2"/>
          <c:order val="2"/>
          <c:tx>
            <c:strRef>
              <c:f>Y7_Drop_VALUE_subset!$A$4</c:f>
              <c:strCache>
                <c:ptCount val="1"/>
                <c:pt idx="0">
                  <c:v>South Asian. FSM.</c:v>
                </c:pt>
              </c:strCache>
            </c:strRef>
          </c:tx>
          <c:spPr>
            <a:ln w="28575" cap="rnd">
              <a:solidFill>
                <a:schemeClr val="accent1">
                  <a:lumMod val="60000"/>
                  <a:lumOff val="40000"/>
                </a:schemeClr>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6-6961-4A66-8619-28BB33F1881C}"/>
                </c:ext>
              </c:extLst>
            </c:dLbl>
            <c:dLbl>
              <c:idx val="1"/>
              <c:delete val="1"/>
              <c:extLst>
                <c:ext xmlns:c15="http://schemas.microsoft.com/office/drawing/2012/chart" uri="{CE6537A1-D6FC-4f65-9D91-7224C49458BB}"/>
                <c:ext xmlns:c16="http://schemas.microsoft.com/office/drawing/2014/chart" uri="{C3380CC4-5D6E-409C-BE32-E72D297353CC}">
                  <c16:uniqueId val="{00000007-6961-4A66-8619-28BB33F1881C}"/>
                </c:ext>
              </c:extLst>
            </c:dLbl>
            <c:dLbl>
              <c:idx val="2"/>
              <c:layout>
                <c:manualLayout>
                  <c:x val="-3.2102728731942212E-2"/>
                  <c:y val="-3.7154989384288697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8-6961-4A66-8619-28BB33F1881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Y7_Drop_VALUE_subset!$B$1:$D$1</c:f>
              <c:strCache>
                <c:ptCount val="3"/>
                <c:pt idx="0">
                  <c:v>Average November Year 7</c:v>
                </c:pt>
                <c:pt idx="1">
                  <c:v>Average March Year 7</c:v>
                </c:pt>
                <c:pt idx="2">
                  <c:v>Average June Year 7</c:v>
                </c:pt>
              </c:strCache>
            </c:strRef>
          </c:cat>
          <c:val>
            <c:numRef>
              <c:f>Y7_Drop_VALUE_subset!$B$4:$D$4</c:f>
              <c:numCache>
                <c:formatCode>General</c:formatCode>
                <c:ptCount val="3"/>
                <c:pt idx="0">
                  <c:v>8.0208683013916016</c:v>
                </c:pt>
                <c:pt idx="1">
                  <c:v>7.5063900947570801</c:v>
                </c:pt>
                <c:pt idx="2">
                  <c:v>7.1772465705871582</c:v>
                </c:pt>
              </c:numCache>
            </c:numRef>
          </c:val>
          <c:smooth val="0"/>
          <c:extLst>
            <c:ext xmlns:c16="http://schemas.microsoft.com/office/drawing/2014/chart" uri="{C3380CC4-5D6E-409C-BE32-E72D297353CC}">
              <c16:uniqueId val="{00000009-6961-4A66-8619-28BB33F1881C}"/>
            </c:ext>
          </c:extLst>
        </c:ser>
        <c:ser>
          <c:idx val="3"/>
          <c:order val="3"/>
          <c:tx>
            <c:strRef>
              <c:f>Y7_Drop_VALUE_subset!$A$5</c:f>
              <c:strCache>
                <c:ptCount val="1"/>
                <c:pt idx="0">
                  <c:v>White (British). FSM</c:v>
                </c:pt>
              </c:strCache>
            </c:strRef>
          </c:tx>
          <c:spPr>
            <a:ln w="28575" cap="rnd">
              <a:solidFill>
                <a:schemeClr val="accent4"/>
              </a:solidFill>
              <a:round/>
            </a:ln>
            <a:effectLst/>
          </c:spPr>
          <c:marker>
            <c:symbol val="none"/>
          </c:marker>
          <c:dLbls>
            <c:dLbl>
              <c:idx val="2"/>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A-6961-4A66-8619-28BB33F1881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0"/>
              </c:ext>
            </c:extLst>
          </c:dLbls>
          <c:cat>
            <c:strRef>
              <c:f>Y7_Drop_VALUE_subset!$B$1:$D$1</c:f>
              <c:strCache>
                <c:ptCount val="3"/>
                <c:pt idx="0">
                  <c:v>Average November Year 7</c:v>
                </c:pt>
                <c:pt idx="1">
                  <c:v>Average March Year 7</c:v>
                </c:pt>
                <c:pt idx="2">
                  <c:v>Average June Year 7</c:v>
                </c:pt>
              </c:strCache>
            </c:strRef>
          </c:cat>
          <c:val>
            <c:numRef>
              <c:f>Y7_Drop_VALUE_subset!$B$5:$D$5</c:f>
              <c:numCache>
                <c:formatCode>General</c:formatCode>
                <c:ptCount val="3"/>
                <c:pt idx="0">
                  <c:v>7.4232525825500488</c:v>
                </c:pt>
                <c:pt idx="1">
                  <c:v>6.8314499855041504</c:v>
                </c:pt>
                <c:pt idx="2">
                  <c:v>6.5960178375244141</c:v>
                </c:pt>
              </c:numCache>
            </c:numRef>
          </c:val>
          <c:smooth val="0"/>
          <c:extLst>
            <c:ext xmlns:c16="http://schemas.microsoft.com/office/drawing/2014/chart" uri="{C3380CC4-5D6E-409C-BE32-E72D297353CC}">
              <c16:uniqueId val="{0000000B-6961-4A66-8619-28BB33F1881C}"/>
            </c:ext>
          </c:extLst>
        </c:ser>
        <c:ser>
          <c:idx val="4"/>
          <c:order val="4"/>
          <c:tx>
            <c:strRef>
              <c:f>Y7_Drop_VALUE_subset!$A$6</c:f>
              <c:strCache>
                <c:ptCount val="1"/>
                <c:pt idx="0">
                  <c:v>White (British). Not FSM.</c:v>
                </c:pt>
              </c:strCache>
            </c:strRef>
          </c:tx>
          <c:spPr>
            <a:ln w="28575" cap="rnd">
              <a:solidFill>
                <a:schemeClr val="bg1">
                  <a:lumMod val="75000"/>
                </a:schemeClr>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C-6961-4A66-8619-28BB33F1881C}"/>
                </c:ext>
              </c:extLst>
            </c:dLbl>
            <c:dLbl>
              <c:idx val="1"/>
              <c:delete val="1"/>
              <c:extLst>
                <c:ext xmlns:c15="http://schemas.microsoft.com/office/drawing/2012/chart" uri="{CE6537A1-D6FC-4f65-9D91-7224C49458BB}"/>
                <c:ext xmlns:c16="http://schemas.microsoft.com/office/drawing/2014/chart" uri="{C3380CC4-5D6E-409C-BE32-E72D297353CC}">
                  <c16:uniqueId val="{0000000D-6961-4A66-8619-28BB33F1881C}"/>
                </c:ext>
              </c:extLst>
            </c:dLbl>
            <c:dLbl>
              <c:idx val="2"/>
              <c:layout>
                <c:manualLayout>
                  <c:x val="9.809053797511391E-17"/>
                  <c:y val="3.980891719745213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E-6961-4A66-8619-28BB33F1881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Y7_Drop_VALUE_subset!$B$1:$D$1</c:f>
              <c:strCache>
                <c:ptCount val="3"/>
                <c:pt idx="0">
                  <c:v>Average November Year 7</c:v>
                </c:pt>
                <c:pt idx="1">
                  <c:v>Average March Year 7</c:v>
                </c:pt>
                <c:pt idx="2">
                  <c:v>Average June Year 7</c:v>
                </c:pt>
              </c:strCache>
            </c:strRef>
          </c:cat>
          <c:val>
            <c:numRef>
              <c:f>Y7_Drop_VALUE_subset!$B$6:$D$6</c:f>
              <c:numCache>
                <c:formatCode>General</c:formatCode>
                <c:ptCount val="3"/>
                <c:pt idx="0">
                  <c:v>8.0237884521484375</c:v>
                </c:pt>
                <c:pt idx="1">
                  <c:v>7.4201855659484863</c:v>
                </c:pt>
                <c:pt idx="2">
                  <c:v>7.1549882888793945</c:v>
                </c:pt>
              </c:numCache>
            </c:numRef>
          </c:val>
          <c:smooth val="0"/>
          <c:extLst>
            <c:ext xmlns:c16="http://schemas.microsoft.com/office/drawing/2014/chart" uri="{C3380CC4-5D6E-409C-BE32-E72D297353CC}">
              <c16:uniqueId val="{0000000F-6961-4A66-8619-28BB33F1881C}"/>
            </c:ext>
          </c:extLst>
        </c:ser>
        <c:ser>
          <c:idx val="5"/>
          <c:order val="5"/>
          <c:tx>
            <c:strRef>
              <c:f>Y7_Drop_VALUE_subset!$A$7</c:f>
              <c:strCache>
                <c:ptCount val="1"/>
                <c:pt idx="0">
                  <c:v>White (Other). FSM.</c:v>
                </c:pt>
              </c:strCache>
            </c:strRef>
          </c:tx>
          <c:spPr>
            <a:ln w="28575" cap="rnd">
              <a:solidFill>
                <a:schemeClr val="bg1">
                  <a:lumMod val="75000"/>
                </a:schemeClr>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10-6961-4A66-8619-28BB33F1881C}"/>
                </c:ext>
              </c:extLst>
            </c:dLbl>
            <c:dLbl>
              <c:idx val="1"/>
              <c:delete val="1"/>
              <c:extLst>
                <c:ext xmlns:c15="http://schemas.microsoft.com/office/drawing/2012/chart" uri="{CE6537A1-D6FC-4f65-9D91-7224C49458BB}"/>
                <c:ext xmlns:c16="http://schemas.microsoft.com/office/drawing/2014/chart" uri="{C3380CC4-5D6E-409C-BE32-E72D297353CC}">
                  <c16:uniqueId val="{00000011-6961-4A66-8619-28BB33F1881C}"/>
                </c:ext>
              </c:extLst>
            </c:dLbl>
            <c:dLbl>
              <c:idx val="2"/>
              <c:layout>
                <c:manualLayout>
                  <c:x val="-8.0256821829855531E-3"/>
                  <c:y val="3.4501061571125168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12-6961-4A66-8619-28BB33F1881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Y7_Drop_VALUE_subset!$B$1:$D$1</c:f>
              <c:strCache>
                <c:ptCount val="3"/>
                <c:pt idx="0">
                  <c:v>Average November Year 7</c:v>
                </c:pt>
                <c:pt idx="1">
                  <c:v>Average March Year 7</c:v>
                </c:pt>
                <c:pt idx="2">
                  <c:v>Average June Year 7</c:v>
                </c:pt>
              </c:strCache>
            </c:strRef>
          </c:cat>
          <c:val>
            <c:numRef>
              <c:f>Y7_Drop_VALUE_subset!$B$7:$D$7</c:f>
              <c:numCache>
                <c:formatCode>General</c:formatCode>
                <c:ptCount val="3"/>
                <c:pt idx="0">
                  <c:v>7.5610237121582031</c:v>
                </c:pt>
                <c:pt idx="1">
                  <c:v>6.7802081108093262</c:v>
                </c:pt>
                <c:pt idx="2">
                  <c:v>6.5310964584350586</c:v>
                </c:pt>
              </c:numCache>
            </c:numRef>
          </c:val>
          <c:smooth val="0"/>
          <c:extLst>
            <c:ext xmlns:c16="http://schemas.microsoft.com/office/drawing/2014/chart" uri="{C3380CC4-5D6E-409C-BE32-E72D297353CC}">
              <c16:uniqueId val="{00000013-6961-4A66-8619-28BB33F1881C}"/>
            </c:ext>
          </c:extLst>
        </c:ser>
        <c:dLbls>
          <c:showLegendKey val="0"/>
          <c:showVal val="0"/>
          <c:showCatName val="0"/>
          <c:showSerName val="0"/>
          <c:showPercent val="0"/>
          <c:showBubbleSize val="0"/>
        </c:dLbls>
        <c:smooth val="0"/>
        <c:axId val="1286135856"/>
        <c:axId val="1286134416"/>
      </c:lineChart>
      <c:catAx>
        <c:axId val="1286135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6134416"/>
        <c:crosses val="autoZero"/>
        <c:auto val="1"/>
        <c:lblAlgn val="ctr"/>
        <c:lblOffset val="100"/>
        <c:noMultiLvlLbl val="0"/>
      </c:catAx>
      <c:valAx>
        <c:axId val="1286134416"/>
        <c:scaling>
          <c:orientation val="minMax"/>
          <c:max val="8.25"/>
          <c:min val="6.25"/>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6135856"/>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9098806469416046E-2"/>
          <c:y val="4.0310237892237991E-2"/>
          <c:w val="0.90715845615451918"/>
          <c:h val="0.8967931357306449"/>
        </c:manualLayout>
      </c:layout>
      <c:lineChart>
        <c:grouping val="standard"/>
        <c:varyColors val="0"/>
        <c:ser>
          <c:idx val="0"/>
          <c:order val="0"/>
          <c:tx>
            <c:strRef>
              <c:f>Y7_Drop_PEERS_subset!$A$2</c:f>
              <c:strCache>
                <c:ptCount val="1"/>
                <c:pt idx="0">
                  <c:v>Asian. FSM.</c:v>
                </c:pt>
              </c:strCache>
            </c:strRef>
          </c:tx>
          <c:spPr>
            <a:ln w="28575" cap="rnd">
              <a:solidFill>
                <a:schemeClr val="tx1"/>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0-D903-41C1-BC8E-24D5D02CFD15}"/>
                </c:ext>
              </c:extLst>
            </c:dLbl>
            <c:dLbl>
              <c:idx val="1"/>
              <c:delete val="1"/>
              <c:extLst>
                <c:ext xmlns:c15="http://schemas.microsoft.com/office/drawing/2012/chart" uri="{CE6537A1-D6FC-4f65-9D91-7224C49458BB}"/>
                <c:ext xmlns:c16="http://schemas.microsoft.com/office/drawing/2014/chart" uri="{C3380CC4-5D6E-409C-BE32-E72D297353CC}">
                  <c16:uniqueId val="{00000001-D903-41C1-BC8E-24D5D02CFD15}"/>
                </c:ext>
              </c:extLst>
            </c:dLbl>
            <c:dLbl>
              <c:idx val="2"/>
              <c:layout>
                <c:manualLayout>
                  <c:x val="-0.74906367041198507"/>
                  <c:y val="-0.29193205944798306"/>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2-D903-41C1-BC8E-24D5D02CFD1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Y7_Drop_PEERS_subset!$B$1:$D$1</c:f>
              <c:strCache>
                <c:ptCount val="3"/>
                <c:pt idx="0">
                  <c:v>Average November Year 7</c:v>
                </c:pt>
                <c:pt idx="1">
                  <c:v>Average March Year 7</c:v>
                </c:pt>
                <c:pt idx="2">
                  <c:v>Average June Year 7</c:v>
                </c:pt>
              </c:strCache>
            </c:strRef>
          </c:cat>
          <c:val>
            <c:numRef>
              <c:f>Y7_Drop_PEERS_subset!$B$2:$D$2</c:f>
              <c:numCache>
                <c:formatCode>General</c:formatCode>
                <c:ptCount val="3"/>
                <c:pt idx="0">
                  <c:v>7.093207836151123</c:v>
                </c:pt>
                <c:pt idx="1">
                  <c:v>6.3380312919616699</c:v>
                </c:pt>
                <c:pt idx="2">
                  <c:v>6.1448183059692383</c:v>
                </c:pt>
              </c:numCache>
            </c:numRef>
          </c:val>
          <c:smooth val="0"/>
          <c:extLst>
            <c:ext xmlns:c16="http://schemas.microsoft.com/office/drawing/2014/chart" uri="{C3380CC4-5D6E-409C-BE32-E72D297353CC}">
              <c16:uniqueId val="{00000003-D903-41C1-BC8E-24D5D02CFD15}"/>
            </c:ext>
          </c:extLst>
        </c:ser>
        <c:ser>
          <c:idx val="1"/>
          <c:order val="1"/>
          <c:tx>
            <c:strRef>
              <c:f>Y7_Drop_PEERS_subset!$A$3</c:f>
              <c:strCache>
                <c:ptCount val="1"/>
                <c:pt idx="0">
                  <c:v>Black. FSM.</c:v>
                </c:pt>
              </c:strCache>
            </c:strRef>
          </c:tx>
          <c:spPr>
            <a:ln w="28575" cap="rnd">
              <a:solidFill>
                <a:schemeClr val="tx1"/>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4-D903-41C1-BC8E-24D5D02CFD15}"/>
                </c:ext>
              </c:extLst>
            </c:dLbl>
            <c:dLbl>
              <c:idx val="1"/>
              <c:delete val="1"/>
              <c:extLst>
                <c:ext xmlns:c15="http://schemas.microsoft.com/office/drawing/2012/chart" uri="{CE6537A1-D6FC-4f65-9D91-7224C49458BB}"/>
                <c:ext xmlns:c16="http://schemas.microsoft.com/office/drawing/2014/chart" uri="{C3380CC4-5D6E-409C-BE32-E72D297353CC}">
                  <c16:uniqueId val="{00000005-D903-41C1-BC8E-24D5D02CFD15}"/>
                </c:ext>
              </c:extLst>
            </c:dLbl>
            <c:dLbl>
              <c:idx val="2"/>
              <c:layout>
                <c:manualLayout>
                  <c:x val="-5.3504547886570455E-2"/>
                  <c:y val="2.3885350318471141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6-D903-41C1-BC8E-24D5D02CFD1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Y7_Drop_PEERS_subset!$B$1:$D$1</c:f>
              <c:strCache>
                <c:ptCount val="3"/>
                <c:pt idx="0">
                  <c:v>Average November Year 7</c:v>
                </c:pt>
                <c:pt idx="1">
                  <c:v>Average March Year 7</c:v>
                </c:pt>
                <c:pt idx="2">
                  <c:v>Average June Year 7</c:v>
                </c:pt>
              </c:strCache>
            </c:strRef>
          </c:cat>
          <c:val>
            <c:numRef>
              <c:f>Y7_Drop_PEERS_subset!$B$3:$D$3</c:f>
              <c:numCache>
                <c:formatCode>General</c:formatCode>
                <c:ptCount val="3"/>
                <c:pt idx="0">
                  <c:v>6.6563830375671387</c:v>
                </c:pt>
                <c:pt idx="1">
                  <c:v>5.6550030708312988</c:v>
                </c:pt>
                <c:pt idx="2">
                  <c:v>5.6205425262451172</c:v>
                </c:pt>
              </c:numCache>
            </c:numRef>
          </c:val>
          <c:smooth val="0"/>
          <c:extLst>
            <c:ext xmlns:c16="http://schemas.microsoft.com/office/drawing/2014/chart" uri="{C3380CC4-5D6E-409C-BE32-E72D297353CC}">
              <c16:uniqueId val="{00000007-D903-41C1-BC8E-24D5D02CFD15}"/>
            </c:ext>
          </c:extLst>
        </c:ser>
        <c:ser>
          <c:idx val="2"/>
          <c:order val="2"/>
          <c:tx>
            <c:strRef>
              <c:f>Y7_Drop_PEERS_subset!$A$4</c:f>
              <c:strCache>
                <c:ptCount val="1"/>
                <c:pt idx="0">
                  <c:v>South Asian. FSM.</c:v>
                </c:pt>
              </c:strCache>
            </c:strRef>
          </c:tx>
          <c:spPr>
            <a:ln w="28575" cap="rnd">
              <a:solidFill>
                <a:schemeClr val="accent1">
                  <a:lumMod val="60000"/>
                  <a:lumOff val="40000"/>
                </a:schemeClr>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8-D903-41C1-BC8E-24D5D02CFD15}"/>
                </c:ext>
              </c:extLst>
            </c:dLbl>
            <c:dLbl>
              <c:idx val="1"/>
              <c:delete val="1"/>
              <c:extLst>
                <c:ext xmlns:c15="http://schemas.microsoft.com/office/drawing/2012/chart" uri="{CE6537A1-D6FC-4f65-9D91-7224C49458BB}"/>
                <c:ext xmlns:c16="http://schemas.microsoft.com/office/drawing/2014/chart" uri="{C3380CC4-5D6E-409C-BE32-E72D297353CC}">
                  <c16:uniqueId val="{00000009-D903-41C1-BC8E-24D5D02CFD15}"/>
                </c:ext>
              </c:extLst>
            </c:dLbl>
            <c:dLbl>
              <c:idx val="2"/>
              <c:layout>
                <c:manualLayout>
                  <c:x val="-0.73568753344034243"/>
                  <c:y val="-0.42462845010615718"/>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A-D903-41C1-BC8E-24D5D02CFD1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Y7_Drop_PEERS_subset!$B$1:$D$1</c:f>
              <c:strCache>
                <c:ptCount val="3"/>
                <c:pt idx="0">
                  <c:v>Average November Year 7</c:v>
                </c:pt>
                <c:pt idx="1">
                  <c:v>Average March Year 7</c:v>
                </c:pt>
                <c:pt idx="2">
                  <c:v>Average June Year 7</c:v>
                </c:pt>
              </c:strCache>
            </c:strRef>
          </c:cat>
          <c:val>
            <c:numRef>
              <c:f>Y7_Drop_PEERS_subset!$B$4:$D$4</c:f>
              <c:numCache>
                <c:formatCode>General</c:formatCode>
                <c:ptCount val="3"/>
                <c:pt idx="0">
                  <c:v>6.9047675132751465</c:v>
                </c:pt>
                <c:pt idx="1">
                  <c:v>6.1030364036560059</c:v>
                </c:pt>
                <c:pt idx="2">
                  <c:v>6.093421459197998</c:v>
                </c:pt>
              </c:numCache>
            </c:numRef>
          </c:val>
          <c:smooth val="0"/>
          <c:extLst>
            <c:ext xmlns:c16="http://schemas.microsoft.com/office/drawing/2014/chart" uri="{C3380CC4-5D6E-409C-BE32-E72D297353CC}">
              <c16:uniqueId val="{0000000B-D903-41C1-BC8E-24D5D02CFD15}"/>
            </c:ext>
          </c:extLst>
        </c:ser>
        <c:ser>
          <c:idx val="3"/>
          <c:order val="3"/>
          <c:tx>
            <c:strRef>
              <c:f>Y7_Drop_PEERS_subset!$A$5</c:f>
              <c:strCache>
                <c:ptCount val="1"/>
                <c:pt idx="0">
                  <c:v>White (British). FSM</c:v>
                </c:pt>
              </c:strCache>
            </c:strRef>
          </c:tx>
          <c:spPr>
            <a:ln w="28575" cap="rnd">
              <a:solidFill>
                <a:schemeClr val="accent4"/>
              </a:solidFill>
              <a:round/>
            </a:ln>
            <a:effectLst/>
          </c:spPr>
          <c:marker>
            <c:symbol val="none"/>
          </c:marker>
          <c:dLbls>
            <c:dLbl>
              <c:idx val="2"/>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C-D903-41C1-BC8E-24D5D02CFD1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0"/>
              </c:ext>
            </c:extLst>
          </c:dLbls>
          <c:cat>
            <c:strRef>
              <c:f>Y7_Drop_PEERS_subset!$B$1:$D$1</c:f>
              <c:strCache>
                <c:ptCount val="3"/>
                <c:pt idx="0">
                  <c:v>Average November Year 7</c:v>
                </c:pt>
                <c:pt idx="1">
                  <c:v>Average March Year 7</c:v>
                </c:pt>
                <c:pt idx="2">
                  <c:v>Average June Year 7</c:v>
                </c:pt>
              </c:strCache>
            </c:strRef>
          </c:cat>
          <c:val>
            <c:numRef>
              <c:f>Y7_Drop_PEERS_subset!$B$5:$D$5</c:f>
              <c:numCache>
                <c:formatCode>General</c:formatCode>
                <c:ptCount val="3"/>
                <c:pt idx="0">
                  <c:v>6.6737394332885742</c:v>
                </c:pt>
                <c:pt idx="1">
                  <c:v>6.0468878746032715</c:v>
                </c:pt>
                <c:pt idx="2">
                  <c:v>5.8434162139892578</c:v>
                </c:pt>
              </c:numCache>
            </c:numRef>
          </c:val>
          <c:smooth val="0"/>
          <c:extLst>
            <c:ext xmlns:c16="http://schemas.microsoft.com/office/drawing/2014/chart" uri="{C3380CC4-5D6E-409C-BE32-E72D297353CC}">
              <c16:uniqueId val="{0000000D-D903-41C1-BC8E-24D5D02CFD15}"/>
            </c:ext>
          </c:extLst>
        </c:ser>
        <c:ser>
          <c:idx val="4"/>
          <c:order val="4"/>
          <c:tx>
            <c:strRef>
              <c:f>Y7_Drop_PEERS_subset!$A$6</c:f>
              <c:strCache>
                <c:ptCount val="1"/>
                <c:pt idx="0">
                  <c:v>White (British). Not FSM.</c:v>
                </c:pt>
              </c:strCache>
            </c:strRef>
          </c:tx>
          <c:spPr>
            <a:ln w="28575" cap="rnd">
              <a:solidFill>
                <a:schemeClr val="bg1">
                  <a:lumMod val="75000"/>
                </a:schemeClr>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E-D903-41C1-BC8E-24D5D02CFD15}"/>
                </c:ext>
              </c:extLst>
            </c:dLbl>
            <c:dLbl>
              <c:idx val="1"/>
              <c:delete val="1"/>
              <c:extLst>
                <c:ext xmlns:c15="http://schemas.microsoft.com/office/drawing/2012/chart" uri="{CE6537A1-D6FC-4f65-9D91-7224C49458BB}"/>
                <c:ext xmlns:c16="http://schemas.microsoft.com/office/drawing/2014/chart" uri="{C3380CC4-5D6E-409C-BE32-E72D297353CC}">
                  <c16:uniqueId val="{0000000F-D903-41C1-BC8E-24D5D02CFD15}"/>
                </c:ext>
              </c:extLst>
            </c:dLbl>
            <c:dLbl>
              <c:idx val="2"/>
              <c:layout>
                <c:manualLayout>
                  <c:x val="9.809053797511391E-17"/>
                  <c:y val="3.980891719745213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10-D903-41C1-BC8E-24D5D02CFD1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Y7_Drop_PEERS_subset!$B$1:$D$1</c:f>
              <c:strCache>
                <c:ptCount val="3"/>
                <c:pt idx="0">
                  <c:v>Average November Year 7</c:v>
                </c:pt>
                <c:pt idx="1">
                  <c:v>Average March Year 7</c:v>
                </c:pt>
                <c:pt idx="2">
                  <c:v>Average June Year 7</c:v>
                </c:pt>
              </c:strCache>
            </c:strRef>
          </c:cat>
          <c:val>
            <c:numRef>
              <c:f>Y7_Drop_PEERS_subset!$B$6:$D$6</c:f>
              <c:numCache>
                <c:formatCode>General</c:formatCode>
                <c:ptCount val="3"/>
                <c:pt idx="0">
                  <c:v>7.3434042930603027</c:v>
                </c:pt>
                <c:pt idx="1">
                  <c:v>6.7361264228820801</c:v>
                </c:pt>
                <c:pt idx="2">
                  <c:v>6.527134895324707</c:v>
                </c:pt>
              </c:numCache>
            </c:numRef>
          </c:val>
          <c:smooth val="0"/>
          <c:extLst>
            <c:ext xmlns:c16="http://schemas.microsoft.com/office/drawing/2014/chart" uri="{C3380CC4-5D6E-409C-BE32-E72D297353CC}">
              <c16:uniqueId val="{00000011-D903-41C1-BC8E-24D5D02CFD15}"/>
            </c:ext>
          </c:extLst>
        </c:ser>
        <c:ser>
          <c:idx val="5"/>
          <c:order val="5"/>
          <c:tx>
            <c:strRef>
              <c:f>Y7_Drop_PEERS_subset!$A$7</c:f>
              <c:strCache>
                <c:ptCount val="1"/>
                <c:pt idx="0">
                  <c:v>White (Other). FSM.</c:v>
                </c:pt>
              </c:strCache>
            </c:strRef>
          </c:tx>
          <c:spPr>
            <a:ln w="28575" cap="rnd">
              <a:solidFill>
                <a:schemeClr val="bg1">
                  <a:lumMod val="75000"/>
                </a:schemeClr>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12-D903-41C1-BC8E-24D5D02CFD15}"/>
                </c:ext>
              </c:extLst>
            </c:dLbl>
            <c:dLbl>
              <c:idx val="1"/>
              <c:delete val="1"/>
              <c:extLst>
                <c:ext xmlns:c15="http://schemas.microsoft.com/office/drawing/2012/chart" uri="{CE6537A1-D6FC-4f65-9D91-7224C49458BB}"/>
                <c:ext xmlns:c16="http://schemas.microsoft.com/office/drawing/2014/chart" uri="{C3380CC4-5D6E-409C-BE32-E72D297353CC}">
                  <c16:uniqueId val="{00000013-D903-41C1-BC8E-24D5D02CFD15}"/>
                </c:ext>
              </c:extLst>
            </c:dLbl>
            <c:dLbl>
              <c:idx val="2"/>
              <c:layout>
                <c:manualLayout>
                  <c:x val="-1.070090957731417E-2"/>
                  <c:y val="2.3885350318471339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14-D903-41C1-BC8E-24D5D02CFD1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Y7_Drop_PEERS_subset!$B$1:$D$1</c:f>
              <c:strCache>
                <c:ptCount val="3"/>
                <c:pt idx="0">
                  <c:v>Average November Year 7</c:v>
                </c:pt>
                <c:pt idx="1">
                  <c:v>Average March Year 7</c:v>
                </c:pt>
                <c:pt idx="2">
                  <c:v>Average June Year 7</c:v>
                </c:pt>
              </c:strCache>
            </c:strRef>
          </c:cat>
          <c:val>
            <c:numRef>
              <c:f>Y7_Drop_PEERS_subset!$B$7:$D$7</c:f>
              <c:numCache>
                <c:formatCode>General</c:formatCode>
                <c:ptCount val="3"/>
                <c:pt idx="0">
                  <c:v>6.5674648284912109</c:v>
                </c:pt>
                <c:pt idx="1">
                  <c:v>5.859797477722168</c:v>
                </c:pt>
                <c:pt idx="2">
                  <c:v>5.7536587715148926</c:v>
                </c:pt>
              </c:numCache>
            </c:numRef>
          </c:val>
          <c:smooth val="0"/>
          <c:extLst>
            <c:ext xmlns:c16="http://schemas.microsoft.com/office/drawing/2014/chart" uri="{C3380CC4-5D6E-409C-BE32-E72D297353CC}">
              <c16:uniqueId val="{00000015-D903-41C1-BC8E-24D5D02CFD15}"/>
            </c:ext>
          </c:extLst>
        </c:ser>
        <c:dLbls>
          <c:showLegendKey val="0"/>
          <c:showVal val="0"/>
          <c:showCatName val="0"/>
          <c:showSerName val="0"/>
          <c:showPercent val="0"/>
          <c:showBubbleSize val="0"/>
        </c:dLbls>
        <c:smooth val="0"/>
        <c:axId val="1286135856"/>
        <c:axId val="1286134416"/>
      </c:lineChart>
      <c:catAx>
        <c:axId val="1286135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6134416"/>
        <c:crosses val="autoZero"/>
        <c:auto val="1"/>
        <c:lblAlgn val="ctr"/>
        <c:lblOffset val="100"/>
        <c:noMultiLvlLbl val="0"/>
      </c:catAx>
      <c:valAx>
        <c:axId val="1286134416"/>
        <c:scaling>
          <c:orientation val="minMax"/>
          <c:max val="7.5"/>
          <c:min val="5.25"/>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6135856"/>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9098806469416046E-2"/>
          <c:y val="2.1732743200093618E-2"/>
          <c:w val="0.90715845615451918"/>
          <c:h val="0.91537063042278954"/>
        </c:manualLayout>
      </c:layout>
      <c:lineChart>
        <c:grouping val="standard"/>
        <c:varyColors val="0"/>
        <c:ser>
          <c:idx val="0"/>
          <c:order val="0"/>
          <c:tx>
            <c:strRef>
              <c:f>Y7_Drop_TEACHER_subset!$A$2</c:f>
              <c:strCache>
                <c:ptCount val="1"/>
                <c:pt idx="0">
                  <c:v>Asian. FSM.</c:v>
                </c:pt>
              </c:strCache>
            </c:strRef>
          </c:tx>
          <c:spPr>
            <a:ln w="28575" cap="rnd">
              <a:solidFill>
                <a:schemeClr val="tx1"/>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0-C838-4644-961B-1047E2EFF0B4}"/>
                </c:ext>
              </c:extLst>
            </c:dLbl>
            <c:dLbl>
              <c:idx val="1"/>
              <c:delete val="1"/>
              <c:extLst>
                <c:ext xmlns:c15="http://schemas.microsoft.com/office/drawing/2012/chart" uri="{CE6537A1-D6FC-4f65-9D91-7224C49458BB}"/>
                <c:ext xmlns:c16="http://schemas.microsoft.com/office/drawing/2014/chart" uri="{C3380CC4-5D6E-409C-BE32-E72D297353CC}">
                  <c16:uniqueId val="{00000001-C838-4644-961B-1047E2EFF0B4}"/>
                </c:ext>
              </c:extLst>
            </c:dLbl>
            <c:dLbl>
              <c:idx val="2"/>
              <c:layout>
                <c:manualLayout>
                  <c:x val="-0.6019261637239165"/>
                  <c:y val="-0.414012738853503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2-C838-4644-961B-1047E2EFF0B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Y7_Drop_TEACHER_subset!$B$1:$D$1</c:f>
              <c:strCache>
                <c:ptCount val="3"/>
                <c:pt idx="0">
                  <c:v>Average November Year 7</c:v>
                </c:pt>
                <c:pt idx="1">
                  <c:v>Average March Year 7</c:v>
                </c:pt>
                <c:pt idx="2">
                  <c:v>Average June Year 7</c:v>
                </c:pt>
              </c:strCache>
            </c:strRef>
          </c:cat>
          <c:val>
            <c:numRef>
              <c:f>Y7_Drop_TEACHER_subset!$B$2:$D$2</c:f>
              <c:numCache>
                <c:formatCode>General</c:formatCode>
                <c:ptCount val="3"/>
                <c:pt idx="0">
                  <c:v>7.5632271766662598</c:v>
                </c:pt>
                <c:pt idx="1">
                  <c:v>6.6195602416992188</c:v>
                </c:pt>
                <c:pt idx="2">
                  <c:v>6.3387961387634277</c:v>
                </c:pt>
              </c:numCache>
            </c:numRef>
          </c:val>
          <c:smooth val="0"/>
          <c:extLst>
            <c:ext xmlns:c16="http://schemas.microsoft.com/office/drawing/2014/chart" uri="{C3380CC4-5D6E-409C-BE32-E72D297353CC}">
              <c16:uniqueId val="{00000003-C838-4644-961B-1047E2EFF0B4}"/>
            </c:ext>
          </c:extLst>
        </c:ser>
        <c:ser>
          <c:idx val="1"/>
          <c:order val="1"/>
          <c:tx>
            <c:strRef>
              <c:f>Y7_Drop_TEACHER_subset!$A$3</c:f>
              <c:strCache>
                <c:ptCount val="1"/>
                <c:pt idx="0">
                  <c:v>Black. FSM.</c:v>
                </c:pt>
              </c:strCache>
            </c:strRef>
          </c:tx>
          <c:spPr>
            <a:ln w="28575" cap="rnd">
              <a:solidFill>
                <a:schemeClr val="tx1"/>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4-C838-4644-961B-1047E2EFF0B4}"/>
                </c:ext>
              </c:extLst>
            </c:dLbl>
            <c:dLbl>
              <c:idx val="1"/>
              <c:delete val="1"/>
              <c:extLst>
                <c:ext xmlns:c15="http://schemas.microsoft.com/office/drawing/2012/chart" uri="{CE6537A1-D6FC-4f65-9D91-7224C49458BB}"/>
                <c:ext xmlns:c16="http://schemas.microsoft.com/office/drawing/2014/chart" uri="{C3380CC4-5D6E-409C-BE32-E72D297353CC}">
                  <c16:uniqueId val="{00000005-C838-4644-961B-1047E2EFF0B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Y7_Drop_TEACHER_subset!$B$1:$D$1</c:f>
              <c:strCache>
                <c:ptCount val="3"/>
                <c:pt idx="0">
                  <c:v>Average November Year 7</c:v>
                </c:pt>
                <c:pt idx="1">
                  <c:v>Average March Year 7</c:v>
                </c:pt>
                <c:pt idx="2">
                  <c:v>Average June Year 7</c:v>
                </c:pt>
              </c:strCache>
            </c:strRef>
          </c:cat>
          <c:val>
            <c:numRef>
              <c:f>Y7_Drop_TEACHER_subset!$B$3:$D$3</c:f>
              <c:numCache>
                <c:formatCode>General</c:formatCode>
                <c:ptCount val="3"/>
                <c:pt idx="0">
                  <c:v>6.6403322219848633</c:v>
                </c:pt>
                <c:pt idx="1">
                  <c:v>5.2930259704589844</c:v>
                </c:pt>
                <c:pt idx="2">
                  <c:v>5.1721992492675781</c:v>
                </c:pt>
              </c:numCache>
            </c:numRef>
          </c:val>
          <c:smooth val="0"/>
          <c:extLst>
            <c:ext xmlns:c16="http://schemas.microsoft.com/office/drawing/2014/chart" uri="{C3380CC4-5D6E-409C-BE32-E72D297353CC}">
              <c16:uniqueId val="{00000006-C838-4644-961B-1047E2EFF0B4}"/>
            </c:ext>
          </c:extLst>
        </c:ser>
        <c:ser>
          <c:idx val="2"/>
          <c:order val="2"/>
          <c:tx>
            <c:strRef>
              <c:f>Y7_Drop_TEACHER_subset!$A$4</c:f>
              <c:strCache>
                <c:ptCount val="1"/>
                <c:pt idx="0">
                  <c:v>South Asian. FSM.</c:v>
                </c:pt>
              </c:strCache>
            </c:strRef>
          </c:tx>
          <c:spPr>
            <a:ln w="28575" cap="rnd">
              <a:solidFill>
                <a:schemeClr val="accent1">
                  <a:lumMod val="60000"/>
                  <a:lumOff val="40000"/>
                </a:schemeClr>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7-C838-4644-961B-1047E2EFF0B4}"/>
                </c:ext>
              </c:extLst>
            </c:dLbl>
            <c:dLbl>
              <c:idx val="1"/>
              <c:delete val="1"/>
              <c:extLst>
                <c:ext xmlns:c15="http://schemas.microsoft.com/office/drawing/2012/chart" uri="{CE6537A1-D6FC-4f65-9D91-7224C49458BB}"/>
                <c:ext xmlns:c16="http://schemas.microsoft.com/office/drawing/2014/chart" uri="{C3380CC4-5D6E-409C-BE32-E72D297353CC}">
                  <c16:uniqueId val="{00000008-C838-4644-961B-1047E2EFF0B4}"/>
                </c:ext>
              </c:extLst>
            </c:dLbl>
            <c:dLbl>
              <c:idx val="2"/>
              <c:layout>
                <c:manualLayout>
                  <c:x val="-0.75441412520064211"/>
                  <c:y val="-0.35562632696390656"/>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9-C838-4644-961B-1047E2EFF0B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Y7_Drop_TEACHER_subset!$B$1:$D$1</c:f>
              <c:strCache>
                <c:ptCount val="3"/>
                <c:pt idx="0">
                  <c:v>Average November Year 7</c:v>
                </c:pt>
                <c:pt idx="1">
                  <c:v>Average March Year 7</c:v>
                </c:pt>
                <c:pt idx="2">
                  <c:v>Average June Year 7</c:v>
                </c:pt>
              </c:strCache>
            </c:strRef>
          </c:cat>
          <c:val>
            <c:numRef>
              <c:f>Y7_Drop_TEACHER_subset!$B$4:$D$4</c:f>
              <c:numCache>
                <c:formatCode>General</c:formatCode>
                <c:ptCount val="3"/>
                <c:pt idx="0">
                  <c:v>7.3610363006591797</c:v>
                </c:pt>
                <c:pt idx="1">
                  <c:v>6.4570579528808594</c:v>
                </c:pt>
                <c:pt idx="2">
                  <c:v>6.0983610153198242</c:v>
                </c:pt>
              </c:numCache>
            </c:numRef>
          </c:val>
          <c:smooth val="0"/>
          <c:extLst>
            <c:ext xmlns:c16="http://schemas.microsoft.com/office/drawing/2014/chart" uri="{C3380CC4-5D6E-409C-BE32-E72D297353CC}">
              <c16:uniqueId val="{0000000A-C838-4644-961B-1047E2EFF0B4}"/>
            </c:ext>
          </c:extLst>
        </c:ser>
        <c:ser>
          <c:idx val="3"/>
          <c:order val="3"/>
          <c:tx>
            <c:strRef>
              <c:f>Y7_Drop_TEACHER_subset!$A$5</c:f>
              <c:strCache>
                <c:ptCount val="1"/>
                <c:pt idx="0">
                  <c:v>White (British). FSM</c:v>
                </c:pt>
              </c:strCache>
            </c:strRef>
          </c:tx>
          <c:spPr>
            <a:ln w="28575" cap="rnd">
              <a:solidFill>
                <a:schemeClr val="accent4"/>
              </a:solidFill>
              <a:round/>
            </a:ln>
            <a:effectLst/>
          </c:spPr>
          <c:marker>
            <c:symbol val="none"/>
          </c:marker>
          <c:dLbls>
            <c:dLbl>
              <c:idx val="2"/>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B-C838-4644-961B-1047E2EFF0B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0"/>
              </c:ext>
            </c:extLst>
          </c:dLbls>
          <c:cat>
            <c:strRef>
              <c:f>Y7_Drop_TEACHER_subset!$B$1:$D$1</c:f>
              <c:strCache>
                <c:ptCount val="3"/>
                <c:pt idx="0">
                  <c:v>Average November Year 7</c:v>
                </c:pt>
                <c:pt idx="1">
                  <c:v>Average March Year 7</c:v>
                </c:pt>
                <c:pt idx="2">
                  <c:v>Average June Year 7</c:v>
                </c:pt>
              </c:strCache>
            </c:strRef>
          </c:cat>
          <c:val>
            <c:numRef>
              <c:f>Y7_Drop_TEACHER_subset!$B$5:$D$5</c:f>
              <c:numCache>
                <c:formatCode>General</c:formatCode>
                <c:ptCount val="3"/>
                <c:pt idx="0">
                  <c:v>6.918480396270752</c:v>
                </c:pt>
                <c:pt idx="1">
                  <c:v>6.1491479873657227</c:v>
                </c:pt>
                <c:pt idx="2">
                  <c:v>5.8407807350158691</c:v>
                </c:pt>
              </c:numCache>
            </c:numRef>
          </c:val>
          <c:smooth val="0"/>
          <c:extLst>
            <c:ext xmlns:c16="http://schemas.microsoft.com/office/drawing/2014/chart" uri="{C3380CC4-5D6E-409C-BE32-E72D297353CC}">
              <c16:uniqueId val="{0000000C-C838-4644-961B-1047E2EFF0B4}"/>
            </c:ext>
          </c:extLst>
        </c:ser>
        <c:ser>
          <c:idx val="4"/>
          <c:order val="4"/>
          <c:tx>
            <c:strRef>
              <c:f>Y7_Drop_TEACHER_subset!$A$6</c:f>
              <c:strCache>
                <c:ptCount val="1"/>
                <c:pt idx="0">
                  <c:v>White (British). Not FSM.</c:v>
                </c:pt>
              </c:strCache>
            </c:strRef>
          </c:tx>
          <c:spPr>
            <a:ln w="28575" cap="rnd">
              <a:solidFill>
                <a:schemeClr val="bg1">
                  <a:lumMod val="75000"/>
                </a:schemeClr>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D-C838-4644-961B-1047E2EFF0B4}"/>
                </c:ext>
              </c:extLst>
            </c:dLbl>
            <c:dLbl>
              <c:idx val="1"/>
              <c:delete val="1"/>
              <c:extLst>
                <c:ext xmlns:c15="http://schemas.microsoft.com/office/drawing/2012/chart" uri="{CE6537A1-D6FC-4f65-9D91-7224C49458BB}"/>
                <c:ext xmlns:c16="http://schemas.microsoft.com/office/drawing/2014/chart" uri="{C3380CC4-5D6E-409C-BE32-E72D297353CC}">
                  <c16:uniqueId val="{0000000E-C838-4644-961B-1047E2EFF0B4}"/>
                </c:ext>
              </c:extLst>
            </c:dLbl>
            <c:dLbl>
              <c:idx val="2"/>
              <c:layout>
                <c:manualLayout>
                  <c:x val="-1.0700909577314071E-2"/>
                  <c:y val="-2.3885350318471339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F-C838-4644-961B-1047E2EFF0B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Y7_Drop_TEACHER_subset!$B$1:$D$1</c:f>
              <c:strCache>
                <c:ptCount val="3"/>
                <c:pt idx="0">
                  <c:v>Average November Year 7</c:v>
                </c:pt>
                <c:pt idx="1">
                  <c:v>Average March Year 7</c:v>
                </c:pt>
                <c:pt idx="2">
                  <c:v>Average June Year 7</c:v>
                </c:pt>
              </c:strCache>
            </c:strRef>
          </c:cat>
          <c:val>
            <c:numRef>
              <c:f>Y7_Drop_TEACHER_subset!$B$6:$D$6</c:f>
              <c:numCache>
                <c:formatCode>General</c:formatCode>
                <c:ptCount val="3"/>
                <c:pt idx="0">
                  <c:v>7.5328140258789063</c:v>
                </c:pt>
                <c:pt idx="1">
                  <c:v>6.7904558181762695</c:v>
                </c:pt>
                <c:pt idx="2">
                  <c:v>6.4550414085388184</c:v>
                </c:pt>
              </c:numCache>
            </c:numRef>
          </c:val>
          <c:smooth val="0"/>
          <c:extLst>
            <c:ext xmlns:c16="http://schemas.microsoft.com/office/drawing/2014/chart" uri="{C3380CC4-5D6E-409C-BE32-E72D297353CC}">
              <c16:uniqueId val="{00000010-C838-4644-961B-1047E2EFF0B4}"/>
            </c:ext>
          </c:extLst>
        </c:ser>
        <c:ser>
          <c:idx val="5"/>
          <c:order val="5"/>
          <c:tx>
            <c:strRef>
              <c:f>Y7_Drop_TEACHER_subset!$A$7</c:f>
              <c:strCache>
                <c:ptCount val="1"/>
                <c:pt idx="0">
                  <c:v>White (Other). FSM.</c:v>
                </c:pt>
              </c:strCache>
            </c:strRef>
          </c:tx>
          <c:spPr>
            <a:ln w="28575" cap="rnd">
              <a:solidFill>
                <a:schemeClr val="bg1">
                  <a:lumMod val="75000"/>
                </a:schemeClr>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11-C838-4644-961B-1047E2EFF0B4}"/>
                </c:ext>
              </c:extLst>
            </c:dLbl>
            <c:dLbl>
              <c:idx val="1"/>
              <c:delete val="1"/>
              <c:extLst>
                <c:ext xmlns:c15="http://schemas.microsoft.com/office/drawing/2012/chart" uri="{CE6537A1-D6FC-4f65-9D91-7224C49458BB}"/>
                <c:ext xmlns:c16="http://schemas.microsoft.com/office/drawing/2014/chart" uri="{C3380CC4-5D6E-409C-BE32-E72D297353CC}">
                  <c16:uniqueId val="{00000012-C838-4644-961B-1047E2EFF0B4}"/>
                </c:ext>
              </c:extLst>
            </c:dLbl>
            <c:dLbl>
              <c:idx val="2"/>
              <c:layout>
                <c:manualLayout>
                  <c:x val="-1.337613697164259E-2"/>
                  <c:y val="2.6539278131634821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13-C838-4644-961B-1047E2EFF0B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Y7_Drop_TEACHER_subset!$B$1:$D$1</c:f>
              <c:strCache>
                <c:ptCount val="3"/>
                <c:pt idx="0">
                  <c:v>Average November Year 7</c:v>
                </c:pt>
                <c:pt idx="1">
                  <c:v>Average March Year 7</c:v>
                </c:pt>
                <c:pt idx="2">
                  <c:v>Average June Year 7</c:v>
                </c:pt>
              </c:strCache>
            </c:strRef>
          </c:cat>
          <c:val>
            <c:numRef>
              <c:f>Y7_Drop_TEACHER_subset!$B$7:$D$7</c:f>
              <c:numCache>
                <c:formatCode>General</c:formatCode>
                <c:ptCount val="3"/>
                <c:pt idx="0">
                  <c:v>7.4802699089050293</c:v>
                </c:pt>
                <c:pt idx="1">
                  <c:v>6.4945354461669922</c:v>
                </c:pt>
                <c:pt idx="2">
                  <c:v>6.3531279563903809</c:v>
                </c:pt>
              </c:numCache>
            </c:numRef>
          </c:val>
          <c:smooth val="0"/>
          <c:extLst>
            <c:ext xmlns:c16="http://schemas.microsoft.com/office/drawing/2014/chart" uri="{C3380CC4-5D6E-409C-BE32-E72D297353CC}">
              <c16:uniqueId val="{00000014-C838-4644-961B-1047E2EFF0B4}"/>
            </c:ext>
          </c:extLst>
        </c:ser>
        <c:dLbls>
          <c:showLegendKey val="0"/>
          <c:showVal val="0"/>
          <c:showCatName val="0"/>
          <c:showSerName val="0"/>
          <c:showPercent val="0"/>
          <c:showBubbleSize val="0"/>
        </c:dLbls>
        <c:smooth val="0"/>
        <c:axId val="1286135856"/>
        <c:axId val="1286134416"/>
      </c:lineChart>
      <c:catAx>
        <c:axId val="1286135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6134416"/>
        <c:crosses val="autoZero"/>
        <c:auto val="1"/>
        <c:lblAlgn val="ctr"/>
        <c:lblOffset val="100"/>
        <c:noMultiLvlLbl val="0"/>
      </c:catAx>
      <c:valAx>
        <c:axId val="1286134416"/>
        <c:scaling>
          <c:orientation val="minMax"/>
          <c:max val="7.75"/>
          <c:min val="5"/>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6135856"/>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9098806469416046E-2"/>
          <c:y val="4.0310237892237991E-2"/>
          <c:w val="0.90715845615451918"/>
          <c:h val="0.8967931357306449"/>
        </c:manualLayout>
      </c:layout>
      <c:lineChart>
        <c:grouping val="standard"/>
        <c:varyColors val="0"/>
        <c:ser>
          <c:idx val="0"/>
          <c:order val="0"/>
          <c:tx>
            <c:strRef>
              <c:f>Y7_Drop_EFFORT_subset!$A$2</c:f>
              <c:strCache>
                <c:ptCount val="1"/>
                <c:pt idx="0">
                  <c:v>Asian. FSM.</c:v>
                </c:pt>
              </c:strCache>
            </c:strRef>
          </c:tx>
          <c:spPr>
            <a:ln w="28575" cap="rnd">
              <a:solidFill>
                <a:schemeClr val="tx1"/>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0-872A-4302-8C2D-AD77DD738EDD}"/>
                </c:ext>
              </c:extLst>
            </c:dLbl>
            <c:dLbl>
              <c:idx val="1"/>
              <c:delete val="1"/>
              <c:extLst>
                <c:ext xmlns:c15="http://schemas.microsoft.com/office/drawing/2012/chart" uri="{CE6537A1-D6FC-4f65-9D91-7224C49458BB}"/>
                <c:ext xmlns:c16="http://schemas.microsoft.com/office/drawing/2014/chart" uri="{C3380CC4-5D6E-409C-BE32-E72D297353CC}">
                  <c16:uniqueId val="{00000001-872A-4302-8C2D-AD77DD738EDD}"/>
                </c:ext>
              </c:extLst>
            </c:dLbl>
            <c:dLbl>
              <c:idx val="2"/>
              <c:layout>
                <c:manualLayout>
                  <c:x val="-5.3504547886570455E-2"/>
                  <c:y val="-1.8577494692144373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2-872A-4302-8C2D-AD77DD738ED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Y7_Drop_EFFORT_subset!$B$1:$D$1</c:f>
              <c:strCache>
                <c:ptCount val="3"/>
                <c:pt idx="0">
                  <c:v>Average November Year 7</c:v>
                </c:pt>
                <c:pt idx="1">
                  <c:v>Average March Year 7</c:v>
                </c:pt>
                <c:pt idx="2">
                  <c:v>Average June Year 7</c:v>
                </c:pt>
              </c:strCache>
            </c:strRef>
          </c:cat>
          <c:val>
            <c:numRef>
              <c:f>Y7_Drop_EFFORT_subset!$B$2:$D$2</c:f>
              <c:numCache>
                <c:formatCode>General</c:formatCode>
                <c:ptCount val="3"/>
                <c:pt idx="0">
                  <c:v>7.8122692108154297</c:v>
                </c:pt>
                <c:pt idx="1">
                  <c:v>6.9879765510559082</c:v>
                </c:pt>
                <c:pt idx="2">
                  <c:v>7.1486225128173828</c:v>
                </c:pt>
              </c:numCache>
            </c:numRef>
          </c:val>
          <c:smooth val="0"/>
          <c:extLst>
            <c:ext xmlns:c16="http://schemas.microsoft.com/office/drawing/2014/chart" uri="{C3380CC4-5D6E-409C-BE32-E72D297353CC}">
              <c16:uniqueId val="{00000003-872A-4302-8C2D-AD77DD738EDD}"/>
            </c:ext>
          </c:extLst>
        </c:ser>
        <c:ser>
          <c:idx val="1"/>
          <c:order val="1"/>
          <c:tx>
            <c:strRef>
              <c:f>Y7_Drop_EFFORT_subset!$A$3</c:f>
              <c:strCache>
                <c:ptCount val="1"/>
                <c:pt idx="0">
                  <c:v>Black. FSM.</c:v>
                </c:pt>
              </c:strCache>
            </c:strRef>
          </c:tx>
          <c:spPr>
            <a:ln w="28575" cap="rnd">
              <a:solidFill>
                <a:schemeClr val="tx1"/>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4-872A-4302-8C2D-AD77DD738EDD}"/>
                </c:ext>
              </c:extLst>
            </c:dLbl>
            <c:dLbl>
              <c:idx val="1"/>
              <c:delete val="1"/>
              <c:extLst>
                <c:ext xmlns:c15="http://schemas.microsoft.com/office/drawing/2012/chart" uri="{CE6537A1-D6FC-4f65-9D91-7224C49458BB}"/>
                <c:ext xmlns:c16="http://schemas.microsoft.com/office/drawing/2014/chart" uri="{C3380CC4-5D6E-409C-BE32-E72D297353CC}">
                  <c16:uniqueId val="{00000005-872A-4302-8C2D-AD77DD738ED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Y7_Drop_EFFORT_subset!$B$1:$D$1</c:f>
              <c:strCache>
                <c:ptCount val="3"/>
                <c:pt idx="0">
                  <c:v>Average November Year 7</c:v>
                </c:pt>
                <c:pt idx="1">
                  <c:v>Average March Year 7</c:v>
                </c:pt>
                <c:pt idx="2">
                  <c:v>Average June Year 7</c:v>
                </c:pt>
              </c:strCache>
            </c:strRef>
          </c:cat>
          <c:val>
            <c:numRef>
              <c:f>Y7_Drop_EFFORT_subset!$B$3:$D$3</c:f>
              <c:numCache>
                <c:formatCode>General</c:formatCode>
                <c:ptCount val="3"/>
                <c:pt idx="0">
                  <c:v>7.2669978141784668</c:v>
                </c:pt>
                <c:pt idx="1">
                  <c:v>6.2118568420410156</c:v>
                </c:pt>
                <c:pt idx="2">
                  <c:v>6.0657753944396973</c:v>
                </c:pt>
              </c:numCache>
            </c:numRef>
          </c:val>
          <c:smooth val="0"/>
          <c:extLst>
            <c:ext xmlns:c16="http://schemas.microsoft.com/office/drawing/2014/chart" uri="{C3380CC4-5D6E-409C-BE32-E72D297353CC}">
              <c16:uniqueId val="{00000006-872A-4302-8C2D-AD77DD738EDD}"/>
            </c:ext>
          </c:extLst>
        </c:ser>
        <c:ser>
          <c:idx val="2"/>
          <c:order val="2"/>
          <c:tx>
            <c:strRef>
              <c:f>Y7_Drop_EFFORT_subset!$A$4</c:f>
              <c:strCache>
                <c:ptCount val="1"/>
                <c:pt idx="0">
                  <c:v>South Asian. FSM.</c:v>
                </c:pt>
              </c:strCache>
            </c:strRef>
          </c:tx>
          <c:spPr>
            <a:ln w="28575" cap="rnd">
              <a:solidFill>
                <a:schemeClr val="accent1">
                  <a:lumMod val="60000"/>
                  <a:lumOff val="40000"/>
                </a:schemeClr>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7-872A-4302-8C2D-AD77DD738EDD}"/>
                </c:ext>
              </c:extLst>
            </c:dLbl>
            <c:dLbl>
              <c:idx val="1"/>
              <c:delete val="1"/>
              <c:extLst>
                <c:ext xmlns:c15="http://schemas.microsoft.com/office/drawing/2012/chart" uri="{CE6537A1-D6FC-4f65-9D91-7224C49458BB}"/>
                <c:ext xmlns:c16="http://schemas.microsoft.com/office/drawing/2014/chart" uri="{C3380CC4-5D6E-409C-BE32-E72D297353CC}">
                  <c16:uniqueId val="{00000008-872A-4302-8C2D-AD77DD738EDD}"/>
                </c:ext>
              </c:extLst>
            </c:dLbl>
            <c:dLbl>
              <c:idx val="2"/>
              <c:layout>
                <c:manualLayout>
                  <c:x val="-8.0256821829855531E-3"/>
                  <c:y val="-1.0615711252653927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9-872A-4302-8C2D-AD77DD738ED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Y7_Drop_EFFORT_subset!$B$1:$D$1</c:f>
              <c:strCache>
                <c:ptCount val="3"/>
                <c:pt idx="0">
                  <c:v>Average November Year 7</c:v>
                </c:pt>
                <c:pt idx="1">
                  <c:v>Average March Year 7</c:v>
                </c:pt>
                <c:pt idx="2">
                  <c:v>Average June Year 7</c:v>
                </c:pt>
              </c:strCache>
            </c:strRef>
          </c:cat>
          <c:val>
            <c:numRef>
              <c:f>Y7_Drop_EFFORT_subset!$B$4:$D$4</c:f>
              <c:numCache>
                <c:formatCode>General</c:formatCode>
                <c:ptCount val="3"/>
                <c:pt idx="0">
                  <c:v>7.8641023635864258</c:v>
                </c:pt>
                <c:pt idx="1">
                  <c:v>7.3286380767822266</c:v>
                </c:pt>
                <c:pt idx="2">
                  <c:v>6.9935030937194824</c:v>
                </c:pt>
              </c:numCache>
            </c:numRef>
          </c:val>
          <c:smooth val="0"/>
          <c:extLst>
            <c:ext xmlns:c16="http://schemas.microsoft.com/office/drawing/2014/chart" uri="{C3380CC4-5D6E-409C-BE32-E72D297353CC}">
              <c16:uniqueId val="{0000000A-872A-4302-8C2D-AD77DD738EDD}"/>
            </c:ext>
          </c:extLst>
        </c:ser>
        <c:ser>
          <c:idx val="3"/>
          <c:order val="3"/>
          <c:tx>
            <c:strRef>
              <c:f>Y7_Drop_EFFORT_subset!$A$5</c:f>
              <c:strCache>
                <c:ptCount val="1"/>
                <c:pt idx="0">
                  <c:v>White (British). FSM</c:v>
                </c:pt>
              </c:strCache>
            </c:strRef>
          </c:tx>
          <c:spPr>
            <a:ln w="28575" cap="rnd">
              <a:solidFill>
                <a:schemeClr val="accent4"/>
              </a:solidFill>
              <a:round/>
            </a:ln>
            <a:effectLst/>
          </c:spPr>
          <c:marker>
            <c:symbol val="none"/>
          </c:marker>
          <c:dLbls>
            <c:dLbl>
              <c:idx val="2"/>
              <c:layout>
                <c:manualLayout>
                  <c:x val="-0.69288389513108617"/>
                  <c:y val="-0.41666666666666657"/>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B-872A-4302-8C2D-AD77DD738ED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0"/>
              </c:ext>
            </c:extLst>
          </c:dLbls>
          <c:cat>
            <c:strRef>
              <c:f>Y7_Drop_EFFORT_subset!$B$1:$D$1</c:f>
              <c:strCache>
                <c:ptCount val="3"/>
                <c:pt idx="0">
                  <c:v>Average November Year 7</c:v>
                </c:pt>
                <c:pt idx="1">
                  <c:v>Average March Year 7</c:v>
                </c:pt>
                <c:pt idx="2">
                  <c:v>Average June Year 7</c:v>
                </c:pt>
              </c:strCache>
            </c:strRef>
          </c:cat>
          <c:val>
            <c:numRef>
              <c:f>Y7_Drop_EFFORT_subset!$B$5:$D$5</c:f>
              <c:numCache>
                <c:formatCode>General</c:formatCode>
                <c:ptCount val="3"/>
                <c:pt idx="0">
                  <c:v>6.502561092376709</c:v>
                </c:pt>
                <c:pt idx="1">
                  <c:v>5.6093611717224121</c:v>
                </c:pt>
                <c:pt idx="2">
                  <c:v>5.3077921867370605</c:v>
                </c:pt>
              </c:numCache>
            </c:numRef>
          </c:val>
          <c:smooth val="0"/>
          <c:extLst>
            <c:ext xmlns:c16="http://schemas.microsoft.com/office/drawing/2014/chart" uri="{C3380CC4-5D6E-409C-BE32-E72D297353CC}">
              <c16:uniqueId val="{0000000C-872A-4302-8C2D-AD77DD738EDD}"/>
            </c:ext>
          </c:extLst>
        </c:ser>
        <c:ser>
          <c:idx val="4"/>
          <c:order val="4"/>
          <c:tx>
            <c:strRef>
              <c:f>Y7_Drop_EFFORT_subset!$A$6</c:f>
              <c:strCache>
                <c:ptCount val="1"/>
                <c:pt idx="0">
                  <c:v>White (British). Not FSM.</c:v>
                </c:pt>
              </c:strCache>
            </c:strRef>
          </c:tx>
          <c:spPr>
            <a:ln w="28575" cap="rnd">
              <a:solidFill>
                <a:schemeClr val="bg1">
                  <a:lumMod val="75000"/>
                </a:schemeClr>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D-872A-4302-8C2D-AD77DD738EDD}"/>
                </c:ext>
              </c:extLst>
            </c:dLbl>
            <c:dLbl>
              <c:idx val="1"/>
              <c:delete val="1"/>
              <c:extLst>
                <c:ext xmlns:c15="http://schemas.microsoft.com/office/drawing/2012/chart" uri="{CE6537A1-D6FC-4f65-9D91-7224C49458BB}"/>
                <c:ext xmlns:c16="http://schemas.microsoft.com/office/drawing/2014/chart" uri="{C3380CC4-5D6E-409C-BE32-E72D297353CC}">
                  <c16:uniqueId val="{0000000E-872A-4302-8C2D-AD77DD738EDD}"/>
                </c:ext>
              </c:extLst>
            </c:dLbl>
            <c:dLbl>
              <c:idx val="2"/>
              <c:layout>
                <c:manualLayout>
                  <c:x val="9.809053797511391E-17"/>
                  <c:y val="3.980891719745213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F-872A-4302-8C2D-AD77DD738ED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Y7_Drop_EFFORT_subset!$B$1:$D$1</c:f>
              <c:strCache>
                <c:ptCount val="3"/>
                <c:pt idx="0">
                  <c:v>Average November Year 7</c:v>
                </c:pt>
                <c:pt idx="1">
                  <c:v>Average March Year 7</c:v>
                </c:pt>
                <c:pt idx="2">
                  <c:v>Average June Year 7</c:v>
                </c:pt>
              </c:strCache>
            </c:strRef>
          </c:cat>
          <c:val>
            <c:numRef>
              <c:f>Y7_Drop_EFFORT_subset!$B$6:$D$6</c:f>
              <c:numCache>
                <c:formatCode>General</c:formatCode>
                <c:ptCount val="3"/>
                <c:pt idx="0">
                  <c:v>7.8245558738708496</c:v>
                </c:pt>
                <c:pt idx="1">
                  <c:v>7.1316423416137695</c:v>
                </c:pt>
                <c:pt idx="2">
                  <c:v>6.7973322868347168</c:v>
                </c:pt>
              </c:numCache>
            </c:numRef>
          </c:val>
          <c:smooth val="0"/>
          <c:extLst>
            <c:ext xmlns:c16="http://schemas.microsoft.com/office/drawing/2014/chart" uri="{C3380CC4-5D6E-409C-BE32-E72D297353CC}">
              <c16:uniqueId val="{00000010-872A-4302-8C2D-AD77DD738EDD}"/>
            </c:ext>
          </c:extLst>
        </c:ser>
        <c:ser>
          <c:idx val="5"/>
          <c:order val="5"/>
          <c:tx>
            <c:strRef>
              <c:f>Y7_Drop_EFFORT_subset!$A$7</c:f>
              <c:strCache>
                <c:ptCount val="1"/>
                <c:pt idx="0">
                  <c:v>White (Other). FSM.</c:v>
                </c:pt>
              </c:strCache>
            </c:strRef>
          </c:tx>
          <c:spPr>
            <a:ln w="28575" cap="rnd">
              <a:solidFill>
                <a:schemeClr val="bg1">
                  <a:lumMod val="75000"/>
                </a:schemeClr>
              </a:solidFill>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11-872A-4302-8C2D-AD77DD738EDD}"/>
                </c:ext>
              </c:extLst>
            </c:dLbl>
            <c:dLbl>
              <c:idx val="1"/>
              <c:delete val="1"/>
              <c:extLst>
                <c:ext xmlns:c15="http://schemas.microsoft.com/office/drawing/2012/chart" uri="{CE6537A1-D6FC-4f65-9D91-7224C49458BB}"/>
                <c:ext xmlns:c16="http://schemas.microsoft.com/office/drawing/2014/chart" uri="{C3380CC4-5D6E-409C-BE32-E72D297353CC}">
                  <c16:uniqueId val="{00000012-872A-4302-8C2D-AD77DD738EDD}"/>
                </c:ext>
              </c:extLst>
            </c:dLbl>
            <c:dLbl>
              <c:idx val="2"/>
              <c:layout>
                <c:manualLayout>
                  <c:x val="-8.0256821829855531E-3"/>
                  <c:y val="3.4501061571125168E-2"/>
                </c:manualLayout>
              </c:layout>
              <c:showLegendKey val="0"/>
              <c:showVal val="0"/>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13-872A-4302-8C2D-AD77DD738ED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1"/>
            <c:showPercent val="0"/>
            <c:showBubbleSize val="0"/>
            <c:showLeaderLines val="0"/>
            <c:extLst>
              <c:ext xmlns:c15="http://schemas.microsoft.com/office/drawing/2012/chart" uri="{CE6537A1-D6FC-4f65-9D91-7224C49458BB}">
                <c15:showLeaderLines val="0"/>
              </c:ext>
            </c:extLst>
          </c:dLbls>
          <c:cat>
            <c:strRef>
              <c:f>Y7_Drop_EFFORT_subset!$B$1:$D$1</c:f>
              <c:strCache>
                <c:ptCount val="3"/>
                <c:pt idx="0">
                  <c:v>Average November Year 7</c:v>
                </c:pt>
                <c:pt idx="1">
                  <c:v>Average March Year 7</c:v>
                </c:pt>
                <c:pt idx="2">
                  <c:v>Average June Year 7</c:v>
                </c:pt>
              </c:strCache>
            </c:strRef>
          </c:cat>
          <c:val>
            <c:numRef>
              <c:f>Y7_Drop_EFFORT_subset!$B$7:$D$7</c:f>
              <c:numCache>
                <c:formatCode>General</c:formatCode>
                <c:ptCount val="3"/>
                <c:pt idx="0">
                  <c:v>7.1252813339233398</c:v>
                </c:pt>
                <c:pt idx="1">
                  <c:v>6.4065341949462891</c:v>
                </c:pt>
                <c:pt idx="2">
                  <c:v>5.8638453483581543</c:v>
                </c:pt>
              </c:numCache>
            </c:numRef>
          </c:val>
          <c:smooth val="0"/>
          <c:extLst>
            <c:ext xmlns:c16="http://schemas.microsoft.com/office/drawing/2014/chart" uri="{C3380CC4-5D6E-409C-BE32-E72D297353CC}">
              <c16:uniqueId val="{00000014-872A-4302-8C2D-AD77DD738EDD}"/>
            </c:ext>
          </c:extLst>
        </c:ser>
        <c:dLbls>
          <c:showLegendKey val="0"/>
          <c:showVal val="0"/>
          <c:showCatName val="0"/>
          <c:showSerName val="0"/>
          <c:showPercent val="0"/>
          <c:showBubbleSize val="0"/>
        </c:dLbls>
        <c:smooth val="0"/>
        <c:axId val="1286135856"/>
        <c:axId val="1286134416"/>
      </c:lineChart>
      <c:catAx>
        <c:axId val="1286135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6134416"/>
        <c:crosses val="autoZero"/>
        <c:auto val="1"/>
        <c:lblAlgn val="ctr"/>
        <c:lblOffset val="100"/>
        <c:noMultiLvlLbl val="0"/>
      </c:catAx>
      <c:valAx>
        <c:axId val="1286134416"/>
        <c:scaling>
          <c:orientation val="minMax"/>
          <c:max val="8"/>
          <c:min val="5.25"/>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6135856"/>
        <c:crosses val="autoZero"/>
        <c:crossBetween val="between"/>
        <c:majorUnit val="0.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1314B9-3302-4076-8F26-01DA2557D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10239</Words>
  <Characters>58363</Characters>
  <Application>Microsoft Office Word</Application>
  <DocSecurity>0</DocSecurity>
  <Lines>486</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Jerrim</dc:creator>
  <cp:keywords/>
  <dc:description/>
  <cp:lastModifiedBy>Jerrim, John</cp:lastModifiedBy>
  <cp:revision>3</cp:revision>
  <cp:lastPrinted>2025-07-10T08:03:00Z</cp:lastPrinted>
  <dcterms:created xsi:type="dcterms:W3CDTF">2025-09-25T11:15:00Z</dcterms:created>
  <dcterms:modified xsi:type="dcterms:W3CDTF">2025-09-25T11:15:00Z</dcterms:modified>
</cp:coreProperties>
</file>